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9239ED" w:rsidP="00047612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047612" w:rsidRPr="00047612">
        <w:t xml:space="preserve"> </w:t>
      </w:r>
      <w:r w:rsidR="00047612" w:rsidRPr="00047612">
        <w:rPr>
          <w:b/>
        </w:rPr>
        <w:t xml:space="preserve">EL </w:t>
      </w:r>
      <w:r w:rsidR="00047612" w:rsidRPr="00047612">
        <w:rPr>
          <w:rFonts w:ascii="Courier New" w:hAnsi="Courier New" w:cs="Courier New"/>
          <w:b/>
          <w:spacing w:val="-3"/>
        </w:rPr>
        <w:t>ACUERDO ENTRE EL GOBIERNO DE LA REPÚBLICA DE CHILE Y EL GOBIERNO DEL ESTADO DE PALESTINA SOBRE EXENCIÓN DEL REQUISITO DE VISA PARA LOS TITULARES DE PASAPORTES DIPLOMÁTICOS Y OFICIALES.</w:t>
      </w:r>
    </w:p>
    <w:p w:rsidR="009239ED" w:rsidRPr="001968A2" w:rsidRDefault="009239ED" w:rsidP="00047612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665AE6">
        <w:rPr>
          <w:rFonts w:ascii="Courier New" w:hAnsi="Courier New" w:cs="Courier New"/>
          <w:spacing w:val="-3"/>
        </w:rPr>
        <w:t xml:space="preserve"> </w:t>
      </w:r>
      <w:r w:rsidR="002372B6">
        <w:rPr>
          <w:rFonts w:ascii="Courier New" w:hAnsi="Courier New" w:cs="Courier New"/>
          <w:spacing w:val="-3"/>
        </w:rPr>
        <w:t>29 de febrero de</w:t>
      </w:r>
      <w:r w:rsidR="00665AE6">
        <w:rPr>
          <w:rFonts w:ascii="Courier New" w:hAnsi="Courier New" w:cs="Courier New"/>
          <w:spacing w:val="-3"/>
        </w:rPr>
        <w:t xml:space="preserve"> 2016</w:t>
      </w:r>
      <w:r>
        <w:rPr>
          <w:rFonts w:ascii="Courier New" w:hAnsi="Courier New" w:cs="Courier New"/>
          <w:spacing w:val="-3"/>
        </w:rPr>
        <w:t>.-</w:t>
      </w:r>
    </w:p>
    <w:p w:rsidR="009239ED" w:rsidRDefault="009239ED" w:rsidP="00047612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85D08" w:rsidRPr="001968A2" w:rsidRDefault="00985D08" w:rsidP="00047612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047612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F14749">
        <w:rPr>
          <w:rFonts w:cs="Courier New"/>
          <w:b/>
          <w:spacing w:val="-3"/>
          <w:szCs w:val="24"/>
          <w:u w:val="single"/>
        </w:rPr>
        <w:t>1686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665AE6">
        <w:rPr>
          <w:rFonts w:ascii="Courier New" w:hAnsi="Courier New" w:cs="Courier New"/>
          <w:b/>
          <w:spacing w:val="-3"/>
          <w:u w:val="single"/>
        </w:rPr>
        <w:t>3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Default="00DC630F" w:rsidP="00047612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85D08" w:rsidRPr="001968A2" w:rsidRDefault="00985D08" w:rsidP="00047612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85D08" w:rsidRPr="001968A2" w:rsidRDefault="00985D08" w:rsidP="00985D08">
      <w:pPr>
        <w:framePr w:w="2631" w:h="4656" w:hSpace="141" w:wrap="around" w:vAnchor="text" w:hAnchor="page" w:x="1540" w:y="253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985D08" w:rsidRPr="001968A2" w:rsidRDefault="00985D08" w:rsidP="00985D08">
      <w:pPr>
        <w:framePr w:w="2631" w:h="4656" w:hSpace="141" w:wrap="around" w:vAnchor="text" w:hAnchor="page" w:x="1540" w:y="253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985D08" w:rsidRPr="001968A2" w:rsidRDefault="00985D08" w:rsidP="00985D08">
      <w:pPr>
        <w:framePr w:w="2631" w:h="4656" w:hSpace="141" w:wrap="around" w:vAnchor="text" w:hAnchor="page" w:x="1540" w:y="253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LA</w:t>
      </w:r>
      <w:r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985D08" w:rsidRPr="001968A2" w:rsidRDefault="00985D08" w:rsidP="00985D08">
      <w:pPr>
        <w:framePr w:w="2631" w:h="4656" w:hSpace="141" w:wrap="around" w:vAnchor="text" w:hAnchor="page" w:x="1540" w:y="253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985D08" w:rsidRPr="001968A2" w:rsidRDefault="00985D08" w:rsidP="00985D08">
      <w:pPr>
        <w:framePr w:w="2631" w:h="4656" w:hSpace="141" w:wrap="around" w:vAnchor="text" w:hAnchor="page" w:x="1540" w:y="253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DC630F" w:rsidRPr="001968A2" w:rsidRDefault="00DC630F" w:rsidP="00985D08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before="0" w:after="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9C0D89" w:rsidRPr="009C0D89" w:rsidRDefault="009F38A0" w:rsidP="00047612">
      <w:pPr>
        <w:pStyle w:val="Estilo"/>
        <w:numPr>
          <w:ilvl w:val="0"/>
          <w:numId w:val="0"/>
        </w:numPr>
        <w:tabs>
          <w:tab w:val="clear" w:pos="3544"/>
        </w:tabs>
        <w:spacing w:after="240"/>
        <w:ind w:left="2835" w:firstLine="709"/>
        <w:rPr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047612">
        <w:rPr>
          <w:rFonts w:ascii="Courier New" w:hAnsi="Courier New" w:cs="Courier New"/>
          <w:lang w:val="es-MX"/>
        </w:rPr>
        <w:t xml:space="preserve"> </w:t>
      </w:r>
      <w:r w:rsidR="009C0D89" w:rsidRPr="009C0D89">
        <w:rPr>
          <w:lang w:val="es-MX"/>
        </w:rPr>
        <w:t>el “Acuerdo entre el Gobierno de la República de Chile y el Gobierno del Estado de Palestina sobre Exención del Requisito de Visa para los Titulares de Pasaportes Diplomáticos y Oficiales”, suscrito en Nueva York,</w:t>
      </w:r>
      <w:r w:rsidR="00047612">
        <w:rPr>
          <w:lang w:val="es-MX"/>
        </w:rPr>
        <w:t xml:space="preserve"> Estados Unidos de América,</w:t>
      </w:r>
      <w:r w:rsidR="009C0D89" w:rsidRPr="009C0D89">
        <w:rPr>
          <w:lang w:val="es-MX"/>
        </w:rPr>
        <w:t xml:space="preserve"> el 29 de septiembre de 2015.</w:t>
      </w:r>
    </w:p>
    <w:p w:rsidR="009C0D89" w:rsidRPr="009C0D89" w:rsidRDefault="009C0D89" w:rsidP="00665AE6">
      <w:pPr>
        <w:pStyle w:val="Ttulo1"/>
        <w:tabs>
          <w:tab w:val="clear" w:pos="4112"/>
          <w:tab w:val="clear" w:pos="4166"/>
          <w:tab w:val="num" w:pos="709"/>
          <w:tab w:val="left" w:pos="3544"/>
        </w:tabs>
        <w:spacing w:before="240"/>
        <w:ind w:left="2835" w:firstLine="0"/>
        <w:rPr>
          <w:lang w:val="es-MX"/>
        </w:rPr>
      </w:pPr>
      <w:r w:rsidRPr="009C0D89">
        <w:rPr>
          <w:lang w:val="es-MX"/>
        </w:rPr>
        <w:t>ANTECEDENTES</w:t>
      </w:r>
    </w:p>
    <w:p w:rsidR="009C0D89" w:rsidRPr="009C0D89" w:rsidRDefault="009C0D89" w:rsidP="0004761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El presente Acuerdo, desde el punto de vis</w:t>
      </w:r>
      <w:r w:rsidR="00047612">
        <w:rPr>
          <w:lang w:val="es-MX"/>
        </w:rPr>
        <w:t xml:space="preserve">ta de nuestro derecho interno, </w:t>
      </w:r>
      <w:r w:rsidRPr="009C0D89">
        <w:rPr>
          <w:lang w:val="es-MX"/>
        </w:rPr>
        <w:t>constituye una excepción a la legislación de extranjería vigente en nuestro país, contenida en el Decreto Ley N° 1.094, de 197</w:t>
      </w:r>
      <w:r w:rsidR="00047612">
        <w:rPr>
          <w:lang w:val="es-MX"/>
        </w:rPr>
        <w:t>5, que E</w:t>
      </w:r>
      <w:r w:rsidRPr="009C0D89">
        <w:rPr>
          <w:lang w:val="es-MX"/>
        </w:rPr>
        <w:t>stablece las No</w:t>
      </w:r>
      <w:r w:rsidR="00047612">
        <w:rPr>
          <w:lang w:val="es-MX"/>
        </w:rPr>
        <w:t>rmas sobre Extranjeros en Chile;</w:t>
      </w:r>
      <w:r w:rsidRPr="009C0D89">
        <w:rPr>
          <w:lang w:val="es-MX"/>
        </w:rPr>
        <w:t xml:space="preserve"> y en el Decret</w:t>
      </w:r>
      <w:r w:rsidR="00047612">
        <w:rPr>
          <w:lang w:val="es-MX"/>
        </w:rPr>
        <w:t>o Supremo N° 597, de 1984, que Aprueba el N</w:t>
      </w:r>
      <w:r w:rsidRPr="009C0D89">
        <w:rPr>
          <w:lang w:val="es-MX"/>
        </w:rPr>
        <w:t>uevo Reglamento de Extranjería, ambos del Ministerio del Interior, y encuentra su plena justificación en el deseo de ambas Partes de estrechar los lazos de amistad que las unen.</w:t>
      </w:r>
    </w:p>
    <w:p w:rsidR="009C0D89" w:rsidRPr="009C0D89" w:rsidRDefault="00047612" w:rsidP="00047612">
      <w:pPr>
        <w:pStyle w:val="Ttulo1"/>
        <w:tabs>
          <w:tab w:val="clear" w:pos="4112"/>
          <w:tab w:val="clear" w:pos="4166"/>
          <w:tab w:val="num" w:pos="3544"/>
        </w:tabs>
        <w:ind w:left="3544"/>
        <w:rPr>
          <w:lang w:val="es-MX"/>
        </w:rPr>
      </w:pPr>
      <w:r>
        <w:rPr>
          <w:lang w:val="es-MX"/>
        </w:rPr>
        <w:lastRenderedPageBreak/>
        <w:tab/>
        <w:t>CONTENIDO DEL ACUERDO</w:t>
      </w:r>
    </w:p>
    <w:p w:rsidR="009C0D89" w:rsidRPr="009C0D89" w:rsidRDefault="009C0D89" w:rsidP="0004761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 xml:space="preserve">El Acuerdo consta de un Preámbulo y </w:t>
      </w:r>
      <w:r w:rsidR="00047612">
        <w:rPr>
          <w:lang w:val="es-MX"/>
        </w:rPr>
        <w:t>diez artículos.</w:t>
      </w:r>
    </w:p>
    <w:p w:rsidR="009C0D89" w:rsidRPr="009C0D89" w:rsidRDefault="009C0D89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En el Preámbulo las Partes manifiestan su deseo de fortalecer los lazos de amistad existentes entre los dos Estados y facilitar el ingreso y salida de nacionales de ambos países titulares de los pa</w:t>
      </w:r>
      <w:r w:rsidR="00047612">
        <w:rPr>
          <w:lang w:val="es-MX"/>
        </w:rPr>
        <w:t>saportes que el Acuerdo regula.</w:t>
      </w:r>
    </w:p>
    <w:p w:rsidR="009C0D89" w:rsidRPr="009C0D89" w:rsidRDefault="00047612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047612">
        <w:rPr>
          <w:lang w:val="es-MX"/>
        </w:rPr>
        <w:t>En el articulado, por su parte, se despliegan las normas centrales del Acuerdo, conformando su cuerpo principal y dispositivo.</w:t>
      </w:r>
    </w:p>
    <w:p w:rsidR="009C0D89" w:rsidRPr="009C0D89" w:rsidRDefault="00C876A0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>
        <w:rPr>
          <w:lang w:val="es-MX"/>
        </w:rPr>
        <w:t>De esta forma, e</w:t>
      </w:r>
      <w:r w:rsidR="009C0D89" w:rsidRPr="009C0D89">
        <w:rPr>
          <w:lang w:val="es-MX"/>
        </w:rPr>
        <w:t>n el Artículo 1 se dispone que los titulares de pasaportes diplomáticos y oficiales válidos de cualquiera de las Partes podrán ingresar y perm</w:t>
      </w:r>
      <w:r>
        <w:rPr>
          <w:lang w:val="es-MX"/>
        </w:rPr>
        <w:t xml:space="preserve">anecer en territorio de la otra, </w:t>
      </w:r>
      <w:r w:rsidR="009C0D89" w:rsidRPr="009C0D89">
        <w:rPr>
          <w:lang w:val="es-MX"/>
        </w:rPr>
        <w:t>sin necesidad de obtener visa</w:t>
      </w:r>
      <w:r>
        <w:rPr>
          <w:lang w:val="es-MX"/>
        </w:rPr>
        <w:t>,</w:t>
      </w:r>
      <w:r w:rsidR="009C0D89" w:rsidRPr="009C0D89">
        <w:rPr>
          <w:lang w:val="es-MX"/>
        </w:rPr>
        <w:t xml:space="preserve"> por un período que no exceda los noventa (90) días</w:t>
      </w:r>
      <w:r>
        <w:rPr>
          <w:lang w:val="es-MX"/>
        </w:rPr>
        <w:t>,</w:t>
      </w:r>
      <w:r w:rsidR="009C0D89" w:rsidRPr="009C0D89">
        <w:rPr>
          <w:lang w:val="es-MX"/>
        </w:rPr>
        <w:t xml:space="preserve"> prorrogables por igual período por las autoridades competentes.</w:t>
      </w:r>
    </w:p>
    <w:p w:rsidR="009C0D89" w:rsidRPr="009C0D89" w:rsidRDefault="009C0D89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Seguidamente, el Artículo 2 establece que los titula</w:t>
      </w:r>
      <w:r w:rsidR="00C876A0">
        <w:rPr>
          <w:lang w:val="es-MX"/>
        </w:rPr>
        <w:t>res de pasaportes diplomáticos y</w:t>
      </w:r>
      <w:r w:rsidRPr="009C0D89">
        <w:rPr>
          <w:lang w:val="es-MX"/>
        </w:rPr>
        <w:t xml:space="preserve"> oficiales de cualquiera de las Partes</w:t>
      </w:r>
      <w:r w:rsidR="00C876A0">
        <w:rPr>
          <w:lang w:val="es-MX"/>
        </w:rPr>
        <w:t>, destinados a una M</w:t>
      </w:r>
      <w:r w:rsidRPr="009C0D89">
        <w:rPr>
          <w:lang w:val="es-MX"/>
        </w:rPr>
        <w:t xml:space="preserve">isión Diplomática o Representación Consular en el territorio de la otra Parte, podrán ingresar, permanecer </w:t>
      </w:r>
      <w:r w:rsidR="00C876A0">
        <w:rPr>
          <w:lang w:val="es-MX"/>
        </w:rPr>
        <w:t xml:space="preserve">y salir del país receptor </w:t>
      </w:r>
      <w:r w:rsidRPr="009C0D89">
        <w:rPr>
          <w:lang w:val="es-MX"/>
        </w:rPr>
        <w:t>mientras dure su destinación. Dicha disposición agrega que se aplicará una regla similar a los miembros de las familias de dichos funcionarios, siempre que sean titulares de pasap</w:t>
      </w:r>
      <w:r w:rsidR="00C876A0">
        <w:rPr>
          <w:lang w:val="es-MX"/>
        </w:rPr>
        <w:t>ortes diplomáticos u</w:t>
      </w:r>
      <w:r w:rsidRPr="009C0D89">
        <w:rPr>
          <w:lang w:val="es-MX"/>
        </w:rPr>
        <w:t xml:space="preserve"> oficiales válidos.</w:t>
      </w:r>
    </w:p>
    <w:p w:rsidR="009C0D89" w:rsidRPr="009C0D89" w:rsidRDefault="009C0D89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Por su parte, el Artículo 3 prevé que los beneficiarios del Acuerdo no están liberados de cumplir las leyes y reglamentos vigentes en el territorio de la otra Parte.</w:t>
      </w:r>
    </w:p>
    <w:p w:rsidR="009C0D89" w:rsidRPr="009C0D89" w:rsidRDefault="009C0D89" w:rsidP="0004761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A continuación, el Artículo 4 señala que cada Parte se reserva el derecho de denegar, sobre una base discrecional, el ingreso a su territorio de una persona en particular</w:t>
      </w:r>
      <w:r w:rsidR="00C876A0">
        <w:rPr>
          <w:lang w:val="es-MX"/>
        </w:rPr>
        <w:t>,</w:t>
      </w:r>
      <w:r w:rsidRPr="009C0D89">
        <w:rPr>
          <w:lang w:val="es-MX"/>
        </w:rPr>
        <w:t xml:space="preserve"> cuando dicho ingreso</w:t>
      </w:r>
      <w:r w:rsidR="00C876A0">
        <w:rPr>
          <w:lang w:val="es-MX"/>
        </w:rPr>
        <w:t xml:space="preserve"> sea considerado inconveniente.</w:t>
      </w:r>
    </w:p>
    <w:p w:rsidR="009C0D89" w:rsidRPr="009C0D89" w:rsidRDefault="009C0D89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lastRenderedPageBreak/>
        <w:t xml:space="preserve">A su vez, el Artículo 5 estipula que las Partes intercambiarán, por la vía diplomática, modelos de sus pasaportes diplomáticos y oficiales, en un plazo no superior a </w:t>
      </w:r>
      <w:r w:rsidR="00C876A0">
        <w:rPr>
          <w:lang w:val="es-MX"/>
        </w:rPr>
        <w:t>treinta (</w:t>
      </w:r>
      <w:r w:rsidRPr="009C0D89">
        <w:rPr>
          <w:lang w:val="es-MX"/>
        </w:rPr>
        <w:t>30</w:t>
      </w:r>
      <w:r w:rsidR="00C876A0">
        <w:rPr>
          <w:lang w:val="es-MX"/>
        </w:rPr>
        <w:t>)</w:t>
      </w:r>
      <w:r w:rsidRPr="009C0D89">
        <w:rPr>
          <w:lang w:val="es-MX"/>
        </w:rPr>
        <w:t xml:space="preserve"> días antes de la entrada en vigor de</w:t>
      </w:r>
      <w:r w:rsidR="00C876A0">
        <w:rPr>
          <w:lang w:val="es-MX"/>
        </w:rPr>
        <w:t>l</w:t>
      </w:r>
      <w:r w:rsidRPr="009C0D89">
        <w:rPr>
          <w:lang w:val="es-MX"/>
        </w:rPr>
        <w:t xml:space="preserve"> Acuerdo y, en caso de modificación de dicha documentación, deberán entregar a la otra Parte el nuevo ejemplar a lo menos</w:t>
      </w:r>
      <w:r w:rsidR="00C876A0">
        <w:rPr>
          <w:lang w:val="es-MX"/>
        </w:rPr>
        <w:t xml:space="preserve"> treinta</w:t>
      </w:r>
      <w:r w:rsidRPr="009C0D89">
        <w:rPr>
          <w:lang w:val="es-MX"/>
        </w:rPr>
        <w:t xml:space="preserve"> </w:t>
      </w:r>
      <w:r w:rsidR="00C876A0">
        <w:rPr>
          <w:lang w:val="es-MX"/>
        </w:rPr>
        <w:t>(</w:t>
      </w:r>
      <w:r w:rsidRPr="009C0D89">
        <w:rPr>
          <w:lang w:val="es-MX"/>
        </w:rPr>
        <w:t>30</w:t>
      </w:r>
      <w:r w:rsidR="00C876A0">
        <w:rPr>
          <w:lang w:val="es-MX"/>
        </w:rPr>
        <w:t>)</w:t>
      </w:r>
      <w:r w:rsidRPr="009C0D89">
        <w:rPr>
          <w:lang w:val="es-MX"/>
        </w:rPr>
        <w:t xml:space="preserve"> días antes de la adopción de la modificación.</w:t>
      </w:r>
    </w:p>
    <w:p w:rsidR="009C0D89" w:rsidRPr="009C0D89" w:rsidRDefault="009C0D89" w:rsidP="0004761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Asimismo, de acuerdo con el Artículo 6, las Partes pueden suspender el Acuerdo, por razones de orden público, segu</w:t>
      </w:r>
      <w:r w:rsidR="00C876A0">
        <w:rPr>
          <w:lang w:val="es-MX"/>
        </w:rPr>
        <w:t xml:space="preserve">ridad pública o salud pública, </w:t>
      </w:r>
      <w:r w:rsidRPr="009C0D89">
        <w:rPr>
          <w:lang w:val="es-MX"/>
        </w:rPr>
        <w:t>lo que se comunicará oficialmente, por la vía diplomática</w:t>
      </w:r>
      <w:r w:rsidR="00C876A0">
        <w:rPr>
          <w:lang w:val="es-MX"/>
        </w:rPr>
        <w:t>, a la otra Parte</w:t>
      </w:r>
      <w:r w:rsidRPr="009C0D89">
        <w:rPr>
          <w:lang w:val="es-MX"/>
        </w:rPr>
        <w:t>. Dicha suspensión o cese surtirá efecto inmediatamente después</w:t>
      </w:r>
      <w:r w:rsidR="00C876A0">
        <w:rPr>
          <w:lang w:val="es-MX"/>
        </w:rPr>
        <w:t xml:space="preserve"> de la notificación respectiva.</w:t>
      </w:r>
    </w:p>
    <w:p w:rsidR="009C0D89" w:rsidRPr="009C0D89" w:rsidRDefault="00C876A0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>
        <w:rPr>
          <w:lang w:val="es-MX"/>
        </w:rPr>
        <w:t>E</w:t>
      </w:r>
      <w:r w:rsidR="009C0D89" w:rsidRPr="009C0D89">
        <w:rPr>
          <w:lang w:val="es-MX"/>
        </w:rPr>
        <w:t>l Artículo 7</w:t>
      </w:r>
      <w:r>
        <w:rPr>
          <w:lang w:val="es-MX"/>
        </w:rPr>
        <w:t>, a su vez,</w:t>
      </w:r>
      <w:r w:rsidR="009C0D89" w:rsidRPr="009C0D89">
        <w:rPr>
          <w:lang w:val="es-MX"/>
        </w:rPr>
        <w:t xml:space="preserve"> trata sobre las controversias que puedan  surgir entre las Partes</w:t>
      </w:r>
      <w:r>
        <w:rPr>
          <w:lang w:val="es-MX"/>
        </w:rPr>
        <w:t>,</w:t>
      </w:r>
      <w:r w:rsidR="009C0D89" w:rsidRPr="009C0D89">
        <w:rPr>
          <w:lang w:val="es-MX"/>
        </w:rPr>
        <w:t xml:space="preserve"> relativas a la aplicación o interpretación del Acuerdo, indicando</w:t>
      </w:r>
      <w:r>
        <w:rPr>
          <w:lang w:val="es-MX"/>
        </w:rPr>
        <w:t xml:space="preserve"> que éstas serán resueltas </w:t>
      </w:r>
      <w:r w:rsidR="009C0D89" w:rsidRPr="009C0D89">
        <w:rPr>
          <w:lang w:val="es-MX"/>
        </w:rPr>
        <w:t>mediante consultas y negociaciones directas entre las Partes.</w:t>
      </w:r>
    </w:p>
    <w:p w:rsidR="009C0D89" w:rsidRPr="009C0D89" w:rsidRDefault="00C876A0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>
        <w:rPr>
          <w:lang w:val="es-MX"/>
        </w:rPr>
        <w:t>Igualmente</w:t>
      </w:r>
      <w:r w:rsidR="009C0D89" w:rsidRPr="009C0D89">
        <w:rPr>
          <w:lang w:val="es-MX"/>
        </w:rPr>
        <w:t>, el Artícul</w:t>
      </w:r>
      <w:r w:rsidR="004D49A1">
        <w:rPr>
          <w:lang w:val="es-MX"/>
        </w:rPr>
        <w:t>o 8 prevé que las Partes podrán</w:t>
      </w:r>
      <w:r w:rsidR="009C0D89" w:rsidRPr="009C0D89">
        <w:rPr>
          <w:lang w:val="es-MX"/>
        </w:rPr>
        <w:t xml:space="preserve"> </w:t>
      </w:r>
      <w:r w:rsidR="004D49A1">
        <w:rPr>
          <w:lang w:val="es-MX"/>
        </w:rPr>
        <w:t xml:space="preserve">efectuar modificaciones al </w:t>
      </w:r>
      <w:r w:rsidR="004A3459">
        <w:rPr>
          <w:lang w:val="es-MX"/>
        </w:rPr>
        <w:t>presente instrumento</w:t>
      </w:r>
      <w:r w:rsidR="004D49A1">
        <w:rPr>
          <w:lang w:val="es-MX"/>
        </w:rPr>
        <w:t xml:space="preserve">, </w:t>
      </w:r>
      <w:r w:rsidR="009C0D89" w:rsidRPr="009C0D89">
        <w:rPr>
          <w:lang w:val="es-MX"/>
        </w:rPr>
        <w:t>de mutuo acuerdo.</w:t>
      </w:r>
    </w:p>
    <w:p w:rsidR="009C0D89" w:rsidRPr="009C0D89" w:rsidRDefault="009C0D89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>Además, de conformidad con el Artículo 9, el Acuerdo tendrá duración indefinida, sin perjuicio de poder denunciarlo mediante aviso a la Otra con noventa (90) días de antelación, por la vía diplomática.</w:t>
      </w:r>
    </w:p>
    <w:p w:rsidR="009C0D89" w:rsidRPr="009C0D89" w:rsidRDefault="009C0D89" w:rsidP="0004761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C0D89">
        <w:rPr>
          <w:lang w:val="es-MX"/>
        </w:rPr>
        <w:t xml:space="preserve">Finalmente, el Artículo 10 señala que el Acuerdo </w:t>
      </w:r>
      <w:r w:rsidR="00C876A0">
        <w:rPr>
          <w:lang w:val="es-MX"/>
        </w:rPr>
        <w:t xml:space="preserve">y sus modificaciones </w:t>
      </w:r>
      <w:r w:rsidRPr="009C0D89">
        <w:rPr>
          <w:lang w:val="es-MX"/>
        </w:rPr>
        <w:t>entrará</w:t>
      </w:r>
      <w:r w:rsidR="00C876A0">
        <w:rPr>
          <w:lang w:val="es-MX"/>
        </w:rPr>
        <w:t>n</w:t>
      </w:r>
      <w:r w:rsidRPr="009C0D89">
        <w:rPr>
          <w:lang w:val="es-MX"/>
        </w:rPr>
        <w:t xml:space="preserve"> en vigor sesenta (60) días después de la fecha de la última Nota en que las Partes se comuniquen sobre el cumplimiento de los requisitos constitucionales y legales necesarios para su entrada en vigor.</w:t>
      </w:r>
    </w:p>
    <w:p w:rsidR="009C0D89" w:rsidRPr="009C0D89" w:rsidRDefault="00C876A0" w:rsidP="00985D08">
      <w:pPr>
        <w:pStyle w:val="Sangradetextonormal"/>
        <w:spacing w:before="360" w:after="240"/>
        <w:ind w:left="2835" w:firstLine="709"/>
        <w:jc w:val="both"/>
        <w:rPr>
          <w:lang w:val="es-MX"/>
        </w:rPr>
      </w:pPr>
      <w:r w:rsidRPr="00C876A0">
        <w:rPr>
          <w:lang w:val="es-MX"/>
        </w:rPr>
        <w:t>En consecuencia, tengo el honor de someter a vuestra consideración, el siguiente</w:t>
      </w:r>
    </w:p>
    <w:p w:rsidR="00985D08" w:rsidRDefault="00985D08" w:rsidP="00047612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</w:p>
    <w:p w:rsidR="00985D08" w:rsidRDefault="00985D08" w:rsidP="00047612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</w:p>
    <w:p w:rsidR="009239ED" w:rsidRPr="0065177F" w:rsidRDefault="009239ED" w:rsidP="00047612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lastRenderedPageBreak/>
        <w:t>PROYECTO DE ACUERDO:</w:t>
      </w:r>
    </w:p>
    <w:p w:rsidR="009239ED" w:rsidRPr="0065177F" w:rsidRDefault="009239ED" w:rsidP="00047612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047612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pacing w:val="-3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C876A0" w:rsidRPr="00C876A0">
        <w:t xml:space="preserve"> </w:t>
      </w:r>
      <w:r w:rsidR="00C876A0" w:rsidRPr="00C876A0">
        <w:rPr>
          <w:rFonts w:ascii="Courier New" w:hAnsi="Courier New" w:cs="Courier New"/>
          <w:spacing w:val="-3"/>
        </w:rPr>
        <w:t>el “Acuerdo entre el Gobierno de la República de Chile y el Gobierno del Estado de Palestina sobre Exención del Requisito de Visa para los Titulares de Pasaportes Diplomáticos y Oficiales”, suscrito en Nueva York, Estados Unidos de América, el 29 de septiembre de 2015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985D08" w:rsidRDefault="00985D08" w:rsidP="00047612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</w:p>
    <w:p w:rsidR="00985D08" w:rsidRDefault="00985D08" w:rsidP="00047612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</w:p>
    <w:p w:rsidR="009239ED" w:rsidRPr="0065177F" w:rsidRDefault="009239ED" w:rsidP="00047612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t>Dios guarde a V.E.,</w:t>
      </w:r>
    </w:p>
    <w:p w:rsidR="00DC630F" w:rsidRPr="0002188A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047612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047612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047612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047612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047612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Ministro de Relaciones Exteriores</w:t>
      </w:r>
    </w:p>
    <w:p w:rsidR="001812F5" w:rsidRDefault="001812F5" w:rsidP="00047612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1812F5" w:rsidRDefault="001812F5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1812F5" w:rsidRPr="00702096" w:rsidRDefault="001812F5" w:rsidP="001812F5">
      <w:pPr>
        <w:tabs>
          <w:tab w:val="center" w:pos="2552"/>
        </w:tabs>
        <w:ind w:left="-567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410325" cy="1055860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estina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241" cy="1056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381750" cy="1051154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estina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706" cy="105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505575" cy="107154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lestina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27" cy="10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715125" cy="1106065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lestina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736" cy="110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2F5" w:rsidRPr="00702096" w:rsidSect="00366ECC">
      <w:headerReference w:type="default" r:id="rId12"/>
      <w:endnotePr>
        <w:numFmt w:val="decimal"/>
      </w:endnotePr>
      <w:type w:val="continuous"/>
      <w:pgSz w:w="12242" w:h="18722" w:code="261"/>
      <w:pgMar w:top="2155" w:right="1185" w:bottom="1985" w:left="1559" w:header="1134" w:footer="2268" w:gutter="0"/>
      <w:paperSrc w:first="258" w:other="258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7DD" w:rsidRDefault="008D37DD">
      <w:r>
        <w:separator/>
      </w:r>
    </w:p>
  </w:endnote>
  <w:endnote w:type="continuationSeparator" w:id="0">
    <w:p w:rsidR="008D37DD" w:rsidRDefault="008D3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7DD" w:rsidRDefault="008D37DD">
      <w:r>
        <w:separator/>
      </w:r>
    </w:p>
  </w:footnote>
  <w:footnote w:type="continuationSeparator" w:id="0">
    <w:p w:rsidR="008D37DD" w:rsidRDefault="008D3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9C0D89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A0A57C" wp14:editId="5EF97311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A56835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7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A0A57C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A56835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7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4761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12F5"/>
    <w:rsid w:val="001827E5"/>
    <w:rsid w:val="00190D4B"/>
    <w:rsid w:val="001924E6"/>
    <w:rsid w:val="00195508"/>
    <w:rsid w:val="001968A2"/>
    <w:rsid w:val="001A06B4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2B6"/>
    <w:rsid w:val="0023775D"/>
    <w:rsid w:val="00241FAE"/>
    <w:rsid w:val="002445E8"/>
    <w:rsid w:val="002466AB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652C9"/>
    <w:rsid w:val="00366ECC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05B3"/>
    <w:rsid w:val="00494D4F"/>
    <w:rsid w:val="00497F31"/>
    <w:rsid w:val="004A050E"/>
    <w:rsid w:val="004A3459"/>
    <w:rsid w:val="004B3254"/>
    <w:rsid w:val="004B3ECB"/>
    <w:rsid w:val="004B6A48"/>
    <w:rsid w:val="004D0BDA"/>
    <w:rsid w:val="004D0DFE"/>
    <w:rsid w:val="004D20AB"/>
    <w:rsid w:val="004D3741"/>
    <w:rsid w:val="004D49A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4DE1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1F"/>
    <w:rsid w:val="00631F5D"/>
    <w:rsid w:val="0063705B"/>
    <w:rsid w:val="0065028B"/>
    <w:rsid w:val="006508B2"/>
    <w:rsid w:val="0065680E"/>
    <w:rsid w:val="00657899"/>
    <w:rsid w:val="00664075"/>
    <w:rsid w:val="00665AE6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EA8"/>
    <w:rsid w:val="007B28D8"/>
    <w:rsid w:val="007B33B6"/>
    <w:rsid w:val="007C7315"/>
    <w:rsid w:val="007D1593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37DD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5BD3"/>
    <w:rsid w:val="00966641"/>
    <w:rsid w:val="0097116C"/>
    <w:rsid w:val="00975373"/>
    <w:rsid w:val="00976D75"/>
    <w:rsid w:val="009774EF"/>
    <w:rsid w:val="00980F69"/>
    <w:rsid w:val="00983673"/>
    <w:rsid w:val="0098455A"/>
    <w:rsid w:val="00985D08"/>
    <w:rsid w:val="00986368"/>
    <w:rsid w:val="00997E3A"/>
    <w:rsid w:val="009A05C0"/>
    <w:rsid w:val="009A54C0"/>
    <w:rsid w:val="009A5A6E"/>
    <w:rsid w:val="009B3B44"/>
    <w:rsid w:val="009B585E"/>
    <w:rsid w:val="009C0D89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8A1"/>
    <w:rsid w:val="00A344E5"/>
    <w:rsid w:val="00A456D5"/>
    <w:rsid w:val="00A50A87"/>
    <w:rsid w:val="00A51AE5"/>
    <w:rsid w:val="00A53661"/>
    <w:rsid w:val="00A56835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3838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876A0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61DCA"/>
    <w:rsid w:val="00D640A1"/>
    <w:rsid w:val="00D67EE4"/>
    <w:rsid w:val="00D72540"/>
    <w:rsid w:val="00D72557"/>
    <w:rsid w:val="00D725C1"/>
    <w:rsid w:val="00D75495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F023EE"/>
    <w:rsid w:val="00F102DE"/>
    <w:rsid w:val="00F10714"/>
    <w:rsid w:val="00F11839"/>
    <w:rsid w:val="00F12831"/>
    <w:rsid w:val="00F12E5E"/>
    <w:rsid w:val="00F14749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CE38DB4A-646D-4A01-AC21-0AFB2AED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C3967-0288-4A0A-88B1-235FB5B8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779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Vio Gorget</dc:creator>
  <cp:lastModifiedBy>Leonardo Lueiza Ureta</cp:lastModifiedBy>
  <cp:revision>5</cp:revision>
  <cp:lastPrinted>2016-03-08T17:34:00Z</cp:lastPrinted>
  <dcterms:created xsi:type="dcterms:W3CDTF">2016-03-08T17:34:00Z</dcterms:created>
  <dcterms:modified xsi:type="dcterms:W3CDTF">2016-03-15T14:13:00Z</dcterms:modified>
</cp:coreProperties>
</file>