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21C0D" w14:textId="10F23B67" w:rsidR="003C54D0" w:rsidRPr="00F77C5F" w:rsidRDefault="0051502E" w:rsidP="009D790E">
      <w:pPr>
        <w:spacing w:after="0" w:line="276" w:lineRule="auto"/>
        <w:jc w:val="center"/>
        <w:rPr>
          <w:rFonts w:ascii="Palatino Linotype" w:hAnsi="Palatino Linotype"/>
          <w:b/>
          <w:bCs/>
          <w:sz w:val="24"/>
          <w:szCs w:val="24"/>
        </w:rPr>
      </w:pPr>
      <w:r w:rsidRPr="00F77C5F">
        <w:rPr>
          <w:rFonts w:ascii="Palatino Linotype" w:hAnsi="Palatino Linotype"/>
          <w:b/>
          <w:bCs/>
          <w:sz w:val="24"/>
          <w:szCs w:val="24"/>
        </w:rPr>
        <w:t xml:space="preserve">MODIFICA </w:t>
      </w:r>
      <w:r>
        <w:rPr>
          <w:rFonts w:ascii="Palatino Linotype" w:hAnsi="Palatino Linotype"/>
          <w:b/>
          <w:bCs/>
          <w:sz w:val="24"/>
          <w:szCs w:val="24"/>
        </w:rPr>
        <w:t xml:space="preserve">LA LEY N° 20.285, SOBRE ACCESO A LA INFORMACIÓN PÚBLICA, </w:t>
      </w:r>
      <w:r w:rsidRPr="00F77C5F">
        <w:rPr>
          <w:rFonts w:ascii="Palatino Linotype" w:hAnsi="Palatino Linotype"/>
          <w:b/>
          <w:bCs/>
          <w:sz w:val="24"/>
          <w:szCs w:val="24"/>
        </w:rPr>
        <w:t>PARA EXIGIR MAYORES ESTÁNDARES DE TRANSPARENCIA</w:t>
      </w:r>
      <w:r>
        <w:rPr>
          <w:rFonts w:ascii="Palatino Linotype" w:hAnsi="Palatino Linotype"/>
          <w:b/>
          <w:bCs/>
          <w:sz w:val="24"/>
          <w:szCs w:val="24"/>
        </w:rPr>
        <w:t xml:space="preserve"> CORPORATIVA A LAS EMPRESAS PÚBLICAS.</w:t>
      </w:r>
    </w:p>
    <w:p w14:paraId="166EA7E3" w14:textId="77777777" w:rsidR="00D52234" w:rsidRPr="00F77C5F" w:rsidRDefault="00D52234" w:rsidP="009D790E">
      <w:pPr>
        <w:spacing w:after="0" w:line="276" w:lineRule="auto"/>
        <w:rPr>
          <w:rFonts w:ascii="Palatino Linotype" w:hAnsi="Palatino Linotype"/>
          <w:sz w:val="24"/>
          <w:szCs w:val="24"/>
        </w:rPr>
      </w:pPr>
    </w:p>
    <w:p w14:paraId="1536C30C" w14:textId="20247158" w:rsidR="00230681" w:rsidRPr="00F77C5F" w:rsidRDefault="00230681" w:rsidP="009D790E">
      <w:pPr>
        <w:pStyle w:val="Prrafodelista"/>
        <w:numPr>
          <w:ilvl w:val="0"/>
          <w:numId w:val="1"/>
        </w:numPr>
        <w:spacing w:after="0" w:line="276" w:lineRule="auto"/>
        <w:rPr>
          <w:rFonts w:ascii="Palatino Linotype" w:hAnsi="Palatino Linotype"/>
          <w:b/>
          <w:bCs/>
          <w:sz w:val="24"/>
          <w:szCs w:val="24"/>
        </w:rPr>
      </w:pPr>
      <w:r w:rsidRPr="00F77C5F">
        <w:rPr>
          <w:rFonts w:ascii="Palatino Linotype" w:hAnsi="Palatino Linotype"/>
          <w:b/>
          <w:bCs/>
          <w:sz w:val="24"/>
          <w:szCs w:val="24"/>
        </w:rPr>
        <w:t xml:space="preserve">Fundamentos </w:t>
      </w:r>
    </w:p>
    <w:p w14:paraId="311CF072" w14:textId="3E400340" w:rsidR="00D52234" w:rsidRPr="00F77C5F" w:rsidRDefault="00D52234" w:rsidP="009D790E">
      <w:pPr>
        <w:spacing w:after="0" w:line="276" w:lineRule="auto"/>
        <w:rPr>
          <w:rFonts w:ascii="Palatino Linotype" w:hAnsi="Palatino Linotype"/>
          <w:sz w:val="24"/>
          <w:szCs w:val="24"/>
        </w:rPr>
      </w:pPr>
    </w:p>
    <w:p w14:paraId="38C97ECC" w14:textId="0E3D36FA" w:rsidR="00D52234" w:rsidRPr="00F77C5F" w:rsidRDefault="000A31E0" w:rsidP="009D790E">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 xml:space="preserve">Chile viene desarrollando una importante cultura de la transparencia y acceso a la información, sobre todo a partir de la entrada en vigencia de la reforma constitucional de 2005, que introdujo un nuevo artículo 8 a la Constitución Política, cuyo inciso segundo </w:t>
      </w:r>
      <w:r w:rsidR="000F1460" w:rsidRPr="00F77C5F">
        <w:rPr>
          <w:rFonts w:ascii="Palatino Linotype" w:hAnsi="Palatino Linotype"/>
          <w:sz w:val="24"/>
          <w:szCs w:val="24"/>
        </w:rPr>
        <w:t>preceptuaba</w:t>
      </w:r>
      <w:r w:rsidRPr="00F77C5F">
        <w:rPr>
          <w:rFonts w:ascii="Palatino Linotype" w:hAnsi="Palatino Linotype"/>
          <w:sz w:val="24"/>
          <w:szCs w:val="24"/>
        </w:rPr>
        <w:t xml:space="preserve"> que “son públicos los actos y resoluciones de los órganos del Estado, así como sus fundamentos </w:t>
      </w:r>
      <w:r w:rsidR="000F1460" w:rsidRPr="00F77C5F">
        <w:rPr>
          <w:rFonts w:ascii="Palatino Linotype" w:hAnsi="Palatino Linotype"/>
          <w:sz w:val="24"/>
          <w:szCs w:val="24"/>
        </w:rPr>
        <w:t>y los procedimientos que utilicen”</w:t>
      </w:r>
    </w:p>
    <w:p w14:paraId="5D72D3FC" w14:textId="193B491C" w:rsidR="000F1460" w:rsidRPr="00F77C5F" w:rsidRDefault="000F1460" w:rsidP="009D790E">
      <w:pPr>
        <w:spacing w:after="0" w:line="276" w:lineRule="auto"/>
        <w:ind w:firstLine="360"/>
        <w:jc w:val="both"/>
        <w:rPr>
          <w:rFonts w:ascii="Palatino Linotype" w:hAnsi="Palatino Linotype"/>
          <w:sz w:val="24"/>
          <w:szCs w:val="24"/>
        </w:rPr>
      </w:pPr>
    </w:p>
    <w:p w14:paraId="1270737E" w14:textId="00BEF582" w:rsidR="000F1460" w:rsidRPr="00F77C5F" w:rsidRDefault="000F1460" w:rsidP="009D790E">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 xml:space="preserve">Es necesario puntualizar que la norma constitucional precitada tiene una importancia capital, </w:t>
      </w:r>
      <w:r w:rsidR="006137F1" w:rsidRPr="00F77C5F">
        <w:rPr>
          <w:rFonts w:ascii="Palatino Linotype" w:hAnsi="Palatino Linotype"/>
          <w:sz w:val="24"/>
          <w:szCs w:val="24"/>
        </w:rPr>
        <w:t xml:space="preserve">dado </w:t>
      </w:r>
      <w:r w:rsidRPr="00F77C5F">
        <w:rPr>
          <w:rFonts w:ascii="Palatino Linotype" w:hAnsi="Palatino Linotype"/>
          <w:sz w:val="24"/>
          <w:szCs w:val="24"/>
        </w:rPr>
        <w:t xml:space="preserve">que elevó a rango constitucional el principio de transparencia en el ejercicio de la función pública, el que se encuentra complementado por el derecho de acceso a la información </w:t>
      </w:r>
      <w:r w:rsidR="006137F1" w:rsidRPr="00F77C5F">
        <w:rPr>
          <w:rFonts w:ascii="Palatino Linotype" w:hAnsi="Palatino Linotype"/>
          <w:sz w:val="24"/>
          <w:szCs w:val="24"/>
        </w:rPr>
        <w:t>pública, consagrado en la ley N° 20.285, mejor conocida como Ley de Transparencia.</w:t>
      </w:r>
      <w:r w:rsidRPr="00F77C5F">
        <w:rPr>
          <w:rFonts w:ascii="Palatino Linotype" w:hAnsi="Palatino Linotype"/>
          <w:sz w:val="24"/>
          <w:szCs w:val="24"/>
        </w:rPr>
        <w:t xml:space="preserve"> </w:t>
      </w:r>
    </w:p>
    <w:p w14:paraId="1DB38E86" w14:textId="5C05F43C" w:rsidR="00230681" w:rsidRPr="00F77C5F" w:rsidRDefault="00230681" w:rsidP="00014A16">
      <w:pPr>
        <w:spacing w:after="0" w:line="276" w:lineRule="auto"/>
        <w:jc w:val="both"/>
        <w:rPr>
          <w:rFonts w:ascii="Palatino Linotype" w:hAnsi="Palatino Linotype"/>
          <w:sz w:val="24"/>
          <w:szCs w:val="24"/>
        </w:rPr>
      </w:pPr>
    </w:p>
    <w:p w14:paraId="692FB46A" w14:textId="62E29C57" w:rsidR="00230681" w:rsidRPr="00F77C5F" w:rsidRDefault="006137F1" w:rsidP="00014A16">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El referido derecho de acceso a la información pública permite a cualquier persona solicitar y recibir información de cualquier órgano de la Administración del Estado</w:t>
      </w:r>
      <w:r w:rsidR="00A34D3E" w:rsidRPr="00F77C5F">
        <w:rPr>
          <w:rFonts w:ascii="Palatino Linotype" w:hAnsi="Palatino Linotype"/>
          <w:sz w:val="24"/>
          <w:szCs w:val="24"/>
        </w:rPr>
        <w:t xml:space="preserve"> y se concreta a través de dos mecanismos: la transparencia activa y la solicitud de información.</w:t>
      </w:r>
    </w:p>
    <w:p w14:paraId="2A94A507" w14:textId="238BB4D8" w:rsidR="00A34D3E" w:rsidRPr="00F77C5F" w:rsidRDefault="00A34D3E" w:rsidP="009D790E">
      <w:pPr>
        <w:spacing w:after="0" w:line="276" w:lineRule="auto"/>
        <w:ind w:firstLine="360"/>
        <w:rPr>
          <w:rFonts w:ascii="Palatino Linotype" w:hAnsi="Palatino Linotype"/>
          <w:sz w:val="24"/>
          <w:szCs w:val="24"/>
        </w:rPr>
      </w:pPr>
    </w:p>
    <w:p w14:paraId="41A577E5" w14:textId="6C6FAAED" w:rsidR="00A34D3E" w:rsidRPr="00F77C5F" w:rsidRDefault="00A34D3E" w:rsidP="00014A16">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 xml:space="preserve">Tratándose de las empresas públicas, éstas se rigen por la transparencia activa, es decir, están obligadas a publicar en sus sitios web información útil, oportuna y relevante, sin mediar requerimiento alguno por parte de la ciudadanía. </w:t>
      </w:r>
    </w:p>
    <w:p w14:paraId="0741B126" w14:textId="7D061634" w:rsidR="00A34D3E" w:rsidRPr="00F77C5F" w:rsidRDefault="00A34D3E" w:rsidP="00014A16">
      <w:pPr>
        <w:spacing w:after="0" w:line="276" w:lineRule="auto"/>
        <w:jc w:val="both"/>
        <w:rPr>
          <w:rFonts w:ascii="Palatino Linotype" w:hAnsi="Palatino Linotype"/>
          <w:sz w:val="24"/>
          <w:szCs w:val="24"/>
        </w:rPr>
      </w:pPr>
    </w:p>
    <w:p w14:paraId="6D8EB41C" w14:textId="3E94DA0E" w:rsidR="00E45931" w:rsidRPr="00F77C5F" w:rsidRDefault="00E45931" w:rsidP="00014A16">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 xml:space="preserve">La transparencia constituye un valor esencial de este siglo, por lo mismo es de vital importancia </w:t>
      </w:r>
      <w:r w:rsidR="0090615E" w:rsidRPr="00F77C5F">
        <w:rPr>
          <w:rFonts w:ascii="Palatino Linotype" w:hAnsi="Palatino Linotype"/>
          <w:sz w:val="24"/>
          <w:szCs w:val="24"/>
        </w:rPr>
        <w:t xml:space="preserve">que las empresas del Estado se rijan por ella, ya que por su carácter estatal pertenecen a todos los chilenos, en consecuencia, todo habitante del territorio </w:t>
      </w:r>
      <w:r w:rsidR="0090615E" w:rsidRPr="00F77C5F">
        <w:rPr>
          <w:rFonts w:ascii="Palatino Linotype" w:hAnsi="Palatino Linotype"/>
          <w:sz w:val="24"/>
          <w:szCs w:val="24"/>
        </w:rPr>
        <w:lastRenderedPageBreak/>
        <w:t>tiene derecho a recibir información de tipo económica, financiera, sobre contratación de personal, etc.</w:t>
      </w:r>
    </w:p>
    <w:p w14:paraId="6F7E1E07" w14:textId="5452F5AB" w:rsidR="0090615E" w:rsidRPr="00F77C5F" w:rsidRDefault="0090615E" w:rsidP="009D790E">
      <w:pPr>
        <w:spacing w:after="0" w:line="276" w:lineRule="auto"/>
        <w:ind w:firstLine="360"/>
        <w:jc w:val="both"/>
        <w:rPr>
          <w:rFonts w:ascii="Palatino Linotype" w:hAnsi="Palatino Linotype"/>
          <w:sz w:val="24"/>
          <w:szCs w:val="24"/>
        </w:rPr>
      </w:pPr>
    </w:p>
    <w:p w14:paraId="0DA7762B" w14:textId="341B44B4" w:rsidR="0090615E" w:rsidRPr="00F77C5F" w:rsidRDefault="0090615E" w:rsidP="009D790E">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Una política de transparencia corporativa permite reducir los espacios a las malas prácticas, pues a mayor y mejor información menor lugar para corrupción.</w:t>
      </w:r>
    </w:p>
    <w:p w14:paraId="15278522" w14:textId="282B37BA" w:rsidR="0090615E" w:rsidRPr="00F77C5F" w:rsidRDefault="0090615E" w:rsidP="009D790E">
      <w:pPr>
        <w:spacing w:after="0" w:line="276" w:lineRule="auto"/>
        <w:ind w:firstLine="360"/>
        <w:jc w:val="both"/>
        <w:rPr>
          <w:rFonts w:ascii="Palatino Linotype" w:hAnsi="Palatino Linotype"/>
          <w:sz w:val="24"/>
          <w:szCs w:val="24"/>
        </w:rPr>
      </w:pPr>
    </w:p>
    <w:p w14:paraId="1D05B443" w14:textId="2562BB52" w:rsidR="0090615E" w:rsidRPr="00F77C5F" w:rsidRDefault="0090615E" w:rsidP="009D790E">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En otro orden de ideas, desde la incorporación de Chile a la Organización para la Cooperación y el Desarrollo Económicos (OCDE)</w:t>
      </w:r>
      <w:r w:rsidR="009D03FD" w:rsidRPr="00F77C5F">
        <w:rPr>
          <w:rFonts w:ascii="Palatino Linotype" w:hAnsi="Palatino Linotype"/>
          <w:sz w:val="24"/>
          <w:szCs w:val="24"/>
        </w:rPr>
        <w:t xml:space="preserve">, se vuelve importante conocer qué ha opinado este foro internacional en la materia. Desde luego, en el documento “Directrices de la OCDE sobre Gobierno Corporativo de las Empresas Públicas” este organismo multilateral considera que las empresas públicas deben mantener un elevado nivel de transparencia y fija una serie de deberes de información </w:t>
      </w:r>
      <w:r w:rsidR="003706BE" w:rsidRPr="00F77C5F">
        <w:rPr>
          <w:rFonts w:ascii="Palatino Linotype" w:hAnsi="Palatino Linotype"/>
          <w:sz w:val="24"/>
          <w:szCs w:val="24"/>
        </w:rPr>
        <w:t>y otros que deben</w:t>
      </w:r>
      <w:r w:rsidR="009D03FD" w:rsidRPr="00F77C5F">
        <w:rPr>
          <w:rFonts w:ascii="Palatino Linotype" w:hAnsi="Palatino Linotype"/>
          <w:sz w:val="24"/>
          <w:szCs w:val="24"/>
        </w:rPr>
        <w:t xml:space="preserve"> cumplir </w:t>
      </w:r>
      <w:r w:rsidR="003706BE" w:rsidRPr="00F77C5F">
        <w:rPr>
          <w:rFonts w:ascii="Palatino Linotype" w:hAnsi="Palatino Linotype"/>
          <w:sz w:val="24"/>
          <w:szCs w:val="24"/>
        </w:rPr>
        <w:t xml:space="preserve">estas empresas </w:t>
      </w:r>
      <w:r w:rsidR="009D03FD" w:rsidRPr="00F77C5F">
        <w:rPr>
          <w:rFonts w:ascii="Palatino Linotype" w:hAnsi="Palatino Linotype"/>
          <w:sz w:val="24"/>
          <w:szCs w:val="24"/>
        </w:rPr>
        <w:t>como la necesidad de que se sometan a una auditoría anual e independiente, por ejemplo.</w:t>
      </w:r>
    </w:p>
    <w:p w14:paraId="4F144210" w14:textId="739A6E2A" w:rsidR="009D03FD" w:rsidRPr="00F77C5F" w:rsidRDefault="009D03FD" w:rsidP="00DE6013">
      <w:pPr>
        <w:spacing w:after="0" w:line="276" w:lineRule="auto"/>
        <w:jc w:val="both"/>
        <w:rPr>
          <w:rFonts w:ascii="Palatino Linotype" w:hAnsi="Palatino Linotype"/>
          <w:sz w:val="24"/>
          <w:szCs w:val="24"/>
        </w:rPr>
      </w:pPr>
    </w:p>
    <w:p w14:paraId="682CC5F8" w14:textId="6210D2ED" w:rsidR="009D790E" w:rsidRPr="00F77C5F" w:rsidRDefault="00014A16" w:rsidP="009D790E">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P</w:t>
      </w:r>
      <w:r w:rsidR="009D790E" w:rsidRPr="00F77C5F">
        <w:rPr>
          <w:rFonts w:ascii="Palatino Linotype" w:hAnsi="Palatino Linotype"/>
          <w:sz w:val="24"/>
          <w:szCs w:val="24"/>
        </w:rPr>
        <w:t xml:space="preserve">ara avanzar hacia mayores estándares de transparencia </w:t>
      </w:r>
      <w:r w:rsidRPr="00F77C5F">
        <w:rPr>
          <w:rFonts w:ascii="Palatino Linotype" w:hAnsi="Palatino Linotype"/>
          <w:sz w:val="24"/>
          <w:szCs w:val="24"/>
        </w:rPr>
        <w:t xml:space="preserve">en </w:t>
      </w:r>
      <w:r w:rsidR="004251E7" w:rsidRPr="00F77C5F">
        <w:rPr>
          <w:rFonts w:ascii="Palatino Linotype" w:hAnsi="Palatino Linotype"/>
          <w:sz w:val="24"/>
          <w:szCs w:val="24"/>
        </w:rPr>
        <w:t>las empresas estatales</w:t>
      </w:r>
      <w:r w:rsidRPr="00F77C5F">
        <w:rPr>
          <w:rFonts w:ascii="Palatino Linotype" w:hAnsi="Palatino Linotype"/>
          <w:sz w:val="24"/>
          <w:szCs w:val="24"/>
        </w:rPr>
        <w:t xml:space="preserve"> </w:t>
      </w:r>
      <w:r w:rsidR="009D790E" w:rsidRPr="00F77C5F">
        <w:rPr>
          <w:rFonts w:ascii="Palatino Linotype" w:hAnsi="Palatino Linotype"/>
          <w:sz w:val="24"/>
          <w:szCs w:val="24"/>
        </w:rPr>
        <w:t>es preciso revisar lo que dispone</w:t>
      </w:r>
      <w:r w:rsidRPr="00F77C5F">
        <w:rPr>
          <w:rFonts w:ascii="Palatino Linotype" w:hAnsi="Palatino Linotype"/>
          <w:sz w:val="24"/>
          <w:szCs w:val="24"/>
        </w:rPr>
        <w:t xml:space="preserve"> actualmente </w:t>
      </w:r>
      <w:r w:rsidR="009D790E" w:rsidRPr="00F77C5F">
        <w:rPr>
          <w:rFonts w:ascii="Palatino Linotype" w:hAnsi="Palatino Linotype"/>
          <w:sz w:val="24"/>
          <w:szCs w:val="24"/>
        </w:rPr>
        <w:t>el artículo décimo de la Ley de Transparencia, de cuyo tenor se sigue que:</w:t>
      </w:r>
    </w:p>
    <w:p w14:paraId="3DCCB655" w14:textId="77777777" w:rsidR="009D790E" w:rsidRPr="00F77C5F" w:rsidRDefault="009D790E" w:rsidP="009D790E">
      <w:pPr>
        <w:spacing w:after="0" w:line="276" w:lineRule="auto"/>
        <w:ind w:firstLine="360"/>
        <w:jc w:val="both"/>
        <w:rPr>
          <w:rFonts w:ascii="Palatino Linotype" w:hAnsi="Palatino Linotype"/>
          <w:sz w:val="24"/>
          <w:szCs w:val="24"/>
        </w:rPr>
      </w:pPr>
    </w:p>
    <w:p w14:paraId="14C3219E" w14:textId="2103FC48" w:rsidR="009D790E" w:rsidRPr="00F77C5F" w:rsidRDefault="00014A16"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rPr>
        <w:t>“</w:t>
      </w:r>
      <w:r w:rsidR="009D790E" w:rsidRPr="00F77C5F">
        <w:rPr>
          <w:rFonts w:ascii="Palatino Linotype" w:hAnsi="Palatino Linotype"/>
          <w:i/>
          <w:iCs/>
          <w:sz w:val="24"/>
          <w:szCs w:val="24"/>
        </w:rPr>
        <w:t>A</w:t>
      </w:r>
      <w:r w:rsidR="009D790E" w:rsidRPr="00F77C5F">
        <w:rPr>
          <w:rFonts w:ascii="Palatino Linotype" w:hAnsi="Palatino Linotype"/>
          <w:i/>
          <w:iCs/>
          <w:sz w:val="24"/>
          <w:szCs w:val="24"/>
          <w:lang w:eastAsia="es-CL"/>
        </w:rPr>
        <w:t>rtículo décimo.- El principio de la transparencia de la función pública consagrado en el inciso segundo del artículo 8º de la Constitución Política y en los artículos 3º y 4º de la Ley de Transparencia de la Función Pública y Acceso a la Información de la Administración del Estado es aplicable a las empresas públicas creadas por ley y a las empresas del Estado y a las sociedades en que éste tenga participación accionaria superior al 50% o mayoría en el directorio, tales como Televisión Nacional de Chile, la Empresa Nacional de Minería, la Empresa de Ferrocarriles del Estado, la Corporación Nacional del Cobre de Chile o Banco Estado, aun cuando la ley respectiva disponga que es necesario mencionarlas expresamente para quedar sujetas a las regulaciones de otras leyes.</w:t>
      </w:r>
    </w:p>
    <w:p w14:paraId="6C5CE5D5" w14:textId="77777777" w:rsidR="009D790E" w:rsidRPr="00F77C5F" w:rsidRDefault="009D790E" w:rsidP="00DE6013">
      <w:pPr>
        <w:spacing w:after="0" w:line="276" w:lineRule="auto"/>
        <w:ind w:left="708"/>
        <w:jc w:val="both"/>
        <w:rPr>
          <w:rFonts w:ascii="Palatino Linotype" w:hAnsi="Palatino Linotype"/>
          <w:i/>
          <w:iCs/>
          <w:sz w:val="24"/>
          <w:szCs w:val="24"/>
          <w:lang w:eastAsia="es-CL"/>
        </w:rPr>
      </w:pPr>
    </w:p>
    <w:p w14:paraId="5AAFBB1B" w14:textId="03D0626F"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lastRenderedPageBreak/>
        <w:t>En virtud de dicho principio, las empresas mencionadas en el inciso anterior deberán mantener a disposición permanente del público, a través de sus sitios electrónicos, los siguientes antecedentes debidamente actualizados:</w:t>
      </w:r>
    </w:p>
    <w:p w14:paraId="45D47D1C" w14:textId="77777777" w:rsidR="009D790E" w:rsidRPr="00F77C5F" w:rsidRDefault="009D790E" w:rsidP="00DE6013">
      <w:pPr>
        <w:spacing w:after="0" w:line="276" w:lineRule="auto"/>
        <w:ind w:left="708"/>
        <w:jc w:val="both"/>
        <w:rPr>
          <w:rFonts w:ascii="Palatino Linotype" w:hAnsi="Palatino Linotype"/>
          <w:i/>
          <w:iCs/>
          <w:sz w:val="24"/>
          <w:szCs w:val="24"/>
          <w:lang w:eastAsia="es-CL"/>
        </w:rPr>
      </w:pPr>
    </w:p>
    <w:p w14:paraId="22A9D16E" w14:textId="6CB70F57"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a) El marco normativo que les sea aplicable.</w:t>
      </w:r>
    </w:p>
    <w:p w14:paraId="67D41B89" w14:textId="39EBE4C4"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b) Su estructura orgánica u organización interna.</w:t>
      </w:r>
    </w:p>
    <w:p w14:paraId="4F3147E9" w14:textId="29B4040D"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c) Las funciones y competencias de cada una de sus unidades u órganos internos.</w:t>
      </w:r>
    </w:p>
    <w:p w14:paraId="30A09A20" w14:textId="7A0C402F"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d) Sus estados financieros y memorias anuales.</w:t>
      </w:r>
    </w:p>
    <w:p w14:paraId="1C45875B" w14:textId="430746A2"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e) Sus filiales o coligadas y todas las entidades en que tengan participación, representación e intervención, cualquiera sea su naturaleza y el fundamento normativo que la justifica.</w:t>
      </w:r>
    </w:p>
    <w:p w14:paraId="32667DB5" w14:textId="092D7C90"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f) La composición de sus directorios y la individualización de los responsables de la gestión y administración de la empresa.</w:t>
      </w:r>
    </w:p>
    <w:p w14:paraId="20F165D1" w14:textId="31104D45"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g) Información consolidada del personal.</w:t>
      </w:r>
    </w:p>
    <w:p w14:paraId="67DBCD54" w14:textId="5971294E"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h) Toda remuneración percibida en el año por cada Director, Presidente Ejecutivo o Vicepresidente Ejecutivo y Gerentes responsables de la dirección y administración superior de la empresa, incluso aquellas que provengan de funciones o empleos distintos del ejercicio de su cargo que le hayan sido conferidos por la empresa, o por concepto de gastos de representación, viáticos, regalías y, en general, todo otro estipendio. Asimismo, deberá incluirse, de forma global y consolidada, la remuneración total percibida por el personal de la empresa.</w:t>
      </w:r>
    </w:p>
    <w:p w14:paraId="02E8E966" w14:textId="77777777" w:rsidR="00014A16" w:rsidRPr="00F77C5F" w:rsidRDefault="00014A16" w:rsidP="00DE6013">
      <w:pPr>
        <w:spacing w:after="0" w:line="276" w:lineRule="auto"/>
        <w:ind w:left="708"/>
        <w:jc w:val="both"/>
        <w:rPr>
          <w:rFonts w:ascii="Palatino Linotype" w:hAnsi="Palatino Linotype"/>
          <w:i/>
          <w:iCs/>
          <w:sz w:val="24"/>
          <w:szCs w:val="24"/>
          <w:lang w:eastAsia="es-CL"/>
        </w:rPr>
      </w:pPr>
    </w:p>
    <w:p w14:paraId="7660F783" w14:textId="7051885A" w:rsidR="009D790E"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La información anterior deberá incorporarse a sus sitios electrónicos en forma completa, y de un modo que permita su fácil identificación y un acceso expedito.</w:t>
      </w:r>
    </w:p>
    <w:p w14:paraId="2DCBC4C6" w14:textId="77777777" w:rsidR="00014A16" w:rsidRPr="00F77C5F" w:rsidRDefault="00014A16" w:rsidP="00DE6013">
      <w:pPr>
        <w:spacing w:after="0" w:line="276" w:lineRule="auto"/>
        <w:ind w:left="708"/>
        <w:jc w:val="both"/>
        <w:rPr>
          <w:rFonts w:ascii="Palatino Linotype" w:hAnsi="Palatino Linotype"/>
          <w:i/>
          <w:iCs/>
          <w:sz w:val="24"/>
          <w:szCs w:val="24"/>
          <w:lang w:eastAsia="es-CL"/>
        </w:rPr>
      </w:pPr>
    </w:p>
    <w:p w14:paraId="31C5ABC1" w14:textId="429E7260" w:rsidR="00014A16" w:rsidRPr="00F77C5F" w:rsidRDefault="009D790E" w:rsidP="00DE6013">
      <w:pPr>
        <w:spacing w:after="0" w:line="276" w:lineRule="auto"/>
        <w:ind w:left="708"/>
        <w:jc w:val="both"/>
        <w:rPr>
          <w:rFonts w:ascii="Palatino Linotype" w:hAnsi="Palatino Linotype"/>
          <w:i/>
          <w:iCs/>
          <w:sz w:val="24"/>
          <w:szCs w:val="24"/>
          <w:lang w:eastAsia="es-CL"/>
        </w:rPr>
      </w:pPr>
      <w:r w:rsidRPr="00F77C5F">
        <w:rPr>
          <w:rFonts w:ascii="Palatino Linotype" w:hAnsi="Palatino Linotype"/>
          <w:i/>
          <w:iCs/>
          <w:sz w:val="24"/>
          <w:szCs w:val="24"/>
          <w:lang w:eastAsia="es-CL"/>
        </w:rPr>
        <w:t>Las empresas a que se refiere este artículo, cualquiera sea el estatuto por el que se rijan, estarán obligadas a entregar a la Superintendencia de Valores y Seguros o, en su caso, a la Superintendencia a cuya fiscalización se encuentren sometidas, la misma información a que están obligadas las sociedades anónimas abiertas de conformidad con la ley N° 18.046. En caso de incumplimiento, los directores responsables de la empresa infractora serán sancionados con multa a beneficio fiscal hasta por un monto de quinientas unidades de fomento, aplicada por la respectiva Superintendencia de conformidad con las atribuciones y el procedimiento que establecen sus respectivas leyes orgánicas</w:t>
      </w:r>
      <w:r w:rsidR="00014A16" w:rsidRPr="00F77C5F">
        <w:rPr>
          <w:rFonts w:ascii="Palatino Linotype" w:hAnsi="Palatino Linotype"/>
          <w:i/>
          <w:iCs/>
          <w:sz w:val="24"/>
          <w:szCs w:val="24"/>
          <w:lang w:eastAsia="es-CL"/>
        </w:rPr>
        <w:t>.”</w:t>
      </w:r>
      <w:r w:rsidRPr="00F77C5F">
        <w:rPr>
          <w:rFonts w:ascii="Palatino Linotype" w:hAnsi="Palatino Linotype"/>
          <w:i/>
          <w:iCs/>
          <w:sz w:val="24"/>
          <w:szCs w:val="24"/>
          <w:lang w:eastAsia="es-CL"/>
        </w:rPr>
        <w:t>.</w:t>
      </w:r>
    </w:p>
    <w:p w14:paraId="0DD0D6D5" w14:textId="1FCE6433" w:rsidR="00014A16" w:rsidRPr="00F77C5F" w:rsidRDefault="00014A16" w:rsidP="00014A16">
      <w:pPr>
        <w:spacing w:after="0" w:line="276" w:lineRule="auto"/>
        <w:jc w:val="both"/>
        <w:rPr>
          <w:rFonts w:ascii="Palatino Linotype" w:hAnsi="Palatino Linotype"/>
          <w:i/>
          <w:iCs/>
          <w:sz w:val="24"/>
          <w:szCs w:val="24"/>
          <w:lang w:eastAsia="es-CL"/>
        </w:rPr>
      </w:pPr>
    </w:p>
    <w:p w14:paraId="4BE6C28E" w14:textId="44BAD23C" w:rsidR="00014A16" w:rsidRPr="00F77C5F" w:rsidRDefault="00014A16" w:rsidP="009B5534">
      <w:pPr>
        <w:spacing w:after="0" w:line="276" w:lineRule="auto"/>
        <w:ind w:firstLine="360"/>
        <w:jc w:val="both"/>
        <w:rPr>
          <w:rFonts w:ascii="Palatino Linotype" w:hAnsi="Palatino Linotype"/>
          <w:sz w:val="24"/>
          <w:szCs w:val="24"/>
          <w:lang w:eastAsia="es-CL"/>
        </w:rPr>
      </w:pPr>
      <w:r w:rsidRPr="00F77C5F">
        <w:rPr>
          <w:rFonts w:ascii="Palatino Linotype" w:hAnsi="Palatino Linotype"/>
          <w:sz w:val="24"/>
          <w:szCs w:val="24"/>
          <w:lang w:eastAsia="es-CL"/>
        </w:rPr>
        <w:t>De</w:t>
      </w:r>
      <w:r w:rsidR="00B4537F" w:rsidRPr="00F77C5F">
        <w:rPr>
          <w:rFonts w:ascii="Palatino Linotype" w:hAnsi="Palatino Linotype"/>
          <w:sz w:val="24"/>
          <w:szCs w:val="24"/>
          <w:lang w:eastAsia="es-CL"/>
        </w:rPr>
        <w:t xml:space="preserve">l tenor literal del literal h) del artículo décimo fluye que se debe </w:t>
      </w:r>
      <w:r w:rsidR="00DE6013" w:rsidRPr="00F77C5F">
        <w:rPr>
          <w:rFonts w:ascii="Palatino Linotype" w:hAnsi="Palatino Linotype"/>
          <w:sz w:val="24"/>
          <w:szCs w:val="24"/>
          <w:lang w:eastAsia="es-CL"/>
        </w:rPr>
        <w:t>publicar, a través de sitios electrónicos</w:t>
      </w:r>
      <w:r w:rsidR="00B4537F" w:rsidRPr="00F77C5F">
        <w:rPr>
          <w:rFonts w:ascii="Palatino Linotype" w:hAnsi="Palatino Linotype"/>
          <w:sz w:val="24"/>
          <w:szCs w:val="24"/>
          <w:lang w:eastAsia="es-CL"/>
        </w:rPr>
        <w:t>, t</w:t>
      </w:r>
      <w:r w:rsidR="00DE6013" w:rsidRPr="00F77C5F">
        <w:rPr>
          <w:rFonts w:ascii="Palatino Linotype" w:hAnsi="Palatino Linotype"/>
          <w:sz w:val="24"/>
          <w:szCs w:val="24"/>
          <w:lang w:eastAsia="es-CL"/>
        </w:rPr>
        <w:t xml:space="preserve">oda remuneración percibida en </w:t>
      </w:r>
      <w:r w:rsidR="004251E7" w:rsidRPr="00F77C5F">
        <w:rPr>
          <w:rFonts w:ascii="Palatino Linotype" w:hAnsi="Palatino Linotype"/>
          <w:sz w:val="24"/>
          <w:szCs w:val="24"/>
          <w:lang w:eastAsia="es-CL"/>
        </w:rPr>
        <w:t>el año</w:t>
      </w:r>
      <w:r w:rsidR="00DE6013" w:rsidRPr="00F77C5F">
        <w:rPr>
          <w:rFonts w:ascii="Palatino Linotype" w:hAnsi="Palatino Linotype"/>
          <w:sz w:val="24"/>
          <w:szCs w:val="24"/>
          <w:lang w:eastAsia="es-CL"/>
        </w:rPr>
        <w:t xml:space="preserve"> por los altos ejecutivos</w:t>
      </w:r>
      <w:r w:rsidR="00B4537F" w:rsidRPr="00F77C5F">
        <w:rPr>
          <w:rFonts w:ascii="Palatino Linotype" w:hAnsi="Palatino Linotype"/>
          <w:sz w:val="24"/>
          <w:szCs w:val="24"/>
          <w:lang w:eastAsia="es-CL"/>
        </w:rPr>
        <w:t xml:space="preserve"> de la empresa, así como aquellas que provienen de funciones o empleos distintos del ejercicio del cargo o por concepto de gastos de representación, viáticos, regalías y, en general, todo otro estipendio</w:t>
      </w:r>
      <w:r w:rsidR="00DE6013" w:rsidRPr="00F77C5F">
        <w:rPr>
          <w:rFonts w:ascii="Palatino Linotype" w:hAnsi="Palatino Linotype"/>
          <w:sz w:val="24"/>
          <w:szCs w:val="24"/>
          <w:lang w:eastAsia="es-CL"/>
        </w:rPr>
        <w:t>.</w:t>
      </w:r>
      <w:r w:rsidR="009B5534" w:rsidRPr="00F77C5F">
        <w:rPr>
          <w:rFonts w:ascii="Palatino Linotype" w:hAnsi="Palatino Linotype"/>
          <w:sz w:val="24"/>
          <w:szCs w:val="24"/>
          <w:lang w:eastAsia="es-CL"/>
        </w:rPr>
        <w:t xml:space="preserve"> </w:t>
      </w:r>
      <w:r w:rsidR="00B4537F" w:rsidRPr="00F77C5F">
        <w:rPr>
          <w:rFonts w:ascii="Palatino Linotype" w:hAnsi="Palatino Linotype"/>
          <w:sz w:val="24"/>
          <w:szCs w:val="24"/>
          <w:lang w:eastAsia="es-CL"/>
        </w:rPr>
        <w:t>T</w:t>
      </w:r>
      <w:r w:rsidR="00DE6013" w:rsidRPr="00F77C5F">
        <w:rPr>
          <w:rFonts w:ascii="Palatino Linotype" w:hAnsi="Palatino Linotype"/>
          <w:sz w:val="24"/>
          <w:szCs w:val="24"/>
          <w:lang w:eastAsia="es-CL"/>
        </w:rPr>
        <w:t>ratándose del resto del personal de la empresa</w:t>
      </w:r>
      <w:r w:rsidR="00B4537F" w:rsidRPr="00F77C5F">
        <w:rPr>
          <w:rFonts w:ascii="Palatino Linotype" w:hAnsi="Palatino Linotype"/>
          <w:sz w:val="24"/>
          <w:szCs w:val="24"/>
          <w:lang w:eastAsia="es-CL"/>
        </w:rPr>
        <w:t>, la ley</w:t>
      </w:r>
      <w:r w:rsidR="00DE6013" w:rsidRPr="00F77C5F">
        <w:rPr>
          <w:rFonts w:ascii="Palatino Linotype" w:hAnsi="Palatino Linotype"/>
          <w:sz w:val="24"/>
          <w:szCs w:val="24"/>
          <w:lang w:eastAsia="es-CL"/>
        </w:rPr>
        <w:t xml:space="preserve"> sólo se </w:t>
      </w:r>
      <w:r w:rsidR="00B4537F" w:rsidRPr="00F77C5F">
        <w:rPr>
          <w:rFonts w:ascii="Palatino Linotype" w:hAnsi="Palatino Linotype"/>
          <w:sz w:val="24"/>
          <w:szCs w:val="24"/>
          <w:lang w:eastAsia="es-CL"/>
        </w:rPr>
        <w:t>exige</w:t>
      </w:r>
      <w:r w:rsidR="00DE6013" w:rsidRPr="00F77C5F">
        <w:rPr>
          <w:rFonts w:ascii="Palatino Linotype" w:hAnsi="Palatino Linotype"/>
          <w:sz w:val="24"/>
          <w:szCs w:val="24"/>
          <w:lang w:eastAsia="es-CL"/>
        </w:rPr>
        <w:t xml:space="preserve"> informar la remuneración percibida, bastando que ello se haga de forma global y consolidada. </w:t>
      </w:r>
    </w:p>
    <w:p w14:paraId="66333889" w14:textId="560CC3CC" w:rsidR="00B4537F" w:rsidRPr="00F77C5F" w:rsidRDefault="00B4537F" w:rsidP="00B4537F">
      <w:pPr>
        <w:spacing w:after="0" w:line="276" w:lineRule="auto"/>
        <w:ind w:firstLine="360"/>
        <w:jc w:val="both"/>
        <w:rPr>
          <w:rFonts w:ascii="Palatino Linotype" w:hAnsi="Palatino Linotype"/>
          <w:sz w:val="24"/>
          <w:szCs w:val="24"/>
          <w:lang w:eastAsia="es-CL"/>
        </w:rPr>
      </w:pPr>
    </w:p>
    <w:p w14:paraId="685AEF74" w14:textId="0576C4A3" w:rsidR="009B5534" w:rsidRPr="00F77C5F" w:rsidRDefault="00B4537F" w:rsidP="009B5534">
      <w:pPr>
        <w:spacing w:after="0" w:line="276" w:lineRule="auto"/>
        <w:ind w:firstLine="360"/>
        <w:jc w:val="both"/>
        <w:rPr>
          <w:rFonts w:ascii="Palatino Linotype" w:hAnsi="Palatino Linotype" w:cs="Open Sans"/>
          <w:sz w:val="24"/>
          <w:szCs w:val="24"/>
          <w:shd w:val="clear" w:color="auto" w:fill="FFFFFF"/>
        </w:rPr>
      </w:pPr>
      <w:r w:rsidRPr="00F77C5F">
        <w:rPr>
          <w:rFonts w:ascii="Palatino Linotype" w:hAnsi="Palatino Linotype"/>
          <w:sz w:val="24"/>
          <w:szCs w:val="24"/>
          <w:lang w:eastAsia="es-CL"/>
        </w:rPr>
        <w:t xml:space="preserve">La interpretación antedicha </w:t>
      </w:r>
      <w:r w:rsidR="009B5534" w:rsidRPr="00F77C5F">
        <w:rPr>
          <w:rFonts w:ascii="Palatino Linotype" w:hAnsi="Palatino Linotype"/>
          <w:sz w:val="24"/>
          <w:szCs w:val="24"/>
          <w:lang w:eastAsia="es-CL"/>
        </w:rPr>
        <w:t xml:space="preserve">coincide con lo que ha entendido el Consejo para la Transparencia respecto del artículo décimo literal h). </w:t>
      </w:r>
      <w:r w:rsidR="00F77C5F" w:rsidRPr="00F77C5F">
        <w:rPr>
          <w:rFonts w:ascii="Palatino Linotype" w:hAnsi="Palatino Linotype"/>
          <w:sz w:val="24"/>
          <w:szCs w:val="24"/>
          <w:lang w:eastAsia="es-CL"/>
        </w:rPr>
        <w:t xml:space="preserve">Confirma aquello </w:t>
      </w:r>
      <w:r w:rsidR="009B5534" w:rsidRPr="00F77C5F">
        <w:rPr>
          <w:rFonts w:ascii="Palatino Linotype" w:hAnsi="Palatino Linotype"/>
          <w:sz w:val="24"/>
          <w:szCs w:val="24"/>
          <w:lang w:eastAsia="es-CL"/>
        </w:rPr>
        <w:t xml:space="preserve">en </w:t>
      </w:r>
      <w:r w:rsidR="009B5534" w:rsidRPr="00F77C5F">
        <w:rPr>
          <w:rFonts w:ascii="Palatino Linotype" w:hAnsi="Palatino Linotype" w:cs="Open Sans"/>
          <w:sz w:val="24"/>
          <w:szCs w:val="24"/>
          <w:shd w:val="clear" w:color="auto" w:fill="FFFFFF"/>
        </w:rPr>
        <w:t xml:space="preserve">su Instrucción general N° 5, sobre Transparencia Activa para Empresas Públicas, Empresas del Estado y Sociedades del Estado, </w:t>
      </w:r>
      <w:r w:rsidR="00F77C5F" w:rsidRPr="00F77C5F">
        <w:rPr>
          <w:rFonts w:ascii="Palatino Linotype" w:hAnsi="Palatino Linotype" w:cs="Open Sans"/>
          <w:sz w:val="24"/>
          <w:szCs w:val="24"/>
          <w:shd w:val="clear" w:color="auto" w:fill="FFFFFF"/>
        </w:rPr>
        <w:t xml:space="preserve">donde </w:t>
      </w:r>
      <w:r w:rsidR="009B5534" w:rsidRPr="00F77C5F">
        <w:rPr>
          <w:rFonts w:ascii="Palatino Linotype" w:hAnsi="Palatino Linotype" w:cs="Open Sans"/>
          <w:sz w:val="24"/>
          <w:szCs w:val="24"/>
          <w:shd w:val="clear" w:color="auto" w:fill="FFFFFF"/>
        </w:rPr>
        <w:t>acerca de la norma en cuestión</w:t>
      </w:r>
      <w:r w:rsidR="00F77C5F" w:rsidRPr="00F77C5F">
        <w:rPr>
          <w:rFonts w:ascii="Palatino Linotype" w:hAnsi="Palatino Linotype" w:cs="Open Sans"/>
          <w:sz w:val="24"/>
          <w:szCs w:val="24"/>
          <w:shd w:val="clear" w:color="auto" w:fill="FFFFFF"/>
        </w:rPr>
        <w:t xml:space="preserve"> ha clarificado lo siguiente</w:t>
      </w:r>
      <w:r w:rsidR="009B5534" w:rsidRPr="00F77C5F">
        <w:rPr>
          <w:rFonts w:ascii="Palatino Linotype" w:hAnsi="Palatino Linotype" w:cs="Open Sans"/>
          <w:sz w:val="24"/>
          <w:szCs w:val="24"/>
          <w:shd w:val="clear" w:color="auto" w:fill="FFFFFF"/>
        </w:rPr>
        <w:t>:</w:t>
      </w:r>
    </w:p>
    <w:p w14:paraId="72A194AC" w14:textId="77777777" w:rsidR="009B5534" w:rsidRPr="00F77C5F" w:rsidRDefault="009B5534" w:rsidP="009B5534">
      <w:pPr>
        <w:spacing w:after="0" w:line="276" w:lineRule="auto"/>
        <w:jc w:val="both"/>
        <w:rPr>
          <w:rFonts w:ascii="Palatino Linotype" w:hAnsi="Palatino Linotype" w:cs="Open Sans"/>
          <w:sz w:val="24"/>
          <w:szCs w:val="24"/>
          <w:shd w:val="clear" w:color="auto" w:fill="FFFFFF"/>
        </w:rPr>
      </w:pPr>
    </w:p>
    <w:p w14:paraId="262794DE" w14:textId="36B53EE3" w:rsidR="009B5534" w:rsidRPr="005C6D9F" w:rsidRDefault="009B5534" w:rsidP="009B5534">
      <w:pPr>
        <w:pStyle w:val="Prrafodelista"/>
        <w:numPr>
          <w:ilvl w:val="0"/>
          <w:numId w:val="3"/>
        </w:numPr>
        <w:spacing w:after="0" w:line="276" w:lineRule="auto"/>
        <w:jc w:val="both"/>
        <w:rPr>
          <w:rFonts w:ascii="Palatino Linotype" w:hAnsi="Palatino Linotype"/>
          <w:sz w:val="24"/>
          <w:szCs w:val="24"/>
          <w:lang w:eastAsia="es-CL"/>
        </w:rPr>
      </w:pPr>
      <w:r w:rsidRPr="00F77C5F">
        <w:rPr>
          <w:rFonts w:ascii="Palatino Linotype" w:hAnsi="Palatino Linotype" w:cs="Open Sans"/>
          <w:sz w:val="24"/>
          <w:szCs w:val="24"/>
          <w:shd w:val="clear" w:color="auto" w:fill="FFFFFF"/>
        </w:rPr>
        <w:t xml:space="preserve">Respecto de las remuneraciones percibidas en el año por cada Director, Presidente Ejecutivo o Vicepresidente Ejecutivo y Gerentes responsables de la dirección y administración superior de la empresa, dispone </w:t>
      </w:r>
      <w:r w:rsidRPr="00F77C5F">
        <w:rPr>
          <w:rFonts w:ascii="Palatino Linotype" w:hAnsi="Palatino Linotype" w:cs="Open Sans"/>
          <w:i/>
          <w:iCs/>
          <w:sz w:val="24"/>
          <w:szCs w:val="24"/>
          <w:shd w:val="clear" w:color="auto" w:fill="FFFFFF"/>
        </w:rPr>
        <w:t>"... deberá informarse, en la misma nómina que contiene la individualización de los Directores, Presidente Ejecutivo o Vicepresidente Ejecutivo de la empresa, la individualización de los Gerentes responsables de la dirección y administración superior como categoría adicional, por lo que no cabe entender que existe plena identidad entre aquéllos y éstos. Para informar la remuneración u honorarios de las personas indicadas se deberá consignar, en una plantilla, el cargo de la persona, su nombre y el monto total, bruto y líquido, de su remuneración.</w:t>
      </w:r>
      <w:r w:rsidR="00F77C5F">
        <w:rPr>
          <w:rStyle w:val="Refdenotaalpie"/>
          <w:rFonts w:ascii="Palatino Linotype" w:hAnsi="Palatino Linotype" w:cs="Open Sans"/>
          <w:i/>
          <w:iCs/>
          <w:sz w:val="24"/>
          <w:szCs w:val="24"/>
          <w:shd w:val="clear" w:color="auto" w:fill="FFFFFF"/>
        </w:rPr>
        <w:footnoteReference w:id="1"/>
      </w:r>
      <w:r w:rsidRPr="00F77C5F">
        <w:rPr>
          <w:rFonts w:ascii="Palatino Linotype" w:hAnsi="Palatino Linotype" w:cs="Open Sans"/>
          <w:i/>
          <w:iCs/>
          <w:sz w:val="24"/>
          <w:szCs w:val="24"/>
          <w:shd w:val="clear" w:color="auto" w:fill="FFFFFF"/>
        </w:rPr>
        <w:t>"</w:t>
      </w:r>
      <w:r w:rsidRPr="00F77C5F">
        <w:rPr>
          <w:rFonts w:ascii="Palatino Linotype" w:hAnsi="Palatino Linotype" w:cs="Open Sans"/>
          <w:sz w:val="24"/>
          <w:szCs w:val="24"/>
          <w:shd w:val="clear" w:color="auto" w:fill="FFFFFF"/>
        </w:rPr>
        <w:t xml:space="preserve"> (numeral 1.7).</w:t>
      </w:r>
    </w:p>
    <w:p w14:paraId="623A54CB" w14:textId="77777777" w:rsidR="005C6D9F" w:rsidRPr="00F77C5F" w:rsidRDefault="005C6D9F" w:rsidP="005C6D9F">
      <w:pPr>
        <w:pStyle w:val="Prrafodelista"/>
        <w:spacing w:after="0" w:line="276" w:lineRule="auto"/>
        <w:jc w:val="both"/>
        <w:rPr>
          <w:rFonts w:ascii="Palatino Linotype" w:hAnsi="Palatino Linotype"/>
          <w:sz w:val="24"/>
          <w:szCs w:val="24"/>
          <w:lang w:eastAsia="es-CL"/>
        </w:rPr>
      </w:pPr>
    </w:p>
    <w:p w14:paraId="17F3899F" w14:textId="5AF158F4" w:rsidR="009B5534" w:rsidRPr="00F77C5F" w:rsidRDefault="009B5534" w:rsidP="009B5534">
      <w:pPr>
        <w:pStyle w:val="Prrafodelista"/>
        <w:numPr>
          <w:ilvl w:val="0"/>
          <w:numId w:val="3"/>
        </w:numPr>
        <w:spacing w:after="0" w:line="276" w:lineRule="auto"/>
        <w:jc w:val="both"/>
        <w:rPr>
          <w:rFonts w:ascii="Palatino Linotype" w:hAnsi="Palatino Linotype"/>
          <w:i/>
          <w:iCs/>
          <w:sz w:val="24"/>
          <w:szCs w:val="24"/>
          <w:lang w:eastAsia="es-CL"/>
        </w:rPr>
      </w:pPr>
      <w:r w:rsidRPr="00F77C5F">
        <w:rPr>
          <w:rFonts w:ascii="Palatino Linotype" w:hAnsi="Palatino Linotype" w:cs="Open Sans"/>
          <w:sz w:val="24"/>
          <w:szCs w:val="24"/>
          <w:shd w:val="clear" w:color="auto" w:fill="FFFFFF"/>
        </w:rPr>
        <w:t xml:space="preserve">En relación a la información consolidada del personal y la remuneración total percibida por el personal de la empresa, la instrucción indica que </w:t>
      </w:r>
      <w:r w:rsidRPr="00F77C5F">
        <w:rPr>
          <w:rFonts w:ascii="Palatino Linotype" w:hAnsi="Palatino Linotype" w:cs="Open Sans"/>
          <w:i/>
          <w:iCs/>
          <w:sz w:val="24"/>
          <w:szCs w:val="24"/>
          <w:shd w:val="clear" w:color="auto" w:fill="FFFFFF"/>
        </w:rPr>
        <w:t>"En este literal se deberá informar el número total de trabajadores, diferenciados por lugar de desempeño si existiera más de uno, y el número específico que se desempeña en cada unidad u órgano interno de la empresa consignados en el organigrama. En cuanto a la remuneración del personal de la empresa deberá informarse la remuneración total bruta percibida por todos los trabajadores.</w:t>
      </w:r>
      <w:r w:rsidR="00F77C5F">
        <w:rPr>
          <w:rStyle w:val="Refdenotaalpie"/>
          <w:rFonts w:ascii="Palatino Linotype" w:hAnsi="Palatino Linotype" w:cs="Open Sans"/>
          <w:i/>
          <w:iCs/>
          <w:sz w:val="24"/>
          <w:szCs w:val="24"/>
          <w:shd w:val="clear" w:color="auto" w:fill="FFFFFF"/>
        </w:rPr>
        <w:footnoteReference w:id="2"/>
      </w:r>
      <w:r w:rsidRPr="00F77C5F">
        <w:rPr>
          <w:rFonts w:ascii="Palatino Linotype" w:hAnsi="Palatino Linotype" w:cs="Open Sans"/>
          <w:i/>
          <w:iCs/>
          <w:sz w:val="24"/>
          <w:szCs w:val="24"/>
          <w:shd w:val="clear" w:color="auto" w:fill="FFFFFF"/>
        </w:rPr>
        <w:t xml:space="preserve">" </w:t>
      </w:r>
      <w:r w:rsidRPr="00F77C5F">
        <w:rPr>
          <w:rFonts w:ascii="Palatino Linotype" w:hAnsi="Palatino Linotype" w:cs="Open Sans"/>
          <w:sz w:val="24"/>
          <w:szCs w:val="24"/>
          <w:shd w:val="clear" w:color="auto" w:fill="FFFFFF"/>
        </w:rPr>
        <w:t>(numeral 1.6).</w:t>
      </w:r>
    </w:p>
    <w:p w14:paraId="7E019DF2" w14:textId="3B3E125E" w:rsidR="009D03FD" w:rsidRPr="00F77C5F" w:rsidRDefault="009D03FD" w:rsidP="00E45931">
      <w:pPr>
        <w:spacing w:after="0"/>
        <w:ind w:firstLine="360"/>
        <w:jc w:val="both"/>
        <w:rPr>
          <w:rFonts w:ascii="Palatino Linotype" w:hAnsi="Palatino Linotype"/>
          <w:sz w:val="24"/>
          <w:szCs w:val="24"/>
        </w:rPr>
      </w:pPr>
    </w:p>
    <w:p w14:paraId="778A5A97" w14:textId="0C3167A5" w:rsidR="00DE6013" w:rsidRDefault="00F77C5F" w:rsidP="00DE6013">
      <w:pPr>
        <w:spacing w:after="0" w:line="276" w:lineRule="auto"/>
        <w:ind w:firstLine="360"/>
        <w:jc w:val="both"/>
        <w:rPr>
          <w:rFonts w:ascii="Palatino Linotype" w:hAnsi="Palatino Linotype"/>
          <w:sz w:val="24"/>
          <w:szCs w:val="24"/>
        </w:rPr>
      </w:pPr>
      <w:r w:rsidRPr="00F77C5F">
        <w:rPr>
          <w:rFonts w:ascii="Palatino Linotype" w:hAnsi="Palatino Linotype"/>
          <w:sz w:val="24"/>
          <w:szCs w:val="24"/>
        </w:rPr>
        <w:t>Llama la atención que respecto de la remuneración del resto del personal de la empresa, el legislador haya determinado que basta con informar la remuneración total bruta percibida por todos los trabajadores. Lo cierto es que ello</w:t>
      </w:r>
      <w:r w:rsidR="00DE6013" w:rsidRPr="00F77C5F">
        <w:rPr>
          <w:rFonts w:ascii="Palatino Linotype" w:hAnsi="Palatino Linotype"/>
          <w:sz w:val="24"/>
          <w:szCs w:val="24"/>
        </w:rPr>
        <w:t xml:space="preserve"> no tiene mayor justificación en el mundo</w:t>
      </w:r>
      <w:r w:rsidRPr="00F77C5F">
        <w:rPr>
          <w:rFonts w:ascii="Palatino Linotype" w:hAnsi="Palatino Linotype"/>
          <w:sz w:val="24"/>
          <w:szCs w:val="24"/>
        </w:rPr>
        <w:t xml:space="preserve"> actual</w:t>
      </w:r>
      <w:r w:rsidR="00DE6013" w:rsidRPr="00F77C5F">
        <w:rPr>
          <w:rFonts w:ascii="Palatino Linotype" w:hAnsi="Palatino Linotype"/>
          <w:sz w:val="24"/>
          <w:szCs w:val="24"/>
        </w:rPr>
        <w:t>, habida la consideración de que tanto en ámbito nacional como internacional, la transparencia corporativa aparece como algo elemental para terminar con el clientelismo, el nepotismo, los conflictos de interés y otros abusos que suelen ocurrir cuando existen bajas exigencias de publicidad.</w:t>
      </w:r>
    </w:p>
    <w:p w14:paraId="5E61E707" w14:textId="6CE8D952" w:rsidR="000A256C" w:rsidRDefault="000A256C" w:rsidP="00DE6013">
      <w:pPr>
        <w:spacing w:after="0" w:line="276" w:lineRule="auto"/>
        <w:ind w:firstLine="360"/>
        <w:jc w:val="both"/>
        <w:rPr>
          <w:rFonts w:ascii="Palatino Linotype" w:hAnsi="Palatino Linotype"/>
          <w:sz w:val="24"/>
          <w:szCs w:val="24"/>
        </w:rPr>
      </w:pPr>
    </w:p>
    <w:p w14:paraId="3BE62091" w14:textId="3193AB24" w:rsidR="000A256C" w:rsidRPr="00DE2AF3" w:rsidRDefault="000A256C" w:rsidP="000A256C">
      <w:pPr>
        <w:spacing w:after="0" w:line="276" w:lineRule="auto"/>
        <w:ind w:firstLine="360"/>
        <w:jc w:val="both"/>
        <w:rPr>
          <w:rFonts w:ascii="Palatino Linotype" w:hAnsi="Palatino Linotype"/>
          <w:sz w:val="24"/>
          <w:szCs w:val="24"/>
        </w:rPr>
      </w:pPr>
      <w:r w:rsidRPr="00DE2AF3">
        <w:rPr>
          <w:rFonts w:ascii="Palatino Linotype" w:hAnsi="Palatino Linotype"/>
          <w:sz w:val="24"/>
          <w:szCs w:val="24"/>
        </w:rPr>
        <w:t>No se entiende t</w:t>
      </w:r>
      <w:r w:rsidR="00DE2AF3" w:rsidRPr="00DE2AF3">
        <w:rPr>
          <w:rFonts w:ascii="Palatino Linotype" w:hAnsi="Palatino Linotype"/>
          <w:sz w:val="24"/>
          <w:szCs w:val="24"/>
        </w:rPr>
        <w:t xml:space="preserve">ampoco </w:t>
      </w:r>
      <w:r w:rsidRPr="00DE2AF3">
        <w:rPr>
          <w:rFonts w:ascii="Palatino Linotype" w:hAnsi="Palatino Linotype"/>
          <w:sz w:val="24"/>
          <w:szCs w:val="24"/>
        </w:rPr>
        <w:t>por qué</w:t>
      </w:r>
      <w:r w:rsidR="00DE2AF3" w:rsidRPr="00DE2AF3">
        <w:rPr>
          <w:rFonts w:ascii="Palatino Linotype" w:hAnsi="Palatino Linotype"/>
          <w:sz w:val="24"/>
          <w:szCs w:val="24"/>
        </w:rPr>
        <w:t xml:space="preserve"> </w:t>
      </w:r>
      <w:r w:rsidR="00DE2AF3" w:rsidRPr="00DE2AF3">
        <w:rPr>
          <w:rStyle w:val="cf01"/>
          <w:rFonts w:ascii="Palatino Linotype" w:hAnsi="Palatino Linotype"/>
          <w:sz w:val="24"/>
          <w:szCs w:val="24"/>
        </w:rPr>
        <w:t>las empresas de Estado quedan exentas de publicar en forma detallada, en el portal conocido como “Gobierno Transparente”, su dotación de planta, a contrata, escala de remuneraciones, dotación a honorarios y hasta otros contratos asociados al Código del Trabajo, Obligación que si afecta a los órganos de la Administración del Estado</w:t>
      </w:r>
      <w:r w:rsidRPr="00DE2AF3">
        <w:rPr>
          <w:rFonts w:ascii="Palatino Linotype" w:hAnsi="Palatino Linotype"/>
          <w:sz w:val="24"/>
          <w:szCs w:val="24"/>
        </w:rPr>
        <w:t>.</w:t>
      </w:r>
      <w:r w:rsidRPr="00DE2AF3">
        <w:rPr>
          <w:rStyle w:val="Refdenotaalpie"/>
          <w:rFonts w:ascii="Palatino Linotype" w:hAnsi="Palatino Linotype"/>
          <w:sz w:val="24"/>
          <w:szCs w:val="24"/>
        </w:rPr>
        <w:footnoteReference w:id="3"/>
      </w:r>
    </w:p>
    <w:p w14:paraId="7711ADAA" w14:textId="221306CD" w:rsidR="00A575FE" w:rsidRDefault="00A575FE" w:rsidP="00230681">
      <w:pPr>
        <w:spacing w:after="0"/>
        <w:rPr>
          <w:rFonts w:ascii="Palatino Linotype" w:hAnsi="Palatino Linotype"/>
          <w:sz w:val="24"/>
          <w:szCs w:val="24"/>
        </w:rPr>
      </w:pPr>
    </w:p>
    <w:p w14:paraId="4EF89D18" w14:textId="7981AE89" w:rsidR="005C6D9F" w:rsidRDefault="005C6D9F" w:rsidP="005C6D9F">
      <w:pPr>
        <w:spacing w:after="0"/>
        <w:ind w:firstLine="360"/>
        <w:jc w:val="both"/>
        <w:rPr>
          <w:rFonts w:ascii="Palatino Linotype" w:hAnsi="Palatino Linotype"/>
          <w:sz w:val="24"/>
          <w:szCs w:val="24"/>
        </w:rPr>
      </w:pPr>
      <w:r>
        <w:rPr>
          <w:rFonts w:ascii="Palatino Linotype" w:hAnsi="Palatino Linotype"/>
          <w:sz w:val="24"/>
          <w:szCs w:val="24"/>
        </w:rPr>
        <w:t>Por las razones expresadas, es preciso legislar para elevar los estándares de transparencia de las empresas públicas.</w:t>
      </w:r>
    </w:p>
    <w:p w14:paraId="13883314" w14:textId="77777777" w:rsidR="005C6D9F" w:rsidRPr="0051502E" w:rsidRDefault="005C6D9F" w:rsidP="00230681">
      <w:pPr>
        <w:spacing w:after="0"/>
        <w:rPr>
          <w:rFonts w:ascii="Palatino Linotype" w:hAnsi="Palatino Linotype"/>
          <w:b/>
          <w:bCs/>
          <w:sz w:val="24"/>
          <w:szCs w:val="24"/>
        </w:rPr>
      </w:pPr>
    </w:p>
    <w:p w14:paraId="2C220C2A" w14:textId="7F11C0BE" w:rsidR="00230681" w:rsidRPr="0051502E" w:rsidRDefault="00230681" w:rsidP="00A575FE">
      <w:pPr>
        <w:pStyle w:val="Prrafodelista"/>
        <w:numPr>
          <w:ilvl w:val="0"/>
          <w:numId w:val="1"/>
        </w:numPr>
        <w:spacing w:after="0"/>
        <w:rPr>
          <w:rFonts w:ascii="Palatino Linotype" w:hAnsi="Palatino Linotype"/>
          <w:b/>
          <w:bCs/>
          <w:sz w:val="24"/>
          <w:szCs w:val="24"/>
        </w:rPr>
      </w:pPr>
      <w:r w:rsidRPr="0051502E">
        <w:rPr>
          <w:rFonts w:ascii="Palatino Linotype" w:hAnsi="Palatino Linotype"/>
          <w:b/>
          <w:bCs/>
          <w:sz w:val="24"/>
          <w:szCs w:val="24"/>
        </w:rPr>
        <w:t>Idea matriz</w:t>
      </w:r>
    </w:p>
    <w:p w14:paraId="1EA6EA92" w14:textId="77777777" w:rsidR="005C6D9F" w:rsidRDefault="005C6D9F" w:rsidP="005C6D9F">
      <w:pPr>
        <w:spacing w:after="0"/>
        <w:rPr>
          <w:rFonts w:ascii="Palatino Linotype" w:hAnsi="Palatino Linotype"/>
          <w:sz w:val="24"/>
          <w:szCs w:val="24"/>
        </w:rPr>
      </w:pPr>
    </w:p>
    <w:p w14:paraId="3C6B27C6" w14:textId="0C9E7451" w:rsidR="005C6D9F" w:rsidRPr="0051502E" w:rsidRDefault="005C6D9F" w:rsidP="005C6D9F">
      <w:pPr>
        <w:spacing w:after="0"/>
        <w:ind w:firstLine="360"/>
        <w:jc w:val="both"/>
        <w:rPr>
          <w:rFonts w:ascii="Palatino Linotype" w:hAnsi="Palatino Linotype"/>
          <w:sz w:val="24"/>
          <w:szCs w:val="24"/>
        </w:rPr>
      </w:pPr>
      <w:r>
        <w:rPr>
          <w:rFonts w:ascii="Palatino Linotype" w:hAnsi="Palatino Linotype"/>
          <w:sz w:val="24"/>
          <w:szCs w:val="24"/>
        </w:rPr>
        <w:t xml:space="preserve">La iniciativa legal persigue elevar los estándares de transparencia corporativa de las empresas públicas, modificando el artículo décimo literal h) de la ley N° 20.285, sobre acceso a la información pública, </w:t>
      </w:r>
      <w:r w:rsidR="0051502E">
        <w:rPr>
          <w:rFonts w:ascii="Palatino Linotype" w:hAnsi="Palatino Linotype"/>
          <w:sz w:val="24"/>
          <w:szCs w:val="24"/>
        </w:rPr>
        <w:t xml:space="preserve">exigiéndoles </w:t>
      </w:r>
      <w:r w:rsidR="0051502E" w:rsidRPr="0051502E">
        <w:rPr>
          <w:rFonts w:ascii="Palatino Linotype" w:hAnsi="Palatino Linotype" w:cs="Open Sans"/>
          <w:sz w:val="24"/>
          <w:szCs w:val="24"/>
          <w:shd w:val="clear" w:color="auto" w:fill="FFFFFF"/>
        </w:rPr>
        <w:t>informar la remuneración u honorarios de todos sus trabajadores</w:t>
      </w:r>
      <w:r w:rsidR="003451BD">
        <w:rPr>
          <w:rFonts w:ascii="Palatino Linotype" w:hAnsi="Palatino Linotype" w:cs="Open Sans"/>
          <w:sz w:val="24"/>
          <w:szCs w:val="24"/>
          <w:shd w:val="clear" w:color="auto" w:fill="FFFFFF"/>
        </w:rPr>
        <w:t>, sin importar su tipo de contratación,</w:t>
      </w:r>
      <w:r w:rsidR="0051502E" w:rsidRPr="0051502E">
        <w:rPr>
          <w:rFonts w:ascii="Palatino Linotype" w:hAnsi="Palatino Linotype" w:cs="Open Sans"/>
          <w:sz w:val="24"/>
          <w:szCs w:val="24"/>
          <w:shd w:val="clear" w:color="auto" w:fill="FFFFFF"/>
        </w:rPr>
        <w:t xml:space="preserve"> en una plantilla, individualizando el cargo de la persona, su nombre y el monto total, bruto y líquido, de su remuneración.</w:t>
      </w:r>
    </w:p>
    <w:p w14:paraId="12995935" w14:textId="77777777" w:rsidR="0051502E" w:rsidRPr="0090615E" w:rsidRDefault="0051502E" w:rsidP="00230681">
      <w:pPr>
        <w:spacing w:after="0"/>
        <w:rPr>
          <w:rFonts w:ascii="Palatino Linotype" w:hAnsi="Palatino Linotype"/>
          <w:sz w:val="24"/>
          <w:szCs w:val="24"/>
        </w:rPr>
      </w:pPr>
    </w:p>
    <w:p w14:paraId="34214DB1" w14:textId="448EF592" w:rsidR="00230681" w:rsidRPr="001E1862" w:rsidRDefault="00230681" w:rsidP="00A575FE">
      <w:pPr>
        <w:pStyle w:val="Prrafodelista"/>
        <w:numPr>
          <w:ilvl w:val="0"/>
          <w:numId w:val="1"/>
        </w:numPr>
        <w:spacing w:after="0"/>
        <w:rPr>
          <w:rFonts w:ascii="Palatino Linotype" w:hAnsi="Palatino Linotype"/>
          <w:b/>
          <w:bCs/>
          <w:sz w:val="24"/>
          <w:szCs w:val="24"/>
        </w:rPr>
      </w:pPr>
      <w:r w:rsidRPr="001E1862">
        <w:rPr>
          <w:rFonts w:ascii="Palatino Linotype" w:hAnsi="Palatino Linotype"/>
          <w:b/>
          <w:bCs/>
          <w:sz w:val="24"/>
          <w:szCs w:val="24"/>
        </w:rPr>
        <w:t xml:space="preserve">Proyecto de ley </w:t>
      </w:r>
    </w:p>
    <w:p w14:paraId="5ED0A953" w14:textId="05FCABD9" w:rsidR="00A575FE" w:rsidRDefault="00A575FE" w:rsidP="00320D03">
      <w:pPr>
        <w:spacing w:after="0"/>
        <w:rPr>
          <w:rFonts w:ascii="Palatino Linotype" w:hAnsi="Palatino Linotype"/>
          <w:sz w:val="24"/>
          <w:szCs w:val="24"/>
        </w:rPr>
      </w:pPr>
    </w:p>
    <w:p w14:paraId="26875785" w14:textId="2A642A50" w:rsidR="009F2561" w:rsidRPr="00320D03" w:rsidRDefault="00A575FE" w:rsidP="00320D03">
      <w:pPr>
        <w:spacing w:after="0"/>
        <w:ind w:firstLine="360"/>
        <w:jc w:val="both"/>
        <w:rPr>
          <w:rFonts w:ascii="Palatino Linotype" w:hAnsi="Palatino Linotype"/>
          <w:sz w:val="24"/>
          <w:szCs w:val="24"/>
        </w:rPr>
      </w:pPr>
      <w:r>
        <w:rPr>
          <w:rFonts w:ascii="Palatino Linotype" w:hAnsi="Palatino Linotype"/>
          <w:sz w:val="24"/>
          <w:szCs w:val="24"/>
        </w:rPr>
        <w:t>Artículo único.-</w:t>
      </w:r>
      <w:r w:rsidR="0051502E">
        <w:rPr>
          <w:rFonts w:ascii="Palatino Linotype" w:hAnsi="Palatino Linotype"/>
          <w:sz w:val="24"/>
          <w:szCs w:val="24"/>
        </w:rPr>
        <w:t xml:space="preserve"> </w:t>
      </w:r>
      <w:r w:rsidR="00B13B0F" w:rsidRPr="00320D03">
        <w:rPr>
          <w:rFonts w:ascii="Palatino Linotype" w:hAnsi="Palatino Linotype"/>
          <w:sz w:val="24"/>
          <w:szCs w:val="24"/>
        </w:rPr>
        <w:t>Introdúzcanse</w:t>
      </w:r>
      <w:r w:rsidR="009F2561" w:rsidRPr="00320D03">
        <w:rPr>
          <w:rFonts w:ascii="Palatino Linotype" w:hAnsi="Palatino Linotype"/>
          <w:sz w:val="24"/>
          <w:szCs w:val="24"/>
        </w:rPr>
        <w:t xml:space="preserve"> las siguientes modificaciones al artículo décimo de la ley N° 20.285, sobre acceso a la información pública:</w:t>
      </w:r>
    </w:p>
    <w:p w14:paraId="0A9294D4" w14:textId="77777777" w:rsidR="009F2561" w:rsidRPr="00320D03" w:rsidRDefault="009F2561" w:rsidP="00320D03">
      <w:pPr>
        <w:spacing w:after="0"/>
        <w:jc w:val="both"/>
        <w:rPr>
          <w:rFonts w:ascii="Palatino Linotype" w:hAnsi="Palatino Linotype"/>
          <w:sz w:val="24"/>
          <w:szCs w:val="24"/>
        </w:rPr>
      </w:pPr>
    </w:p>
    <w:p w14:paraId="03E1C5EA" w14:textId="26180825" w:rsidR="009F2561" w:rsidRPr="00320D03" w:rsidRDefault="00B13B0F" w:rsidP="00320D03">
      <w:pPr>
        <w:pStyle w:val="Prrafodelista"/>
        <w:numPr>
          <w:ilvl w:val="0"/>
          <w:numId w:val="4"/>
        </w:numPr>
        <w:spacing w:after="0"/>
        <w:jc w:val="both"/>
        <w:rPr>
          <w:rFonts w:ascii="Palatino Linotype" w:hAnsi="Palatino Linotype"/>
          <w:i/>
          <w:iCs/>
          <w:sz w:val="24"/>
          <w:szCs w:val="24"/>
        </w:rPr>
      </w:pPr>
      <w:r w:rsidRPr="0083246B">
        <w:rPr>
          <w:rFonts w:ascii="Palatino Linotype" w:hAnsi="Palatino Linotype" w:cs="Arial"/>
          <w:b/>
          <w:bCs/>
          <w:sz w:val="24"/>
          <w:szCs w:val="24"/>
          <w:shd w:val="clear" w:color="auto" w:fill="FFFFFF"/>
        </w:rPr>
        <w:t>Reemplazase</w:t>
      </w:r>
      <w:r w:rsidR="009F2561" w:rsidRPr="0083246B">
        <w:rPr>
          <w:rFonts w:ascii="Palatino Linotype" w:hAnsi="Palatino Linotype" w:cs="Arial"/>
          <w:b/>
          <w:bCs/>
          <w:sz w:val="24"/>
          <w:szCs w:val="24"/>
          <w:shd w:val="clear" w:color="auto" w:fill="FFFFFF"/>
        </w:rPr>
        <w:t xml:space="preserve"> </w:t>
      </w:r>
      <w:r w:rsidR="009F2561" w:rsidRPr="0083246B">
        <w:rPr>
          <w:rFonts w:ascii="Palatino Linotype" w:hAnsi="Palatino Linotype"/>
          <w:b/>
          <w:bCs/>
          <w:sz w:val="24"/>
          <w:szCs w:val="24"/>
        </w:rPr>
        <w:t>en el inciso primero las palabras</w:t>
      </w:r>
      <w:r w:rsidR="009F2561" w:rsidRPr="00320D03">
        <w:rPr>
          <w:rFonts w:ascii="Palatino Linotype" w:hAnsi="Palatino Linotype"/>
          <w:sz w:val="24"/>
          <w:szCs w:val="24"/>
        </w:rPr>
        <w:t xml:space="preserve"> </w:t>
      </w:r>
      <w:r w:rsidR="00320D03">
        <w:rPr>
          <w:rFonts w:ascii="Palatino Linotype" w:hAnsi="Palatino Linotype"/>
          <w:i/>
          <w:iCs/>
          <w:sz w:val="24"/>
          <w:szCs w:val="24"/>
        </w:rPr>
        <w:t>“</w:t>
      </w:r>
      <w:r w:rsidR="004251E7">
        <w:rPr>
          <w:rFonts w:ascii="Palatino Linotype" w:hAnsi="Palatino Linotype"/>
          <w:i/>
          <w:iCs/>
          <w:sz w:val="24"/>
          <w:szCs w:val="24"/>
          <w:lang w:eastAsia="es-CL"/>
        </w:rPr>
        <w:t xml:space="preserve">tales como </w:t>
      </w:r>
      <w:r w:rsidR="004251E7" w:rsidRPr="00F77C5F">
        <w:rPr>
          <w:rFonts w:ascii="Palatino Linotype" w:hAnsi="Palatino Linotype"/>
          <w:i/>
          <w:iCs/>
          <w:sz w:val="24"/>
          <w:szCs w:val="24"/>
          <w:lang w:eastAsia="es-CL"/>
        </w:rPr>
        <w:t>Televisión Nacional de Chile, la Empresa Nacional de Minería, la Empresa de Ferrocarriles del Estado, la Corporación Nacional del Cobre de Chile o Banco Estado</w:t>
      </w:r>
      <w:r w:rsidR="009F2561" w:rsidRPr="00320D03">
        <w:rPr>
          <w:rFonts w:ascii="Palatino Linotype" w:hAnsi="Palatino Linotype"/>
          <w:i/>
          <w:iCs/>
          <w:sz w:val="24"/>
          <w:szCs w:val="24"/>
        </w:rPr>
        <w:t>”</w:t>
      </w:r>
      <w:r w:rsidR="004251E7">
        <w:rPr>
          <w:rFonts w:ascii="Palatino Linotype" w:hAnsi="Palatino Linotype"/>
          <w:i/>
          <w:iCs/>
          <w:sz w:val="24"/>
          <w:szCs w:val="24"/>
        </w:rPr>
        <w:t xml:space="preserve">, </w:t>
      </w:r>
      <w:r w:rsidR="009F2561" w:rsidRPr="00320D03">
        <w:rPr>
          <w:rFonts w:ascii="Palatino Linotype" w:hAnsi="Palatino Linotype"/>
          <w:sz w:val="24"/>
          <w:szCs w:val="24"/>
        </w:rPr>
        <w:t xml:space="preserve"> </w:t>
      </w:r>
      <w:r w:rsidR="009F2561" w:rsidRPr="0083246B">
        <w:rPr>
          <w:rFonts w:ascii="Palatino Linotype" w:hAnsi="Palatino Linotype"/>
          <w:b/>
          <w:bCs/>
          <w:sz w:val="24"/>
          <w:szCs w:val="24"/>
        </w:rPr>
        <w:t>por la oración</w:t>
      </w:r>
      <w:r w:rsidR="009F2561" w:rsidRPr="00320D03">
        <w:rPr>
          <w:rFonts w:ascii="Palatino Linotype" w:hAnsi="Palatino Linotype"/>
          <w:sz w:val="24"/>
          <w:szCs w:val="24"/>
        </w:rPr>
        <w:t xml:space="preserve"> </w:t>
      </w:r>
      <w:r w:rsidR="00320D03">
        <w:rPr>
          <w:rFonts w:ascii="Palatino Linotype" w:hAnsi="Palatino Linotype"/>
          <w:i/>
          <w:iCs/>
          <w:sz w:val="24"/>
          <w:szCs w:val="24"/>
        </w:rPr>
        <w:t>“</w:t>
      </w:r>
      <w:r w:rsidR="004251E7">
        <w:rPr>
          <w:rFonts w:ascii="Palatino Linotype" w:hAnsi="Palatino Linotype"/>
          <w:i/>
          <w:iCs/>
          <w:sz w:val="24"/>
          <w:szCs w:val="24"/>
        </w:rPr>
        <w:t>tales como</w:t>
      </w:r>
      <w:r w:rsidR="004251E7" w:rsidRPr="00F77C5F">
        <w:rPr>
          <w:rFonts w:ascii="Palatino Linotype" w:hAnsi="Palatino Linotype"/>
          <w:i/>
          <w:iCs/>
          <w:sz w:val="24"/>
          <w:szCs w:val="24"/>
          <w:lang w:eastAsia="es-CL"/>
        </w:rPr>
        <w:t xml:space="preserve"> Televisión Nacional de Chile, la Empresa Nacional de Minería, la Empresa de Ferrocarriles del Estado, la Corporación Nacional del Cobre de Chile</w:t>
      </w:r>
      <w:r w:rsidR="0083246B">
        <w:rPr>
          <w:rFonts w:ascii="Palatino Linotype" w:hAnsi="Palatino Linotype"/>
          <w:i/>
          <w:iCs/>
          <w:sz w:val="24"/>
          <w:szCs w:val="24"/>
          <w:lang w:eastAsia="es-CL"/>
        </w:rPr>
        <w:t>,</w:t>
      </w:r>
      <w:r w:rsidR="004251E7" w:rsidRPr="00F77C5F">
        <w:rPr>
          <w:rFonts w:ascii="Palatino Linotype" w:hAnsi="Palatino Linotype"/>
          <w:i/>
          <w:iCs/>
          <w:sz w:val="24"/>
          <w:szCs w:val="24"/>
          <w:lang w:eastAsia="es-CL"/>
        </w:rPr>
        <w:t xml:space="preserve"> Banco Estado,</w:t>
      </w:r>
      <w:r w:rsidR="0083246B">
        <w:rPr>
          <w:rFonts w:ascii="Palatino Linotype" w:hAnsi="Palatino Linotype"/>
          <w:i/>
          <w:iCs/>
          <w:sz w:val="24"/>
          <w:szCs w:val="24"/>
          <w:lang w:eastAsia="es-CL"/>
        </w:rPr>
        <w:t xml:space="preserve"> Empresa Nacional del Petróleo y</w:t>
      </w:r>
      <w:r w:rsidR="00320D03" w:rsidRPr="00320D03">
        <w:rPr>
          <w:rFonts w:ascii="Palatino Linotype" w:hAnsi="Palatino Linotype"/>
          <w:i/>
          <w:iCs/>
          <w:sz w:val="24"/>
          <w:szCs w:val="24"/>
        </w:rPr>
        <w:t xml:space="preserve"> otras análogas”.</w:t>
      </w:r>
    </w:p>
    <w:p w14:paraId="4A572FEC" w14:textId="77777777" w:rsidR="009F2561" w:rsidRPr="00320D03" w:rsidRDefault="009F2561" w:rsidP="00320D03">
      <w:pPr>
        <w:spacing w:after="0"/>
        <w:jc w:val="both"/>
        <w:rPr>
          <w:rFonts w:ascii="Palatino Linotype" w:hAnsi="Palatino Linotype"/>
          <w:sz w:val="24"/>
          <w:szCs w:val="24"/>
        </w:rPr>
      </w:pPr>
    </w:p>
    <w:p w14:paraId="2B84C47D" w14:textId="1AF25871" w:rsidR="009F2561" w:rsidRPr="00320D03" w:rsidRDefault="009F2561" w:rsidP="00320D03">
      <w:pPr>
        <w:pStyle w:val="Prrafodelista"/>
        <w:numPr>
          <w:ilvl w:val="0"/>
          <w:numId w:val="4"/>
        </w:numPr>
        <w:spacing w:after="0"/>
        <w:jc w:val="both"/>
        <w:rPr>
          <w:rFonts w:ascii="Palatino Linotype" w:hAnsi="Palatino Linotype"/>
          <w:sz w:val="24"/>
          <w:szCs w:val="24"/>
        </w:rPr>
      </w:pPr>
      <w:r w:rsidRPr="00320D03">
        <w:rPr>
          <w:rFonts w:ascii="Palatino Linotype" w:hAnsi="Palatino Linotype"/>
          <w:sz w:val="24"/>
          <w:szCs w:val="24"/>
        </w:rPr>
        <w:t>Derógase el literal g)</w:t>
      </w:r>
      <w:r w:rsidR="00320D03" w:rsidRPr="00320D03">
        <w:rPr>
          <w:rFonts w:ascii="Palatino Linotype" w:hAnsi="Palatino Linotype"/>
          <w:sz w:val="24"/>
          <w:szCs w:val="24"/>
        </w:rPr>
        <w:t>.</w:t>
      </w:r>
    </w:p>
    <w:p w14:paraId="6F86598B" w14:textId="77777777" w:rsidR="009F2561" w:rsidRPr="00320D03" w:rsidRDefault="009F2561" w:rsidP="00320D03">
      <w:pPr>
        <w:spacing w:after="0"/>
        <w:jc w:val="both"/>
        <w:rPr>
          <w:rFonts w:ascii="Palatino Linotype" w:hAnsi="Palatino Linotype"/>
          <w:sz w:val="24"/>
          <w:szCs w:val="24"/>
        </w:rPr>
      </w:pPr>
    </w:p>
    <w:p w14:paraId="669E1A95" w14:textId="4D2460A1" w:rsidR="001E1862" w:rsidRPr="00581ECB" w:rsidRDefault="001E1862" w:rsidP="00320D03">
      <w:pPr>
        <w:pStyle w:val="Prrafodelista"/>
        <w:numPr>
          <w:ilvl w:val="0"/>
          <w:numId w:val="4"/>
        </w:numPr>
        <w:spacing w:after="0"/>
        <w:jc w:val="both"/>
        <w:rPr>
          <w:rFonts w:ascii="Palatino Linotype" w:hAnsi="Palatino Linotype"/>
          <w:sz w:val="24"/>
          <w:szCs w:val="24"/>
        </w:rPr>
      </w:pPr>
      <w:r w:rsidRPr="0083246B">
        <w:rPr>
          <w:rFonts w:ascii="Palatino Linotype" w:hAnsi="Palatino Linotype"/>
          <w:b/>
          <w:bCs/>
          <w:sz w:val="24"/>
          <w:szCs w:val="24"/>
        </w:rPr>
        <w:t>Reemplácese en el</w:t>
      </w:r>
      <w:r w:rsidR="0051502E" w:rsidRPr="0083246B">
        <w:rPr>
          <w:rFonts w:ascii="Palatino Linotype" w:hAnsi="Palatino Linotype"/>
          <w:b/>
          <w:bCs/>
          <w:sz w:val="24"/>
          <w:szCs w:val="24"/>
        </w:rPr>
        <w:t xml:space="preserve"> literal h</w:t>
      </w:r>
      <w:r w:rsidR="00320D03" w:rsidRPr="0083246B">
        <w:rPr>
          <w:rFonts w:ascii="Palatino Linotype" w:hAnsi="Palatino Linotype"/>
          <w:b/>
          <w:bCs/>
          <w:sz w:val="24"/>
          <w:szCs w:val="24"/>
        </w:rPr>
        <w:t xml:space="preserve">) </w:t>
      </w:r>
      <w:r w:rsidRPr="0083246B">
        <w:rPr>
          <w:rFonts w:ascii="Palatino Linotype" w:hAnsi="Palatino Linotype"/>
          <w:b/>
          <w:bCs/>
          <w:sz w:val="24"/>
          <w:szCs w:val="24"/>
        </w:rPr>
        <w:t>la oración</w:t>
      </w:r>
      <w:r w:rsidRPr="00320D03">
        <w:rPr>
          <w:rFonts w:ascii="Palatino Linotype" w:hAnsi="Palatino Linotype"/>
          <w:sz w:val="24"/>
          <w:szCs w:val="24"/>
        </w:rPr>
        <w:t>: “</w:t>
      </w:r>
      <w:r w:rsidRPr="00320D03">
        <w:rPr>
          <w:rFonts w:ascii="Palatino Linotype" w:hAnsi="Palatino Linotype"/>
          <w:i/>
          <w:iCs/>
          <w:sz w:val="24"/>
          <w:szCs w:val="24"/>
          <w:lang w:eastAsia="es-CL"/>
        </w:rPr>
        <w:t xml:space="preserve">Asimismo, deberá incluirse, de forma global y consolidada, la remuneración por el personal de la empresa.”, </w:t>
      </w:r>
      <w:r w:rsidRPr="0083246B">
        <w:rPr>
          <w:rFonts w:ascii="Palatino Linotype" w:hAnsi="Palatino Linotype"/>
          <w:b/>
          <w:bCs/>
          <w:sz w:val="24"/>
          <w:szCs w:val="24"/>
          <w:lang w:eastAsia="es-CL"/>
        </w:rPr>
        <w:t>por la</w:t>
      </w:r>
      <w:r w:rsidR="00320D03" w:rsidRPr="0083246B">
        <w:rPr>
          <w:rFonts w:ascii="Palatino Linotype" w:hAnsi="Palatino Linotype"/>
          <w:b/>
          <w:bCs/>
          <w:sz w:val="24"/>
          <w:szCs w:val="24"/>
          <w:lang w:eastAsia="es-CL"/>
        </w:rPr>
        <w:t xml:space="preserve"> siguiente</w:t>
      </w:r>
      <w:r w:rsidRPr="00320D03">
        <w:rPr>
          <w:rFonts w:ascii="Palatino Linotype" w:hAnsi="Palatino Linotype"/>
          <w:i/>
          <w:iCs/>
          <w:sz w:val="24"/>
          <w:szCs w:val="24"/>
          <w:lang w:eastAsia="es-CL"/>
        </w:rPr>
        <w:t xml:space="preserve"> “</w:t>
      </w:r>
      <w:r w:rsidRPr="00320D03">
        <w:rPr>
          <w:rFonts w:ascii="Palatino Linotype" w:hAnsi="Palatino Linotype" w:cs="Open Sans"/>
          <w:i/>
          <w:iCs/>
          <w:sz w:val="24"/>
          <w:szCs w:val="24"/>
          <w:shd w:val="clear" w:color="auto" w:fill="FFFFFF"/>
        </w:rPr>
        <w:t>Asimismo, deberá incluirse la remuneración de todo</w:t>
      </w:r>
      <w:r w:rsidR="00DE2AF3" w:rsidRPr="00320D03">
        <w:rPr>
          <w:rFonts w:ascii="Palatino Linotype" w:hAnsi="Palatino Linotype" w:cs="Open Sans"/>
          <w:i/>
          <w:iCs/>
          <w:sz w:val="24"/>
          <w:szCs w:val="24"/>
          <w:shd w:val="clear" w:color="auto" w:fill="FFFFFF"/>
        </w:rPr>
        <w:t xml:space="preserve"> el personal </w:t>
      </w:r>
      <w:r w:rsidRPr="00320D03">
        <w:rPr>
          <w:rFonts w:ascii="Palatino Linotype" w:hAnsi="Palatino Linotype" w:cs="Open Sans"/>
          <w:i/>
          <w:iCs/>
          <w:sz w:val="24"/>
          <w:szCs w:val="24"/>
          <w:shd w:val="clear" w:color="auto" w:fill="FFFFFF"/>
        </w:rPr>
        <w:t>de la empresa, individualizando el</w:t>
      </w:r>
      <w:r w:rsidR="00320D03">
        <w:rPr>
          <w:rFonts w:ascii="Palatino Linotype" w:hAnsi="Palatino Linotype" w:cs="Open Sans"/>
          <w:i/>
          <w:iCs/>
          <w:sz w:val="24"/>
          <w:szCs w:val="24"/>
          <w:shd w:val="clear" w:color="auto" w:fill="FFFFFF"/>
        </w:rPr>
        <w:t xml:space="preserve"> nombre,</w:t>
      </w:r>
      <w:r w:rsidRPr="00320D03">
        <w:rPr>
          <w:rFonts w:ascii="Palatino Linotype" w:hAnsi="Palatino Linotype" w:cs="Open Sans"/>
          <w:i/>
          <w:iCs/>
          <w:sz w:val="24"/>
          <w:szCs w:val="24"/>
          <w:shd w:val="clear" w:color="auto" w:fill="FFFFFF"/>
        </w:rPr>
        <w:t xml:space="preserve"> cargo</w:t>
      </w:r>
      <w:r w:rsidR="00B13B0F">
        <w:rPr>
          <w:rFonts w:ascii="Palatino Linotype" w:hAnsi="Palatino Linotype" w:cs="Open Sans"/>
          <w:i/>
          <w:iCs/>
          <w:sz w:val="24"/>
          <w:szCs w:val="24"/>
          <w:shd w:val="clear" w:color="auto" w:fill="FFFFFF"/>
        </w:rPr>
        <w:t>, lugar de desempeño</w:t>
      </w:r>
      <w:r w:rsidR="00320D03">
        <w:rPr>
          <w:rFonts w:ascii="Palatino Linotype" w:hAnsi="Palatino Linotype" w:cs="Open Sans"/>
          <w:i/>
          <w:iCs/>
          <w:sz w:val="24"/>
          <w:szCs w:val="24"/>
          <w:shd w:val="clear" w:color="auto" w:fill="FFFFFF"/>
        </w:rPr>
        <w:t xml:space="preserve"> y monto de la remuneración</w:t>
      </w:r>
      <w:r w:rsidRPr="00320D03">
        <w:rPr>
          <w:rFonts w:ascii="Palatino Linotype" w:hAnsi="Palatino Linotype" w:cs="Open Sans"/>
          <w:i/>
          <w:iCs/>
          <w:sz w:val="24"/>
          <w:szCs w:val="24"/>
          <w:shd w:val="clear" w:color="auto" w:fill="FFFFFF"/>
        </w:rPr>
        <w:t xml:space="preserve"> </w:t>
      </w:r>
      <w:r w:rsidR="00A97749">
        <w:rPr>
          <w:rFonts w:ascii="Palatino Linotype" w:hAnsi="Palatino Linotype" w:cs="Open Sans"/>
          <w:i/>
          <w:iCs/>
          <w:sz w:val="24"/>
          <w:szCs w:val="24"/>
          <w:shd w:val="clear" w:color="auto" w:fill="FFFFFF"/>
        </w:rPr>
        <w:t xml:space="preserve">total </w:t>
      </w:r>
      <w:r w:rsidR="00320D03">
        <w:rPr>
          <w:rFonts w:ascii="Palatino Linotype" w:hAnsi="Palatino Linotype" w:cs="Open Sans"/>
          <w:i/>
          <w:iCs/>
          <w:sz w:val="24"/>
          <w:szCs w:val="24"/>
          <w:shd w:val="clear" w:color="auto" w:fill="FFFFFF"/>
        </w:rPr>
        <w:t xml:space="preserve">percibida por cada </w:t>
      </w:r>
      <w:r w:rsidRPr="00320D03">
        <w:rPr>
          <w:rFonts w:ascii="Palatino Linotype" w:hAnsi="Palatino Linotype" w:cs="Open Sans"/>
          <w:i/>
          <w:iCs/>
          <w:sz w:val="24"/>
          <w:szCs w:val="24"/>
          <w:shd w:val="clear" w:color="auto" w:fill="FFFFFF"/>
        </w:rPr>
        <w:t>persona</w:t>
      </w:r>
      <w:r w:rsidR="0083246B">
        <w:rPr>
          <w:rFonts w:ascii="Palatino Linotype" w:hAnsi="Palatino Linotype" w:cs="Open Sans"/>
          <w:i/>
          <w:iCs/>
          <w:sz w:val="24"/>
          <w:szCs w:val="24"/>
          <w:shd w:val="clear" w:color="auto" w:fill="FFFFFF"/>
        </w:rPr>
        <w:t>, incluidos los ejecutivos y directorio</w:t>
      </w:r>
      <w:r w:rsidR="00320D03">
        <w:rPr>
          <w:rFonts w:ascii="Palatino Linotype" w:hAnsi="Palatino Linotype" w:cs="Open Sans"/>
          <w:i/>
          <w:iCs/>
          <w:sz w:val="24"/>
          <w:szCs w:val="24"/>
          <w:shd w:val="clear" w:color="auto" w:fill="FFFFFF"/>
        </w:rPr>
        <w:t>.</w:t>
      </w:r>
      <w:r w:rsidRPr="00320D03">
        <w:rPr>
          <w:rFonts w:ascii="Palatino Linotype" w:hAnsi="Palatino Linotype" w:cs="Open Sans"/>
          <w:i/>
          <w:iCs/>
          <w:sz w:val="24"/>
          <w:szCs w:val="24"/>
          <w:shd w:val="clear" w:color="auto" w:fill="FFFFFF"/>
        </w:rPr>
        <w:t>”.</w:t>
      </w:r>
    </w:p>
    <w:p w14:paraId="7338AF2C" w14:textId="77777777" w:rsidR="00BC6827" w:rsidRDefault="00BC6827" w:rsidP="00BC6827">
      <w:pPr>
        <w:spacing w:after="0" w:line="276" w:lineRule="auto"/>
        <w:jc w:val="center"/>
        <w:rPr>
          <w:rFonts w:ascii="Palatino Linotype" w:hAnsi="Palatino Linotype" w:cs="Times New Roman"/>
          <w:b/>
          <w:bCs/>
          <w:smallCaps/>
          <w:sz w:val="24"/>
          <w:szCs w:val="24"/>
        </w:rPr>
      </w:pPr>
    </w:p>
    <w:p w14:paraId="38858412" w14:textId="77777777" w:rsidR="00BC6827" w:rsidRDefault="00BC6827" w:rsidP="00BC6827">
      <w:pPr>
        <w:spacing w:after="0" w:line="276" w:lineRule="auto"/>
        <w:jc w:val="center"/>
        <w:rPr>
          <w:rFonts w:ascii="Palatino Linotype" w:hAnsi="Palatino Linotype" w:cs="Times New Roman"/>
          <w:b/>
          <w:bCs/>
          <w:smallCaps/>
          <w:sz w:val="24"/>
          <w:szCs w:val="24"/>
        </w:rPr>
      </w:pPr>
    </w:p>
    <w:p w14:paraId="29E0E84E" w14:textId="77777777" w:rsidR="00BC6827" w:rsidRDefault="00BC6827" w:rsidP="00BC6827">
      <w:pPr>
        <w:spacing w:after="0" w:line="276" w:lineRule="auto"/>
        <w:jc w:val="center"/>
        <w:rPr>
          <w:rFonts w:ascii="Palatino Linotype" w:hAnsi="Palatino Linotype" w:cs="Times New Roman"/>
          <w:b/>
          <w:bCs/>
          <w:smallCaps/>
          <w:sz w:val="24"/>
          <w:szCs w:val="24"/>
        </w:rPr>
      </w:pPr>
    </w:p>
    <w:p w14:paraId="75BBEE17" w14:textId="23B83147" w:rsidR="00BC6827" w:rsidRDefault="00BC6827" w:rsidP="000A256C">
      <w:pPr>
        <w:spacing w:after="0" w:line="276" w:lineRule="auto"/>
        <w:rPr>
          <w:rFonts w:ascii="Palatino Linotype" w:hAnsi="Palatino Linotype" w:cs="Times New Roman"/>
          <w:b/>
          <w:bCs/>
          <w:smallCaps/>
          <w:sz w:val="24"/>
          <w:szCs w:val="24"/>
        </w:rPr>
      </w:pPr>
    </w:p>
    <w:p w14:paraId="5B351AE7" w14:textId="77777777" w:rsidR="000A256C" w:rsidRDefault="000A256C" w:rsidP="000A256C">
      <w:pPr>
        <w:spacing w:after="0" w:line="276" w:lineRule="auto"/>
        <w:rPr>
          <w:rFonts w:ascii="Palatino Linotype" w:hAnsi="Palatino Linotype" w:cs="Times New Roman"/>
          <w:b/>
          <w:bCs/>
          <w:smallCaps/>
          <w:sz w:val="24"/>
          <w:szCs w:val="24"/>
        </w:rPr>
      </w:pPr>
    </w:p>
    <w:p w14:paraId="215A1290" w14:textId="77777777" w:rsidR="00BC6827" w:rsidRDefault="00BC6827" w:rsidP="00BC6827">
      <w:pPr>
        <w:spacing w:after="0" w:line="276" w:lineRule="auto"/>
        <w:jc w:val="center"/>
        <w:rPr>
          <w:rFonts w:ascii="Palatino Linotype" w:hAnsi="Palatino Linotype" w:cs="Times New Roman"/>
          <w:b/>
          <w:bCs/>
          <w:smallCaps/>
          <w:sz w:val="24"/>
          <w:szCs w:val="24"/>
        </w:rPr>
      </w:pPr>
    </w:p>
    <w:p w14:paraId="6F17C3AB" w14:textId="4320ADD8" w:rsidR="00BC6827" w:rsidRPr="00CB5C72" w:rsidRDefault="00274FBE" w:rsidP="00BC6827">
      <w:pPr>
        <w:spacing w:after="0" w:line="276" w:lineRule="auto"/>
        <w:jc w:val="center"/>
        <w:rPr>
          <w:rFonts w:ascii="Palatino Linotype" w:hAnsi="Palatino Linotype" w:cs="Times New Roman"/>
          <w:b/>
          <w:bCs/>
          <w:smallCaps/>
          <w:sz w:val="24"/>
          <w:szCs w:val="24"/>
        </w:rPr>
      </w:pPr>
      <w:r w:rsidRPr="00CB5C72">
        <w:rPr>
          <w:rFonts w:ascii="Palatino Linotype" w:hAnsi="Palatino Linotype" w:cs="Times New Roman"/>
          <w:b/>
          <w:bCs/>
          <w:smallCaps/>
          <w:sz w:val="24"/>
          <w:szCs w:val="24"/>
        </w:rPr>
        <w:t>CHRISTIAN MATHESON VILLÁN</w:t>
      </w:r>
    </w:p>
    <w:p w14:paraId="7DBA645D" w14:textId="197E86A1" w:rsidR="00BC6827" w:rsidRPr="00CB5C72" w:rsidRDefault="00274FBE" w:rsidP="00BC6827">
      <w:pPr>
        <w:spacing w:after="0" w:line="276" w:lineRule="auto"/>
        <w:jc w:val="center"/>
        <w:rPr>
          <w:rFonts w:ascii="Palatino Linotype" w:hAnsi="Palatino Linotype" w:cs="Times New Roman"/>
          <w:i/>
          <w:iCs/>
          <w:sz w:val="24"/>
          <w:szCs w:val="24"/>
        </w:rPr>
      </w:pPr>
      <w:r w:rsidRPr="00CB5C72">
        <w:rPr>
          <w:rFonts w:ascii="Palatino Linotype" w:hAnsi="Palatino Linotype" w:cs="Times New Roman"/>
          <w:sz w:val="24"/>
          <w:szCs w:val="24"/>
        </w:rPr>
        <w:t>H. DIPUTADO DE LA REPÚBLICA</w:t>
      </w:r>
    </w:p>
    <w:p w14:paraId="6F90ED4A" w14:textId="77777777" w:rsidR="00BC6827" w:rsidRPr="00A575FE" w:rsidRDefault="00BC6827" w:rsidP="00A575FE">
      <w:pPr>
        <w:spacing w:after="0"/>
        <w:rPr>
          <w:rFonts w:ascii="Palatino Linotype" w:hAnsi="Palatino Linotype"/>
          <w:sz w:val="24"/>
          <w:szCs w:val="24"/>
        </w:rPr>
      </w:pPr>
    </w:p>
    <w:sectPr w:rsidR="00BC6827" w:rsidRPr="00A575F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69D2E" w14:textId="77777777" w:rsidR="007608C3" w:rsidRDefault="007608C3" w:rsidP="00B92015">
      <w:pPr>
        <w:spacing w:after="0" w:line="240" w:lineRule="auto"/>
      </w:pPr>
      <w:r>
        <w:separator/>
      </w:r>
    </w:p>
  </w:endnote>
  <w:endnote w:type="continuationSeparator" w:id="0">
    <w:p w14:paraId="681EA5C9" w14:textId="77777777" w:rsidR="007608C3" w:rsidRDefault="007608C3" w:rsidP="00B9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477946"/>
      <w:docPartObj>
        <w:docPartGallery w:val="Page Numbers (Bottom of Page)"/>
        <w:docPartUnique/>
      </w:docPartObj>
    </w:sdtPr>
    <w:sdtContent>
      <w:p w14:paraId="110EA366" w14:textId="4385DAAD" w:rsidR="00B92015" w:rsidRDefault="00B92015">
        <w:pPr>
          <w:pStyle w:val="Piedepgina"/>
          <w:jc w:val="center"/>
        </w:pPr>
        <w:r>
          <w:fldChar w:fldCharType="begin"/>
        </w:r>
        <w:r>
          <w:instrText>PAGE   \* MERGEFORMAT</w:instrText>
        </w:r>
        <w:r>
          <w:fldChar w:fldCharType="separate"/>
        </w:r>
        <w:r>
          <w:rPr>
            <w:lang w:val="es-ES"/>
          </w:rPr>
          <w:t>2</w:t>
        </w:r>
        <w:r>
          <w:fldChar w:fldCharType="end"/>
        </w:r>
      </w:p>
    </w:sdtContent>
  </w:sdt>
  <w:p w14:paraId="3A3148A1" w14:textId="77777777" w:rsidR="00B92015" w:rsidRDefault="00B920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0F4DC" w14:textId="77777777" w:rsidR="007608C3" w:rsidRDefault="007608C3" w:rsidP="00B92015">
      <w:pPr>
        <w:spacing w:after="0" w:line="240" w:lineRule="auto"/>
      </w:pPr>
      <w:r>
        <w:separator/>
      </w:r>
    </w:p>
  </w:footnote>
  <w:footnote w:type="continuationSeparator" w:id="0">
    <w:p w14:paraId="7FADA35C" w14:textId="77777777" w:rsidR="007608C3" w:rsidRDefault="007608C3" w:rsidP="00B92015">
      <w:pPr>
        <w:spacing w:after="0" w:line="240" w:lineRule="auto"/>
      </w:pPr>
      <w:r>
        <w:continuationSeparator/>
      </w:r>
    </w:p>
  </w:footnote>
  <w:footnote w:id="1">
    <w:p w14:paraId="25D5CB38" w14:textId="44EAAA7E" w:rsidR="00F77C5F" w:rsidRPr="0051502E" w:rsidRDefault="00F77C5F">
      <w:pPr>
        <w:pStyle w:val="Textonotapie"/>
        <w:rPr>
          <w:rFonts w:ascii="Palatino Linotype" w:hAnsi="Palatino Linotype"/>
        </w:rPr>
      </w:pPr>
      <w:r w:rsidRPr="0051502E">
        <w:rPr>
          <w:rStyle w:val="Refdenotaalpie"/>
          <w:rFonts w:ascii="Palatino Linotype" w:hAnsi="Palatino Linotype"/>
        </w:rPr>
        <w:footnoteRef/>
      </w:r>
      <w:r w:rsidRPr="0051502E">
        <w:rPr>
          <w:rFonts w:ascii="Palatino Linotype" w:hAnsi="Palatino Linotype"/>
        </w:rPr>
        <w:t xml:space="preserve"> Reclamo CLT Rol C1967-20, </w:t>
      </w:r>
      <w:r w:rsidR="005C6D9F" w:rsidRPr="0051502E">
        <w:rPr>
          <w:rFonts w:ascii="Palatino Linotype" w:hAnsi="Palatino Linotype"/>
          <w:i/>
          <w:iCs/>
        </w:rPr>
        <w:t>Ignacia Saona Urmeneta con Metro S.A.</w:t>
      </w:r>
      <w:r w:rsidR="005C6D9F" w:rsidRPr="0051502E">
        <w:rPr>
          <w:rFonts w:ascii="Palatino Linotype" w:hAnsi="Palatino Linotype"/>
        </w:rPr>
        <w:t xml:space="preserve">, </w:t>
      </w:r>
      <w:r w:rsidRPr="0051502E">
        <w:rPr>
          <w:rFonts w:ascii="Palatino Linotype" w:hAnsi="Palatino Linotype"/>
        </w:rPr>
        <w:t xml:space="preserve">considerandos </w:t>
      </w:r>
      <w:r w:rsidR="005C6D9F" w:rsidRPr="0051502E">
        <w:rPr>
          <w:rFonts w:ascii="Palatino Linotype" w:hAnsi="Palatino Linotype"/>
        </w:rPr>
        <w:t>7 y 8.</w:t>
      </w:r>
    </w:p>
  </w:footnote>
  <w:footnote w:id="2">
    <w:p w14:paraId="77EE7A87" w14:textId="3C810C88" w:rsidR="00F77C5F" w:rsidRPr="000A256C" w:rsidRDefault="00F77C5F">
      <w:pPr>
        <w:pStyle w:val="Textonotapie"/>
        <w:rPr>
          <w:rFonts w:ascii="Palatino Linotype" w:hAnsi="Palatino Linotype"/>
        </w:rPr>
      </w:pPr>
      <w:r w:rsidRPr="000A256C">
        <w:rPr>
          <w:rStyle w:val="Refdenotaalpie"/>
          <w:rFonts w:ascii="Palatino Linotype" w:hAnsi="Palatino Linotype"/>
        </w:rPr>
        <w:footnoteRef/>
      </w:r>
      <w:r w:rsidRPr="000A256C">
        <w:rPr>
          <w:rFonts w:ascii="Palatino Linotype" w:hAnsi="Palatino Linotype"/>
        </w:rPr>
        <w:t xml:space="preserve"> </w:t>
      </w:r>
      <w:r w:rsidR="005C6D9F" w:rsidRPr="000A256C">
        <w:rPr>
          <w:rFonts w:ascii="Palatino Linotype" w:hAnsi="Palatino Linotype"/>
        </w:rPr>
        <w:t xml:space="preserve">Ibid. </w:t>
      </w:r>
    </w:p>
  </w:footnote>
  <w:footnote w:id="3">
    <w:p w14:paraId="3DA243E7" w14:textId="4D4A2C86" w:rsidR="000A256C" w:rsidRDefault="000A256C" w:rsidP="000A256C">
      <w:r w:rsidRPr="00936B84">
        <w:rPr>
          <w:rStyle w:val="Refdenotaalpie"/>
          <w:rFonts w:ascii="Palatino Linotype" w:hAnsi="Palatino Linotype"/>
          <w:sz w:val="20"/>
          <w:szCs w:val="20"/>
        </w:rPr>
        <w:footnoteRef/>
      </w:r>
      <w:r w:rsidRPr="00936B84">
        <w:rPr>
          <w:rFonts w:ascii="Palatino Linotype" w:hAnsi="Palatino Linotype"/>
          <w:sz w:val="20"/>
          <w:szCs w:val="20"/>
        </w:rPr>
        <w:t xml:space="preserve"> Véase, por ejemplo, el portal Gobierno Transparente en el caso del MMA: </w:t>
      </w:r>
      <w:hyperlink r:id="rId1" w:history="1">
        <w:r w:rsidRPr="00936B84">
          <w:rPr>
            <w:rStyle w:val="Hipervnculo"/>
            <w:rFonts w:ascii="Palatino Linotype" w:hAnsi="Palatino Linotype"/>
            <w:color w:val="auto"/>
            <w:sz w:val="20"/>
            <w:szCs w:val="20"/>
          </w:rPr>
          <w:t>https://n9.cl/tsp01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7CD5A" w14:textId="14D63A5A" w:rsidR="00473851" w:rsidRDefault="00473851" w:rsidP="00473851">
    <w:pPr>
      <w:pStyle w:val="Encabezado"/>
      <w:jc w:val="center"/>
    </w:pPr>
    <w:r>
      <w:rPr>
        <w:noProof/>
      </w:rPr>
      <w:drawing>
        <wp:inline distT="0" distB="0" distL="0" distR="0" wp14:anchorId="798939ED" wp14:editId="208031E2">
          <wp:extent cx="1398270" cy="1258570"/>
          <wp:effectExtent l="0" t="0" r="0" b="0"/>
          <wp:docPr id="5" name="image1.png" descr="Diputadas y diputados: el remozado logo de la Cámara Baja"/>
          <wp:cNvGraphicFramePr/>
          <a:graphic xmlns:a="http://schemas.openxmlformats.org/drawingml/2006/main">
            <a:graphicData uri="http://schemas.openxmlformats.org/drawingml/2006/picture">
              <pic:pic xmlns:pic="http://schemas.openxmlformats.org/drawingml/2006/picture">
                <pic:nvPicPr>
                  <pic:cNvPr id="5" name="image1.png" descr="Diputadas y diputados: el remozado logo de la Cámara Baja"/>
                  <pic:cNvPicPr/>
                </pic:nvPicPr>
                <pic:blipFill>
                  <a:blip r:embed="rId1"/>
                  <a:srcRect/>
                  <a:stretch>
                    <a:fillRect/>
                  </a:stretch>
                </pic:blipFill>
                <pic:spPr>
                  <a:xfrm>
                    <a:off x="0" y="0"/>
                    <a:ext cx="1398270" cy="12585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D356B"/>
    <w:multiLevelType w:val="hybridMultilevel"/>
    <w:tmpl w:val="554A91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1E4893"/>
    <w:multiLevelType w:val="hybridMultilevel"/>
    <w:tmpl w:val="F484208C"/>
    <w:lvl w:ilvl="0" w:tplc="D480C7D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E4C2A2D"/>
    <w:multiLevelType w:val="hybridMultilevel"/>
    <w:tmpl w:val="57863124"/>
    <w:lvl w:ilvl="0" w:tplc="555E70E4">
      <w:start w:val="1"/>
      <w:numFmt w:val="decimal"/>
      <w:lvlText w:val="%1."/>
      <w:lvlJc w:val="left"/>
      <w:pPr>
        <w:ind w:left="720" w:hanging="360"/>
      </w:pPr>
      <w:rPr>
        <w:rFonts w:cs="Aria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1305FF1"/>
    <w:multiLevelType w:val="hybridMultilevel"/>
    <w:tmpl w:val="0F082A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CF122BF"/>
    <w:multiLevelType w:val="hybridMultilevel"/>
    <w:tmpl w:val="48D0B8B8"/>
    <w:lvl w:ilvl="0" w:tplc="EBF6BF9A">
      <w:start w:val="1"/>
      <w:numFmt w:val="decimal"/>
      <w:lvlText w:val="%1)"/>
      <w:lvlJc w:val="left"/>
      <w:pPr>
        <w:ind w:left="720" w:hanging="360"/>
      </w:pPr>
      <w:rPr>
        <w:rFonts w:ascii="Open Sans" w:hAnsi="Open Sans" w:cs="Open Sans" w:hint="default"/>
        <w:i w:val="0"/>
        <w:iCs w:val="0"/>
        <w:color w:val="333333"/>
        <w:sz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72700298">
    <w:abstractNumId w:val="1"/>
  </w:num>
  <w:num w:numId="2" w16cid:durableId="1671375119">
    <w:abstractNumId w:val="3"/>
  </w:num>
  <w:num w:numId="3" w16cid:durableId="538779796">
    <w:abstractNumId w:val="4"/>
  </w:num>
  <w:num w:numId="4" w16cid:durableId="1105614314">
    <w:abstractNumId w:val="2"/>
  </w:num>
  <w:num w:numId="5" w16cid:durableId="5528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81"/>
    <w:rsid w:val="00014A16"/>
    <w:rsid w:val="00030DF6"/>
    <w:rsid w:val="00052546"/>
    <w:rsid w:val="000A256C"/>
    <w:rsid w:val="000A31E0"/>
    <w:rsid w:val="000F1460"/>
    <w:rsid w:val="00171473"/>
    <w:rsid w:val="001E1862"/>
    <w:rsid w:val="00230681"/>
    <w:rsid w:val="00274FBE"/>
    <w:rsid w:val="002E62F1"/>
    <w:rsid w:val="00316210"/>
    <w:rsid w:val="00320D03"/>
    <w:rsid w:val="003451BD"/>
    <w:rsid w:val="003706BE"/>
    <w:rsid w:val="003C54D0"/>
    <w:rsid w:val="003F61A0"/>
    <w:rsid w:val="00423A5C"/>
    <w:rsid w:val="004251E7"/>
    <w:rsid w:val="00473851"/>
    <w:rsid w:val="0051502E"/>
    <w:rsid w:val="00530AB9"/>
    <w:rsid w:val="00581ECB"/>
    <w:rsid w:val="005C3EA8"/>
    <w:rsid w:val="005C6D9F"/>
    <w:rsid w:val="0060001F"/>
    <w:rsid w:val="006137F1"/>
    <w:rsid w:val="007608C3"/>
    <w:rsid w:val="007F272C"/>
    <w:rsid w:val="0083246B"/>
    <w:rsid w:val="008926BE"/>
    <w:rsid w:val="008A4E0E"/>
    <w:rsid w:val="0090615E"/>
    <w:rsid w:val="00936B84"/>
    <w:rsid w:val="00982DFC"/>
    <w:rsid w:val="009B5534"/>
    <w:rsid w:val="009C57FA"/>
    <w:rsid w:val="009D03FD"/>
    <w:rsid w:val="009D790E"/>
    <w:rsid w:val="009F2561"/>
    <w:rsid w:val="00A34D3E"/>
    <w:rsid w:val="00A575FE"/>
    <w:rsid w:val="00A97749"/>
    <w:rsid w:val="00AC1C8F"/>
    <w:rsid w:val="00AE117F"/>
    <w:rsid w:val="00AE36B4"/>
    <w:rsid w:val="00B13B0F"/>
    <w:rsid w:val="00B4537F"/>
    <w:rsid w:val="00B47E42"/>
    <w:rsid w:val="00B92015"/>
    <w:rsid w:val="00BC6827"/>
    <w:rsid w:val="00CA7D66"/>
    <w:rsid w:val="00CB70FD"/>
    <w:rsid w:val="00D52234"/>
    <w:rsid w:val="00D60E61"/>
    <w:rsid w:val="00DE2AF3"/>
    <w:rsid w:val="00DE6013"/>
    <w:rsid w:val="00E45931"/>
    <w:rsid w:val="00ED43E0"/>
    <w:rsid w:val="00F77C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A232"/>
  <w15:chartTrackingRefBased/>
  <w15:docId w15:val="{A4D12378-B9CF-46F2-9983-C1327A53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A256C"/>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234"/>
    <w:pPr>
      <w:ind w:left="720"/>
      <w:contextualSpacing/>
    </w:pPr>
  </w:style>
  <w:style w:type="character" w:styleId="Hipervnculo">
    <w:name w:val="Hyperlink"/>
    <w:basedOn w:val="Fuentedeprrafopredeter"/>
    <w:uiPriority w:val="99"/>
    <w:unhideWhenUsed/>
    <w:rsid w:val="009D790E"/>
    <w:rPr>
      <w:color w:val="0000FF"/>
      <w:u w:val="single"/>
    </w:rPr>
  </w:style>
  <w:style w:type="character" w:styleId="Mencinsinresolver">
    <w:name w:val="Unresolved Mention"/>
    <w:basedOn w:val="Fuentedeprrafopredeter"/>
    <w:uiPriority w:val="99"/>
    <w:semiHidden/>
    <w:unhideWhenUsed/>
    <w:rsid w:val="00A575FE"/>
    <w:rPr>
      <w:color w:val="605E5C"/>
      <w:shd w:val="clear" w:color="auto" w:fill="E1DFDD"/>
    </w:rPr>
  </w:style>
  <w:style w:type="paragraph" w:styleId="Encabezado">
    <w:name w:val="header"/>
    <w:basedOn w:val="Normal"/>
    <w:link w:val="EncabezadoCar"/>
    <w:uiPriority w:val="99"/>
    <w:unhideWhenUsed/>
    <w:rsid w:val="00B92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015"/>
  </w:style>
  <w:style w:type="paragraph" w:styleId="Piedepgina">
    <w:name w:val="footer"/>
    <w:basedOn w:val="Normal"/>
    <w:link w:val="PiedepginaCar"/>
    <w:uiPriority w:val="99"/>
    <w:unhideWhenUsed/>
    <w:rsid w:val="00B92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015"/>
  </w:style>
  <w:style w:type="character" w:styleId="Hipervnculovisitado">
    <w:name w:val="FollowedHyperlink"/>
    <w:basedOn w:val="Fuentedeprrafopredeter"/>
    <w:uiPriority w:val="99"/>
    <w:semiHidden/>
    <w:unhideWhenUsed/>
    <w:rsid w:val="00B4537F"/>
    <w:rPr>
      <w:color w:val="954F72" w:themeColor="followedHyperlink"/>
      <w:u w:val="single"/>
    </w:rPr>
  </w:style>
  <w:style w:type="paragraph" w:styleId="Textonotapie">
    <w:name w:val="footnote text"/>
    <w:basedOn w:val="Normal"/>
    <w:link w:val="TextonotapieCar"/>
    <w:uiPriority w:val="99"/>
    <w:semiHidden/>
    <w:unhideWhenUsed/>
    <w:rsid w:val="00F77C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7C5F"/>
    <w:rPr>
      <w:sz w:val="20"/>
      <w:szCs w:val="20"/>
    </w:rPr>
  </w:style>
  <w:style w:type="character" w:styleId="Refdenotaalpie">
    <w:name w:val="footnote reference"/>
    <w:basedOn w:val="Fuentedeprrafopredeter"/>
    <w:uiPriority w:val="99"/>
    <w:semiHidden/>
    <w:unhideWhenUsed/>
    <w:rsid w:val="00F77C5F"/>
    <w:rPr>
      <w:vertAlign w:val="superscript"/>
    </w:rPr>
  </w:style>
  <w:style w:type="character" w:customStyle="1" w:styleId="Ttulo3Car">
    <w:name w:val="Título 3 Car"/>
    <w:basedOn w:val="Fuentedeprrafopredeter"/>
    <w:link w:val="Ttulo3"/>
    <w:uiPriority w:val="9"/>
    <w:rsid w:val="000A256C"/>
    <w:rPr>
      <w:rFonts w:ascii="Times New Roman" w:eastAsia="Times New Roman" w:hAnsi="Times New Roman" w:cs="Times New Roman"/>
      <w:b/>
      <w:bCs/>
      <w:sz w:val="27"/>
      <w:szCs w:val="27"/>
      <w:lang w:eastAsia="es-CL"/>
    </w:rPr>
  </w:style>
  <w:style w:type="character" w:styleId="Refdecomentario">
    <w:name w:val="annotation reference"/>
    <w:basedOn w:val="Fuentedeprrafopredeter"/>
    <w:uiPriority w:val="99"/>
    <w:semiHidden/>
    <w:unhideWhenUsed/>
    <w:rsid w:val="00982DFC"/>
    <w:rPr>
      <w:sz w:val="16"/>
      <w:szCs w:val="16"/>
    </w:rPr>
  </w:style>
  <w:style w:type="paragraph" w:styleId="Textocomentario">
    <w:name w:val="annotation text"/>
    <w:basedOn w:val="Normal"/>
    <w:link w:val="TextocomentarioCar"/>
    <w:uiPriority w:val="99"/>
    <w:semiHidden/>
    <w:unhideWhenUsed/>
    <w:rsid w:val="00982D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2DFC"/>
    <w:rPr>
      <w:sz w:val="20"/>
      <w:szCs w:val="20"/>
    </w:rPr>
  </w:style>
  <w:style w:type="paragraph" w:styleId="Asuntodelcomentario">
    <w:name w:val="annotation subject"/>
    <w:basedOn w:val="Textocomentario"/>
    <w:next w:val="Textocomentario"/>
    <w:link w:val="AsuntodelcomentarioCar"/>
    <w:uiPriority w:val="99"/>
    <w:semiHidden/>
    <w:unhideWhenUsed/>
    <w:rsid w:val="00982DFC"/>
    <w:rPr>
      <w:b/>
      <w:bCs/>
    </w:rPr>
  </w:style>
  <w:style w:type="character" w:customStyle="1" w:styleId="AsuntodelcomentarioCar">
    <w:name w:val="Asunto del comentario Car"/>
    <w:basedOn w:val="TextocomentarioCar"/>
    <w:link w:val="Asuntodelcomentario"/>
    <w:uiPriority w:val="99"/>
    <w:semiHidden/>
    <w:rsid w:val="00982DFC"/>
    <w:rPr>
      <w:b/>
      <w:bCs/>
      <w:sz w:val="20"/>
      <w:szCs w:val="20"/>
    </w:rPr>
  </w:style>
  <w:style w:type="character" w:customStyle="1" w:styleId="cf01">
    <w:name w:val="cf01"/>
    <w:basedOn w:val="Fuentedeprrafopredeter"/>
    <w:rsid w:val="00DE2A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750434">
      <w:bodyDiv w:val="1"/>
      <w:marLeft w:val="0"/>
      <w:marRight w:val="0"/>
      <w:marTop w:val="0"/>
      <w:marBottom w:val="0"/>
      <w:divBdr>
        <w:top w:val="none" w:sz="0" w:space="0" w:color="auto"/>
        <w:left w:val="none" w:sz="0" w:space="0" w:color="auto"/>
        <w:bottom w:val="none" w:sz="0" w:space="0" w:color="auto"/>
        <w:right w:val="none" w:sz="0" w:space="0" w:color="auto"/>
      </w:divBdr>
    </w:div>
    <w:div w:id="1170563168">
      <w:bodyDiv w:val="1"/>
      <w:marLeft w:val="0"/>
      <w:marRight w:val="0"/>
      <w:marTop w:val="0"/>
      <w:marBottom w:val="0"/>
      <w:divBdr>
        <w:top w:val="none" w:sz="0" w:space="0" w:color="auto"/>
        <w:left w:val="none" w:sz="0" w:space="0" w:color="auto"/>
        <w:bottom w:val="none" w:sz="0" w:space="0" w:color="auto"/>
        <w:right w:val="none" w:sz="0" w:space="0" w:color="auto"/>
      </w:divBdr>
    </w:div>
    <w:div w:id="1246378477">
      <w:bodyDiv w:val="1"/>
      <w:marLeft w:val="0"/>
      <w:marRight w:val="0"/>
      <w:marTop w:val="0"/>
      <w:marBottom w:val="0"/>
      <w:divBdr>
        <w:top w:val="none" w:sz="0" w:space="0" w:color="auto"/>
        <w:left w:val="none" w:sz="0" w:space="0" w:color="auto"/>
        <w:bottom w:val="none" w:sz="0" w:space="0" w:color="auto"/>
        <w:right w:val="none" w:sz="0" w:space="0" w:color="auto"/>
      </w:divBdr>
    </w:div>
    <w:div w:id="20248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9.cl/tsp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4108-21F8-455A-8BB3-97C8451E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1627</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de Tezanos Pinto</dc:creator>
  <cp:keywords/>
  <dc:description/>
  <cp:lastModifiedBy>Guillermo Diaz Vallejos</cp:lastModifiedBy>
  <cp:revision>1</cp:revision>
  <dcterms:created xsi:type="dcterms:W3CDTF">2022-12-01T14:53:00Z</dcterms:created>
  <dcterms:modified xsi:type="dcterms:W3CDTF">2024-04-15T22:12:00Z</dcterms:modified>
</cp:coreProperties>
</file>