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D51" w:rsidRPr="00935D51" w:rsidRDefault="00974678" w:rsidP="00CB1C8E">
      <w:pPr>
        <w:tabs>
          <w:tab w:val="left" w:pos="709"/>
        </w:tabs>
        <w:ind w:right="-234"/>
        <w:jc w:val="both"/>
        <w:rPr>
          <w:rFonts w:ascii="Courier New" w:hAnsi="Courier New" w:cs="Courier New"/>
          <w:b/>
          <w:sz w:val="22"/>
          <w:szCs w:val="22"/>
          <w:lang w:eastAsia="es-CL"/>
        </w:rPr>
      </w:pPr>
      <w:r w:rsidRPr="000D493D">
        <w:rPr>
          <w:rFonts w:ascii="Arial" w:hAnsi="Arial" w:cs="Arial"/>
          <w:b/>
          <w:lang w:val="es-ES_tradnl"/>
        </w:rPr>
        <w:t xml:space="preserve">INFORME DE LA COMISION DE HACIENDA RECAÍDO EN EL PROYECTO DE LEY </w:t>
      </w:r>
      <w:r w:rsidR="00E21859">
        <w:rPr>
          <w:rFonts w:ascii="Arial" w:hAnsi="Arial" w:cs="Arial"/>
          <w:b/>
          <w:lang w:val="es-ES_tradnl"/>
        </w:rPr>
        <w:t xml:space="preserve">QUE </w:t>
      </w:r>
      <w:r w:rsidR="00935D51" w:rsidRPr="00935D51">
        <w:rPr>
          <w:rFonts w:ascii="Arial" w:hAnsi="Arial" w:cs="Arial"/>
          <w:b/>
          <w:sz w:val="22"/>
          <w:szCs w:val="22"/>
          <w:lang w:val="es-ES_tradnl"/>
        </w:rPr>
        <w:t>E</w:t>
      </w:r>
      <w:r w:rsidR="00935D51" w:rsidRPr="00935D51">
        <w:rPr>
          <w:rFonts w:ascii="Arial" w:hAnsi="Arial" w:cs="Arial"/>
          <w:b/>
          <w:sz w:val="22"/>
          <w:szCs w:val="22"/>
          <w:lang w:eastAsia="es-CL"/>
        </w:rPr>
        <w:t>STABLECE REAJUSTE DE REMUNERACIONES Y OTROS BENEFICIOS LEGALES PARA EL PERSONAL QUE INDICA, QUE SE DESEMPEÑA EN LOS ESTABLECIMIENTOS DE EDUCACIÓN PARVULARIA FINANCIADOS POR LA JUNTA NACIONAL DE JARDINES INFANTILES VÍA TRANSFERENCIA DE FONDOS TRASPASADOS A LOS SERVICIOS LOCALES DE EDUCACIÓN PÚBLICA.</w:t>
      </w:r>
    </w:p>
    <w:p w:rsidR="00D86CA2" w:rsidRPr="000D493D" w:rsidRDefault="00E21859" w:rsidP="00CB1C8E">
      <w:pPr>
        <w:pStyle w:val="Sinespaciado"/>
        <w:spacing w:line="276" w:lineRule="auto"/>
        <w:ind w:right="-234"/>
        <w:jc w:val="both"/>
        <w:rPr>
          <w:rFonts w:ascii="Arial" w:hAnsi="Arial" w:cs="Arial"/>
          <w:b/>
        </w:rPr>
      </w:pPr>
      <w:r>
        <w:rPr>
          <w:rFonts w:ascii="Arial" w:hAnsi="Arial" w:cs="Arial"/>
          <w:b/>
          <w:lang w:val="es-ES_tradnl"/>
        </w:rPr>
        <w:t>___________________________________________________________________</w:t>
      </w:r>
      <w:r w:rsidR="00CB1C8E">
        <w:rPr>
          <w:rFonts w:ascii="Arial" w:hAnsi="Arial" w:cs="Arial"/>
          <w:b/>
          <w:lang w:val="es-ES_tradnl"/>
        </w:rPr>
        <w:t>__</w:t>
      </w:r>
    </w:p>
    <w:p w:rsidR="00E96C46" w:rsidRDefault="00E96C46" w:rsidP="00CB1C8E">
      <w:pPr>
        <w:spacing w:line="276" w:lineRule="auto"/>
        <w:ind w:right="-234" w:firstLine="1701"/>
        <w:jc w:val="right"/>
        <w:rPr>
          <w:rFonts w:ascii="Arial" w:hAnsi="Arial" w:cs="Arial"/>
          <w:b/>
          <w:sz w:val="22"/>
          <w:szCs w:val="22"/>
        </w:rPr>
      </w:pPr>
    </w:p>
    <w:p w:rsidR="00974678" w:rsidRPr="000D493D" w:rsidRDefault="00974678" w:rsidP="00CB1C8E">
      <w:pPr>
        <w:spacing w:line="276" w:lineRule="auto"/>
        <w:ind w:right="-234" w:firstLine="1701"/>
        <w:jc w:val="right"/>
        <w:rPr>
          <w:rFonts w:ascii="Arial" w:hAnsi="Arial" w:cs="Arial"/>
          <w:b/>
          <w:sz w:val="22"/>
          <w:szCs w:val="22"/>
          <w:lang w:val="es-ES_tradnl"/>
        </w:rPr>
      </w:pPr>
      <w:r w:rsidRPr="000D493D">
        <w:rPr>
          <w:rFonts w:ascii="Arial" w:hAnsi="Arial" w:cs="Arial"/>
          <w:b/>
          <w:sz w:val="22"/>
          <w:szCs w:val="22"/>
        </w:rPr>
        <w:t>B</w:t>
      </w:r>
      <w:r w:rsidRPr="000D493D">
        <w:rPr>
          <w:rFonts w:ascii="Arial" w:hAnsi="Arial" w:cs="Arial"/>
          <w:b/>
          <w:iCs/>
          <w:sz w:val="22"/>
          <w:szCs w:val="22"/>
          <w:lang w:val="es-ES_tradnl"/>
        </w:rPr>
        <w:t xml:space="preserve">OLETÍN N° </w:t>
      </w:r>
      <w:r w:rsidR="006803F9">
        <w:rPr>
          <w:rFonts w:ascii="Arial" w:hAnsi="Arial" w:cs="Arial"/>
          <w:b/>
          <w:iCs/>
          <w:sz w:val="22"/>
          <w:szCs w:val="22"/>
          <w:lang w:val="es-ES_tradnl"/>
        </w:rPr>
        <w:t>14.</w:t>
      </w:r>
      <w:r w:rsidR="00935D51">
        <w:rPr>
          <w:rFonts w:ascii="Arial" w:hAnsi="Arial" w:cs="Arial"/>
          <w:b/>
          <w:iCs/>
          <w:sz w:val="22"/>
          <w:szCs w:val="22"/>
          <w:lang w:val="es-ES_tradnl"/>
        </w:rPr>
        <w:t>558</w:t>
      </w:r>
      <w:r w:rsidR="006803F9">
        <w:rPr>
          <w:rFonts w:ascii="Arial" w:hAnsi="Arial" w:cs="Arial"/>
          <w:b/>
          <w:iCs/>
          <w:sz w:val="22"/>
          <w:szCs w:val="22"/>
          <w:lang w:val="es-ES_tradnl"/>
        </w:rPr>
        <w:t>-04</w:t>
      </w:r>
    </w:p>
    <w:p w:rsidR="00974678" w:rsidRDefault="00974678" w:rsidP="00CB1C8E">
      <w:pPr>
        <w:spacing w:line="276" w:lineRule="auto"/>
        <w:ind w:right="-234" w:firstLine="1701"/>
        <w:jc w:val="right"/>
        <w:rPr>
          <w:rFonts w:ascii="Arial" w:hAnsi="Arial" w:cs="Arial"/>
          <w:b/>
          <w:sz w:val="22"/>
          <w:szCs w:val="22"/>
          <w:lang w:val="es-ES_tradnl"/>
        </w:rPr>
      </w:pPr>
    </w:p>
    <w:p w:rsidR="00974678" w:rsidRPr="000D493D" w:rsidRDefault="00974678" w:rsidP="00CB1C8E">
      <w:pPr>
        <w:spacing w:line="276" w:lineRule="auto"/>
        <w:ind w:right="-234" w:firstLine="1701"/>
        <w:jc w:val="both"/>
        <w:rPr>
          <w:rFonts w:ascii="Arial" w:hAnsi="Arial" w:cs="Arial"/>
          <w:b/>
          <w:sz w:val="22"/>
          <w:szCs w:val="22"/>
          <w:lang w:val="es-ES_tradnl"/>
        </w:rPr>
      </w:pPr>
    </w:p>
    <w:p w:rsidR="00974678" w:rsidRPr="000D493D" w:rsidRDefault="00974678" w:rsidP="00CB1C8E">
      <w:pPr>
        <w:tabs>
          <w:tab w:val="left" w:pos="2268"/>
        </w:tabs>
        <w:spacing w:line="276" w:lineRule="auto"/>
        <w:ind w:right="-234"/>
        <w:jc w:val="both"/>
        <w:outlineLvl w:val="0"/>
        <w:rPr>
          <w:rFonts w:ascii="Arial" w:hAnsi="Arial" w:cs="Arial"/>
          <w:spacing w:val="-3"/>
          <w:sz w:val="22"/>
          <w:szCs w:val="22"/>
        </w:rPr>
      </w:pPr>
      <w:r w:rsidRPr="000D493D">
        <w:rPr>
          <w:rFonts w:ascii="Arial" w:hAnsi="Arial" w:cs="Arial"/>
          <w:b/>
          <w:spacing w:val="-3"/>
          <w:sz w:val="22"/>
          <w:szCs w:val="22"/>
        </w:rPr>
        <w:t>HONORABLE CÁMARA</w:t>
      </w:r>
      <w:r w:rsidRPr="000D493D">
        <w:rPr>
          <w:rFonts w:ascii="Arial" w:hAnsi="Arial" w:cs="Arial"/>
          <w:spacing w:val="-3"/>
          <w:sz w:val="22"/>
          <w:szCs w:val="22"/>
        </w:rPr>
        <w:t>:</w:t>
      </w:r>
    </w:p>
    <w:p w:rsidR="00974678" w:rsidRPr="000D493D" w:rsidRDefault="00974678" w:rsidP="00CB1C8E">
      <w:pPr>
        <w:spacing w:line="276" w:lineRule="auto"/>
        <w:ind w:right="-234" w:firstLine="1701"/>
        <w:jc w:val="both"/>
        <w:rPr>
          <w:rFonts w:ascii="Arial" w:hAnsi="Arial" w:cs="Arial"/>
          <w:sz w:val="22"/>
          <w:szCs w:val="22"/>
        </w:rPr>
      </w:pPr>
    </w:p>
    <w:p w:rsidR="00070E5F" w:rsidRPr="00070E5F" w:rsidRDefault="00974678" w:rsidP="00CB1C8E">
      <w:pPr>
        <w:tabs>
          <w:tab w:val="left" w:pos="709"/>
        </w:tabs>
        <w:spacing w:before="240" w:line="276" w:lineRule="auto"/>
        <w:ind w:right="-234" w:firstLine="1701"/>
        <w:jc w:val="both"/>
        <w:rPr>
          <w:rFonts w:ascii="Arial" w:hAnsi="Arial" w:cs="Arial"/>
          <w:sz w:val="22"/>
          <w:szCs w:val="22"/>
        </w:rPr>
      </w:pPr>
      <w:r w:rsidRPr="00070E5F">
        <w:rPr>
          <w:rFonts w:ascii="Arial" w:hAnsi="Arial" w:cs="Arial"/>
          <w:sz w:val="22"/>
          <w:szCs w:val="22"/>
        </w:rPr>
        <w:t xml:space="preserve">La Comisión de Hacienda pasa a informar, en cumplimiento del inciso segundo del artículo 17 de la ley N° 18.918, Orgánica Constitucional del Congreso Nacional, y conforme a lo dispuesto en el inciso segundo del artículo 226 del Reglamento de la Corporación, el proyecto de ley mencionado en el epígrafe, originado en </w:t>
      </w:r>
      <w:bookmarkStart w:id="0" w:name="_Toc408309924"/>
      <w:bookmarkStart w:id="1" w:name="_Toc409556907"/>
      <w:bookmarkStart w:id="2" w:name="_Toc499712179"/>
      <w:r w:rsidR="00E21859">
        <w:rPr>
          <w:rFonts w:ascii="Arial" w:hAnsi="Arial" w:cs="Arial"/>
          <w:sz w:val="22"/>
          <w:szCs w:val="22"/>
          <w:lang w:val="es-ES_tradnl"/>
        </w:rPr>
        <w:t xml:space="preserve">Mensaje de </w:t>
      </w:r>
      <w:r w:rsidR="00E21859" w:rsidRPr="00E21859">
        <w:rPr>
          <w:rFonts w:ascii="Arial" w:hAnsi="Arial" w:cs="Arial"/>
          <w:sz w:val="22"/>
          <w:szCs w:val="22"/>
          <w:lang w:val="es-CL"/>
        </w:rPr>
        <w:t>S.E. el Presidente de la República don Sebastián Piñera Echenique</w:t>
      </w:r>
      <w:r w:rsidR="00E21859" w:rsidRPr="00E21859">
        <w:rPr>
          <w:rFonts w:ascii="Arial" w:hAnsi="Arial" w:cs="Arial"/>
          <w:sz w:val="22"/>
          <w:szCs w:val="22"/>
          <w:lang w:val="es-ES_tradnl"/>
        </w:rPr>
        <w:t>,</w:t>
      </w:r>
      <w:r w:rsidR="00E21859" w:rsidRPr="00E21859">
        <w:rPr>
          <w:rFonts w:ascii="Arial" w:hAnsi="Arial" w:cs="Arial"/>
          <w:sz w:val="22"/>
          <w:szCs w:val="22"/>
          <w:lang w:val="es-CL"/>
        </w:rPr>
        <w:t xml:space="preserve"> ingresado a tramitación el </w:t>
      </w:r>
      <w:r w:rsidR="00935D51">
        <w:rPr>
          <w:rFonts w:ascii="Arial" w:hAnsi="Arial" w:cs="Arial"/>
          <w:sz w:val="22"/>
          <w:szCs w:val="22"/>
          <w:lang w:val="es-CL"/>
        </w:rPr>
        <w:t>30 de agosto</w:t>
      </w:r>
      <w:r w:rsidR="00A25CC8">
        <w:rPr>
          <w:rFonts w:ascii="Arial" w:hAnsi="Arial" w:cs="Arial"/>
          <w:sz w:val="22"/>
          <w:szCs w:val="22"/>
          <w:lang w:val="es-CL"/>
        </w:rPr>
        <w:t xml:space="preserve"> de 2021</w:t>
      </w:r>
      <w:r w:rsidR="00E21859">
        <w:rPr>
          <w:rFonts w:ascii="Arial" w:hAnsi="Arial" w:cs="Arial"/>
          <w:sz w:val="22"/>
          <w:szCs w:val="22"/>
          <w:lang w:val="es-CL"/>
        </w:rPr>
        <w:t>,</w:t>
      </w:r>
      <w:r w:rsidR="00E21859" w:rsidRPr="00E21859">
        <w:rPr>
          <w:rFonts w:ascii="Arial" w:hAnsi="Arial" w:cs="Arial"/>
          <w:sz w:val="22"/>
          <w:szCs w:val="22"/>
          <w:lang w:val="es-CL"/>
        </w:rPr>
        <w:t xml:space="preserve"> e informado en primer trámite constitucional y reglamentario por la Comisión de </w:t>
      </w:r>
      <w:r w:rsidR="00E21859">
        <w:rPr>
          <w:rFonts w:ascii="Arial" w:hAnsi="Arial" w:cs="Arial"/>
          <w:sz w:val="22"/>
          <w:szCs w:val="22"/>
          <w:lang w:val="es-CL"/>
        </w:rPr>
        <w:t>Educación.</w:t>
      </w:r>
      <w:r w:rsidR="00E21859" w:rsidRPr="00E21859">
        <w:rPr>
          <w:rFonts w:ascii="Arial" w:hAnsi="Arial" w:cs="Arial"/>
          <w:sz w:val="22"/>
          <w:szCs w:val="22"/>
          <w:lang w:val="es-CL"/>
        </w:rPr>
        <w:t xml:space="preserve"> La referida iniciativa se encuentra con urgencia calificada de </w:t>
      </w:r>
      <w:r w:rsidR="00935D51">
        <w:rPr>
          <w:rFonts w:ascii="Arial" w:hAnsi="Arial" w:cs="Arial"/>
          <w:sz w:val="22"/>
          <w:szCs w:val="22"/>
          <w:lang w:val="es-CL"/>
        </w:rPr>
        <w:t>Suma</w:t>
      </w:r>
      <w:r w:rsidR="00CB1C8E">
        <w:rPr>
          <w:rFonts w:ascii="Arial" w:hAnsi="Arial" w:cs="Arial"/>
          <w:sz w:val="22"/>
          <w:szCs w:val="22"/>
          <w:lang w:val="es-CL"/>
        </w:rPr>
        <w:t>.</w:t>
      </w:r>
    </w:p>
    <w:p w:rsidR="00A25CC8" w:rsidRDefault="00A25CC8" w:rsidP="00CB1C8E">
      <w:pPr>
        <w:spacing w:line="276" w:lineRule="auto"/>
        <w:ind w:right="-234" w:firstLine="1701"/>
        <w:jc w:val="both"/>
        <w:rPr>
          <w:rFonts w:ascii="Arial" w:eastAsiaTheme="minorHAnsi" w:hAnsi="Arial" w:cs="Arial"/>
          <w:sz w:val="22"/>
          <w:szCs w:val="22"/>
          <w:lang w:val="es-CL" w:eastAsia="en-US"/>
        </w:rPr>
      </w:pPr>
    </w:p>
    <w:p w:rsidR="00CB1C8E" w:rsidRPr="00CB1C8E" w:rsidRDefault="00DA3111" w:rsidP="00CB1C8E">
      <w:pPr>
        <w:spacing w:line="276" w:lineRule="auto"/>
        <w:ind w:right="-234" w:firstLine="1701"/>
        <w:jc w:val="both"/>
        <w:rPr>
          <w:rFonts w:ascii="Arial" w:hAnsi="Arial" w:cs="Arial"/>
          <w:sz w:val="22"/>
          <w:szCs w:val="22"/>
          <w:lang w:val="es-ES_tradnl"/>
        </w:rPr>
      </w:pPr>
      <w:r w:rsidRPr="00DA3111">
        <w:rPr>
          <w:rFonts w:ascii="Arial" w:eastAsiaTheme="minorHAnsi" w:hAnsi="Arial" w:cs="Arial"/>
          <w:sz w:val="22"/>
          <w:szCs w:val="22"/>
          <w:lang w:val="es-CL" w:eastAsia="en-US"/>
        </w:rPr>
        <w:t>En representación del Ejecutivo asist</w:t>
      </w:r>
      <w:r>
        <w:rPr>
          <w:rFonts w:ascii="Arial" w:eastAsiaTheme="minorHAnsi" w:hAnsi="Arial" w:cs="Arial"/>
          <w:sz w:val="22"/>
          <w:szCs w:val="22"/>
          <w:lang w:val="es-CL" w:eastAsia="en-US"/>
        </w:rPr>
        <w:t>i</w:t>
      </w:r>
      <w:r w:rsidR="00E21859">
        <w:rPr>
          <w:rFonts w:ascii="Arial" w:eastAsiaTheme="minorHAnsi" w:hAnsi="Arial" w:cs="Arial"/>
          <w:sz w:val="22"/>
          <w:szCs w:val="22"/>
          <w:lang w:val="es-CL" w:eastAsia="en-US"/>
        </w:rPr>
        <w:t>ó</w:t>
      </w:r>
      <w:r>
        <w:rPr>
          <w:rFonts w:ascii="Arial" w:eastAsiaTheme="minorHAnsi" w:hAnsi="Arial" w:cs="Arial"/>
          <w:sz w:val="22"/>
          <w:szCs w:val="22"/>
          <w:lang w:val="es-CL" w:eastAsia="en-US"/>
        </w:rPr>
        <w:t xml:space="preserve"> </w:t>
      </w:r>
      <w:r w:rsidR="006803F9">
        <w:rPr>
          <w:rFonts w:ascii="Arial" w:eastAsiaTheme="minorHAnsi" w:hAnsi="Arial" w:cs="Arial"/>
          <w:sz w:val="22"/>
          <w:szCs w:val="22"/>
          <w:lang w:val="es-CL" w:eastAsia="en-US"/>
        </w:rPr>
        <w:t xml:space="preserve">a presentar el proyecto, </w:t>
      </w:r>
      <w:r w:rsidRPr="00DA3111">
        <w:rPr>
          <w:rFonts w:ascii="Arial" w:eastAsiaTheme="minorHAnsi" w:hAnsi="Arial" w:cs="Arial"/>
          <w:sz w:val="22"/>
          <w:szCs w:val="22"/>
          <w:lang w:val="es-CL" w:eastAsia="en-US"/>
        </w:rPr>
        <w:t>el Ministro de Educación, señor Raúl Figueroa Salas</w:t>
      </w:r>
      <w:r w:rsidR="00CB1C8E">
        <w:rPr>
          <w:rFonts w:ascii="Arial" w:eastAsiaTheme="minorHAnsi" w:hAnsi="Arial" w:cs="Arial"/>
          <w:sz w:val="22"/>
          <w:szCs w:val="22"/>
          <w:lang w:val="es-CL" w:eastAsia="en-US"/>
        </w:rPr>
        <w:t xml:space="preserve">, acompañado del </w:t>
      </w:r>
      <w:r w:rsidR="00CB1C8E" w:rsidRPr="00CB1C8E">
        <w:rPr>
          <w:rFonts w:ascii="Arial" w:hAnsi="Arial" w:cs="Arial"/>
          <w:sz w:val="22"/>
          <w:szCs w:val="22"/>
          <w:lang w:val="es-ES_tradnl"/>
        </w:rPr>
        <w:t xml:space="preserve">Subdirector de Racionalización y Función Pública </w:t>
      </w:r>
      <w:r w:rsidR="00CB1C8E">
        <w:rPr>
          <w:rFonts w:ascii="Arial" w:hAnsi="Arial" w:cs="Arial"/>
          <w:sz w:val="22"/>
          <w:szCs w:val="22"/>
          <w:lang w:val="es-ES_tradnl"/>
        </w:rPr>
        <w:t>de la Dirección de Presupuestos</w:t>
      </w:r>
      <w:r w:rsidR="00CB1C8E" w:rsidRPr="00CB1C8E">
        <w:rPr>
          <w:rFonts w:ascii="Arial" w:hAnsi="Arial" w:cs="Arial"/>
          <w:sz w:val="22"/>
          <w:szCs w:val="22"/>
          <w:lang w:val="es-ES_tradnl"/>
        </w:rPr>
        <w:t>, señor Hermann von Gersdorff Trömel.</w:t>
      </w:r>
    </w:p>
    <w:p w:rsidR="00E21859" w:rsidRPr="00DA3111" w:rsidRDefault="00E21859" w:rsidP="00CB1C8E">
      <w:pPr>
        <w:spacing w:line="276" w:lineRule="auto"/>
        <w:ind w:right="-234" w:firstLine="1701"/>
        <w:jc w:val="both"/>
        <w:rPr>
          <w:rFonts w:ascii="Arial" w:eastAsiaTheme="minorHAnsi" w:hAnsi="Arial" w:cs="Arial"/>
          <w:sz w:val="22"/>
          <w:szCs w:val="22"/>
          <w:lang w:val="es-CL" w:eastAsia="en-US"/>
        </w:rPr>
      </w:pPr>
    </w:p>
    <w:p w:rsidR="00F746CE" w:rsidRPr="00E96C46" w:rsidRDefault="00A51684" w:rsidP="00CB1C8E">
      <w:pPr>
        <w:spacing w:line="276" w:lineRule="auto"/>
        <w:ind w:right="-234"/>
        <w:jc w:val="both"/>
        <w:rPr>
          <w:rFonts w:ascii="Arial" w:hAnsi="Arial" w:cs="Arial"/>
          <w:b/>
          <w:bCs/>
          <w:sz w:val="22"/>
          <w:szCs w:val="22"/>
        </w:rPr>
      </w:pPr>
      <w:r>
        <w:rPr>
          <w:rFonts w:ascii="Arial" w:hAnsi="Arial" w:cs="Arial"/>
          <w:b/>
          <w:sz w:val="22"/>
          <w:szCs w:val="22"/>
        </w:rPr>
        <w:t>I.-</w:t>
      </w:r>
      <w:r w:rsidR="00F746CE" w:rsidRPr="00E96C46">
        <w:rPr>
          <w:rFonts w:ascii="Arial" w:hAnsi="Arial" w:cs="Arial"/>
          <w:b/>
          <w:sz w:val="22"/>
          <w:szCs w:val="22"/>
        </w:rPr>
        <w:t>CONSTANCIAS REGLAMENTARIAS PREVIAS</w:t>
      </w:r>
      <w:bookmarkEnd w:id="0"/>
      <w:bookmarkEnd w:id="1"/>
      <w:bookmarkEnd w:id="2"/>
    </w:p>
    <w:p w:rsidR="00C32A16" w:rsidRPr="000D493D" w:rsidRDefault="00F746CE" w:rsidP="00CB1C8E">
      <w:pPr>
        <w:pStyle w:val="Ttulo2"/>
        <w:tabs>
          <w:tab w:val="left" w:pos="709"/>
        </w:tabs>
        <w:spacing w:before="240" w:line="276" w:lineRule="auto"/>
        <w:ind w:right="-234" w:firstLine="1701"/>
        <w:rPr>
          <w:rFonts w:cs="Arial"/>
          <w:sz w:val="22"/>
          <w:szCs w:val="22"/>
        </w:rPr>
      </w:pPr>
      <w:bookmarkStart w:id="3" w:name="_Toc408309925"/>
      <w:bookmarkStart w:id="4" w:name="_Toc409556908"/>
      <w:bookmarkStart w:id="5" w:name="_Toc499712180"/>
      <w:r w:rsidRPr="000D493D">
        <w:rPr>
          <w:rFonts w:cs="Arial"/>
          <w:i w:val="0"/>
          <w:sz w:val="22"/>
          <w:szCs w:val="22"/>
        </w:rPr>
        <w:t xml:space="preserve">1) </w:t>
      </w:r>
      <w:r w:rsidR="000D493D" w:rsidRPr="000D493D">
        <w:rPr>
          <w:rFonts w:cs="Arial"/>
          <w:i w:val="0"/>
          <w:sz w:val="22"/>
          <w:szCs w:val="22"/>
          <w:u w:val="single"/>
        </w:rPr>
        <w:t>I</w:t>
      </w:r>
      <w:r w:rsidR="00464D9C" w:rsidRPr="000D493D">
        <w:rPr>
          <w:rFonts w:cs="Arial"/>
          <w:i w:val="0"/>
          <w:sz w:val="22"/>
          <w:szCs w:val="22"/>
          <w:u w:val="single"/>
        </w:rPr>
        <w:t>dea matri</w:t>
      </w:r>
      <w:r w:rsidR="00E95BEA" w:rsidRPr="000D493D">
        <w:rPr>
          <w:rFonts w:cs="Arial"/>
          <w:i w:val="0"/>
          <w:sz w:val="22"/>
          <w:szCs w:val="22"/>
          <w:u w:val="single"/>
        </w:rPr>
        <w:t>z</w:t>
      </w:r>
      <w:r w:rsidR="00464D9C" w:rsidRPr="000D493D">
        <w:rPr>
          <w:rFonts w:cs="Arial"/>
          <w:i w:val="0"/>
          <w:sz w:val="22"/>
          <w:szCs w:val="22"/>
          <w:u w:val="single"/>
        </w:rPr>
        <w:t xml:space="preserve"> o fundamental del proyecto</w:t>
      </w:r>
      <w:r w:rsidR="009175B1" w:rsidRPr="000D493D">
        <w:rPr>
          <w:rFonts w:cs="Arial"/>
          <w:i w:val="0"/>
          <w:sz w:val="22"/>
          <w:szCs w:val="22"/>
        </w:rPr>
        <w:t>:</w:t>
      </w:r>
      <w:bookmarkEnd w:id="3"/>
      <w:bookmarkEnd w:id="4"/>
      <w:bookmarkEnd w:id="5"/>
    </w:p>
    <w:p w:rsidR="003322B1" w:rsidRPr="00122B84" w:rsidRDefault="003322B1" w:rsidP="00CB1C8E">
      <w:pPr>
        <w:spacing w:line="276" w:lineRule="auto"/>
        <w:ind w:right="-234" w:firstLine="1701"/>
        <w:jc w:val="both"/>
        <w:rPr>
          <w:rFonts w:ascii="Arial" w:hAnsi="Arial" w:cs="Arial"/>
          <w:sz w:val="22"/>
          <w:szCs w:val="22"/>
        </w:rPr>
      </w:pPr>
      <w:bookmarkStart w:id="6" w:name="_Toc408309926"/>
      <w:bookmarkStart w:id="7" w:name="_Toc409556909"/>
      <w:bookmarkStart w:id="8" w:name="_Toc499712181"/>
      <w:r w:rsidRPr="00122B84">
        <w:rPr>
          <w:rFonts w:ascii="Arial" w:hAnsi="Arial" w:cs="Arial"/>
          <w:sz w:val="22"/>
          <w:szCs w:val="22"/>
        </w:rPr>
        <w:t>Compensar</w:t>
      </w:r>
      <w:r w:rsidRPr="00122B84">
        <w:rPr>
          <w:rFonts w:ascii="Arial" w:hAnsi="Arial" w:cs="Arial"/>
          <w:sz w:val="22"/>
          <w:szCs w:val="22"/>
        </w:rPr>
        <w:t>,</w:t>
      </w:r>
      <w:r w:rsidR="00044D05">
        <w:rPr>
          <w:rFonts w:ascii="Arial" w:hAnsi="Arial" w:cs="Arial"/>
          <w:sz w:val="22"/>
          <w:szCs w:val="22"/>
        </w:rPr>
        <w:t xml:space="preserve"> </w:t>
      </w:r>
      <w:r w:rsidR="00044D05" w:rsidRPr="00122B84">
        <w:rPr>
          <w:rFonts w:ascii="Arial" w:hAnsi="Arial" w:cs="Arial"/>
          <w:sz w:val="22"/>
          <w:szCs w:val="22"/>
        </w:rPr>
        <w:t>a los directores, educadores de párvulos y a los asistentes de la educación que se desempeñan en los establecimientos de educación parvularia financiados por la Junta Nacional de Jardines Infantiles vía transferencia de fondos</w:t>
      </w:r>
      <w:r w:rsidR="00044D05">
        <w:rPr>
          <w:rFonts w:ascii="Arial" w:hAnsi="Arial" w:cs="Arial"/>
          <w:sz w:val="22"/>
          <w:szCs w:val="22"/>
        </w:rPr>
        <w:t xml:space="preserve">, con el </w:t>
      </w:r>
      <w:r w:rsidRPr="00122B84">
        <w:rPr>
          <w:rFonts w:ascii="Arial" w:hAnsi="Arial" w:cs="Arial"/>
          <w:sz w:val="22"/>
          <w:szCs w:val="22"/>
        </w:rPr>
        <w:t>reajuste de sus remuneraciones y entrega de bono</w:t>
      </w:r>
      <w:r w:rsidR="00122B84">
        <w:rPr>
          <w:rFonts w:ascii="Arial" w:hAnsi="Arial" w:cs="Arial"/>
          <w:sz w:val="22"/>
          <w:szCs w:val="22"/>
        </w:rPr>
        <w:t>s</w:t>
      </w:r>
      <w:r w:rsidR="00044D05">
        <w:rPr>
          <w:rFonts w:ascii="Arial" w:hAnsi="Arial" w:cs="Arial"/>
          <w:sz w:val="22"/>
          <w:szCs w:val="22"/>
        </w:rPr>
        <w:t xml:space="preserve">, en consideración a </w:t>
      </w:r>
      <w:r w:rsidRPr="00122B84">
        <w:rPr>
          <w:rFonts w:ascii="Arial" w:hAnsi="Arial" w:cs="Arial"/>
          <w:sz w:val="22"/>
          <w:szCs w:val="22"/>
        </w:rPr>
        <w:t xml:space="preserve"> que, siendo traspasados a los servicios locales de educación pública, no fueron sujetos de los beneficios de la ley Nº 21.306 referida al reajuste del sector público para el año 2021.</w:t>
      </w:r>
    </w:p>
    <w:p w:rsidR="00122B84" w:rsidRDefault="00122B84" w:rsidP="00CB1C8E">
      <w:pPr>
        <w:spacing w:line="276" w:lineRule="auto"/>
        <w:ind w:right="-234" w:firstLine="1701"/>
        <w:jc w:val="both"/>
        <w:rPr>
          <w:rFonts w:ascii="Arial" w:hAnsi="Arial" w:cs="Arial"/>
          <w:sz w:val="22"/>
          <w:szCs w:val="22"/>
        </w:rPr>
      </w:pPr>
    </w:p>
    <w:p w:rsidR="009F5F0C" w:rsidRPr="000D493D" w:rsidRDefault="009F5F0C" w:rsidP="00CB1C8E">
      <w:pPr>
        <w:spacing w:line="276" w:lineRule="auto"/>
        <w:ind w:right="-234" w:firstLine="1701"/>
        <w:jc w:val="both"/>
        <w:rPr>
          <w:rFonts w:ascii="Arial" w:hAnsi="Arial" w:cs="Arial"/>
          <w:sz w:val="22"/>
          <w:szCs w:val="22"/>
        </w:rPr>
      </w:pPr>
      <w:r w:rsidRPr="000D493D">
        <w:rPr>
          <w:rFonts w:ascii="Arial" w:hAnsi="Arial" w:cs="Arial"/>
          <w:sz w:val="22"/>
          <w:szCs w:val="22"/>
        </w:rPr>
        <w:t xml:space="preserve">2) </w:t>
      </w:r>
      <w:r w:rsidRPr="000D493D">
        <w:rPr>
          <w:rFonts w:ascii="Arial" w:hAnsi="Arial" w:cs="Arial"/>
          <w:sz w:val="22"/>
          <w:szCs w:val="22"/>
          <w:u w:val="single"/>
        </w:rPr>
        <w:t>Comisión técnica</w:t>
      </w:r>
      <w:r w:rsidR="009175B1" w:rsidRPr="000D493D">
        <w:rPr>
          <w:rFonts w:ascii="Arial" w:hAnsi="Arial" w:cs="Arial"/>
          <w:sz w:val="22"/>
          <w:szCs w:val="22"/>
          <w:u w:val="single"/>
        </w:rPr>
        <w:t>:</w:t>
      </w:r>
      <w:r w:rsidR="009175B1" w:rsidRPr="000D493D">
        <w:rPr>
          <w:rFonts w:ascii="Arial" w:hAnsi="Arial" w:cs="Arial"/>
          <w:sz w:val="22"/>
          <w:szCs w:val="22"/>
        </w:rPr>
        <w:t xml:space="preserve"> </w:t>
      </w:r>
      <w:r w:rsidRPr="000D493D">
        <w:rPr>
          <w:rFonts w:ascii="Arial" w:hAnsi="Arial" w:cs="Arial"/>
          <w:sz w:val="22"/>
          <w:szCs w:val="22"/>
        </w:rPr>
        <w:t>Comisión de Educación</w:t>
      </w:r>
      <w:r w:rsidR="005611BC">
        <w:rPr>
          <w:rFonts w:ascii="Arial" w:hAnsi="Arial" w:cs="Arial"/>
          <w:sz w:val="22"/>
          <w:szCs w:val="22"/>
        </w:rPr>
        <w:t>.</w:t>
      </w:r>
    </w:p>
    <w:p w:rsidR="008B28A9" w:rsidRDefault="008B28A9" w:rsidP="00CB1C8E">
      <w:pPr>
        <w:tabs>
          <w:tab w:val="left" w:pos="-284"/>
          <w:tab w:val="left" w:pos="0"/>
          <w:tab w:val="left" w:pos="851"/>
          <w:tab w:val="left" w:pos="4751"/>
        </w:tabs>
        <w:spacing w:line="276" w:lineRule="auto"/>
        <w:ind w:right="-234" w:firstLine="1701"/>
        <w:jc w:val="both"/>
        <w:rPr>
          <w:rFonts w:ascii="Arial" w:hAnsi="Arial" w:cs="Arial"/>
          <w:sz w:val="22"/>
          <w:szCs w:val="22"/>
        </w:rPr>
      </w:pPr>
      <w:bookmarkStart w:id="9" w:name="_Toc408309927"/>
      <w:bookmarkStart w:id="10" w:name="_Toc409556910"/>
      <w:bookmarkStart w:id="11" w:name="_Toc499712182"/>
      <w:bookmarkEnd w:id="6"/>
      <w:bookmarkEnd w:id="7"/>
      <w:bookmarkEnd w:id="8"/>
    </w:p>
    <w:p w:rsidR="008B28A9" w:rsidRPr="00A25CC8" w:rsidRDefault="008B28A9" w:rsidP="00CB1C8E">
      <w:pPr>
        <w:pStyle w:val="Sinespaciado"/>
        <w:ind w:right="-234" w:firstLine="1701"/>
        <w:jc w:val="both"/>
        <w:rPr>
          <w:rFonts w:ascii="Arial" w:hAnsi="Arial" w:cs="Arial"/>
          <w:bCs/>
          <w:lang w:val="es-ES_tradnl"/>
        </w:rPr>
      </w:pPr>
      <w:r w:rsidRPr="008B28A9">
        <w:rPr>
          <w:rFonts w:ascii="Arial" w:hAnsi="Arial" w:cs="Arial"/>
          <w:bCs/>
          <w:u w:val="single"/>
          <w:lang w:val="es-ES_tradnl"/>
        </w:rPr>
        <w:t>3) Normas de quórum especial:</w:t>
      </w:r>
      <w:r w:rsidR="00A25CC8">
        <w:rPr>
          <w:rFonts w:ascii="Arial" w:hAnsi="Arial" w:cs="Arial"/>
          <w:bCs/>
          <w:u w:val="single"/>
          <w:lang w:val="es-ES_tradnl"/>
        </w:rPr>
        <w:t xml:space="preserve"> </w:t>
      </w:r>
      <w:r w:rsidR="00A25CC8" w:rsidRPr="00A25CC8">
        <w:rPr>
          <w:rFonts w:ascii="Arial" w:hAnsi="Arial" w:cs="Arial"/>
          <w:bCs/>
          <w:lang w:val="es-ES_tradnl"/>
        </w:rPr>
        <w:t>En este trámite</w:t>
      </w:r>
      <w:r w:rsidR="00A25CC8">
        <w:rPr>
          <w:rFonts w:ascii="Arial" w:hAnsi="Arial" w:cs="Arial"/>
          <w:bCs/>
          <w:lang w:val="es-ES_tradnl"/>
        </w:rPr>
        <w:t>, no hubo nuevas normas que calificar</w:t>
      </w:r>
      <w:r w:rsidR="006803F9">
        <w:rPr>
          <w:rFonts w:ascii="Arial" w:hAnsi="Arial" w:cs="Arial"/>
          <w:bCs/>
          <w:lang w:val="es-ES_tradnl"/>
        </w:rPr>
        <w:t>.</w:t>
      </w:r>
    </w:p>
    <w:p w:rsidR="008B28A9" w:rsidRDefault="008B28A9" w:rsidP="00CB1C8E">
      <w:pPr>
        <w:pStyle w:val="Sinespaciado"/>
        <w:spacing w:line="276" w:lineRule="auto"/>
        <w:ind w:right="-234" w:firstLine="1701"/>
        <w:jc w:val="both"/>
        <w:rPr>
          <w:rFonts w:ascii="Arial" w:hAnsi="Arial" w:cs="Arial"/>
          <w:bCs/>
          <w:lang w:val="es-ES"/>
        </w:rPr>
      </w:pPr>
    </w:p>
    <w:p w:rsidR="000D493D" w:rsidRPr="000D493D" w:rsidRDefault="008B28A9" w:rsidP="00CB1C8E">
      <w:pPr>
        <w:tabs>
          <w:tab w:val="left" w:pos="-284"/>
          <w:tab w:val="left" w:pos="0"/>
          <w:tab w:val="left" w:pos="851"/>
          <w:tab w:val="left" w:pos="4751"/>
        </w:tabs>
        <w:spacing w:line="276" w:lineRule="auto"/>
        <w:ind w:right="-234" w:firstLine="1701"/>
        <w:jc w:val="both"/>
        <w:rPr>
          <w:rFonts w:ascii="Arial" w:hAnsi="Arial" w:cs="Arial"/>
          <w:sz w:val="22"/>
          <w:szCs w:val="22"/>
          <w:u w:val="single"/>
        </w:rPr>
      </w:pPr>
      <w:r>
        <w:rPr>
          <w:rFonts w:ascii="Arial" w:hAnsi="Arial" w:cs="Arial"/>
          <w:sz w:val="22"/>
          <w:szCs w:val="22"/>
        </w:rPr>
        <w:t>4</w:t>
      </w:r>
      <w:r w:rsidR="00F746CE" w:rsidRPr="000D493D">
        <w:rPr>
          <w:rFonts w:ascii="Arial" w:hAnsi="Arial" w:cs="Arial"/>
          <w:sz w:val="22"/>
          <w:szCs w:val="22"/>
        </w:rPr>
        <w:t xml:space="preserve">) </w:t>
      </w:r>
      <w:r w:rsidR="000D493D" w:rsidRPr="000D493D">
        <w:rPr>
          <w:rFonts w:ascii="Arial" w:hAnsi="Arial" w:cs="Arial"/>
          <w:sz w:val="22"/>
          <w:szCs w:val="22"/>
          <w:u w:val="single"/>
        </w:rPr>
        <w:t>Artículos que la Comisión Técnica dispuso que fueran conocidas por esta Comisión de Hacienda</w:t>
      </w:r>
      <w:r w:rsidR="000D493D">
        <w:rPr>
          <w:rFonts w:ascii="Arial" w:hAnsi="Arial" w:cs="Arial"/>
          <w:sz w:val="22"/>
          <w:szCs w:val="22"/>
          <w:u w:val="single"/>
        </w:rPr>
        <w:t>:</w:t>
      </w:r>
    </w:p>
    <w:bookmarkEnd w:id="9"/>
    <w:bookmarkEnd w:id="10"/>
    <w:bookmarkEnd w:id="11"/>
    <w:p w:rsidR="000D493D" w:rsidRDefault="000D493D" w:rsidP="00CB1C8E">
      <w:pPr>
        <w:spacing w:line="276" w:lineRule="auto"/>
        <w:ind w:right="-234" w:firstLine="1701"/>
        <w:jc w:val="both"/>
        <w:rPr>
          <w:rFonts w:ascii="Arial" w:hAnsi="Arial" w:cs="Arial"/>
          <w:sz w:val="22"/>
          <w:szCs w:val="22"/>
        </w:rPr>
      </w:pPr>
    </w:p>
    <w:p w:rsidR="00A25CC8" w:rsidRDefault="008B28A9" w:rsidP="00CB1C8E">
      <w:pPr>
        <w:pStyle w:val="Sinespaciado"/>
        <w:spacing w:line="276" w:lineRule="auto"/>
        <w:ind w:right="-234" w:firstLine="1701"/>
        <w:jc w:val="both"/>
        <w:rPr>
          <w:rFonts w:ascii="Arial" w:hAnsi="Arial" w:cs="Arial"/>
          <w:bCs/>
          <w:lang w:val="es-ES"/>
        </w:rPr>
      </w:pPr>
      <w:r w:rsidRPr="00C94F5B">
        <w:rPr>
          <w:rFonts w:ascii="Arial" w:hAnsi="Arial" w:cs="Arial"/>
          <w:bCs/>
          <w:lang w:val="es-ES"/>
        </w:rPr>
        <w:t>Según consigna el informe de la Comisión de Educación</w:t>
      </w:r>
      <w:bookmarkStart w:id="12" w:name="_Toc408309929"/>
      <w:bookmarkStart w:id="13" w:name="_Toc409556912"/>
      <w:bookmarkStart w:id="14" w:name="_Toc499712184"/>
      <w:r w:rsidR="00225851">
        <w:rPr>
          <w:rFonts w:ascii="Arial" w:hAnsi="Arial" w:cs="Arial"/>
          <w:bCs/>
          <w:lang w:val="es-ES"/>
        </w:rPr>
        <w:t xml:space="preserve"> </w:t>
      </w:r>
      <w:r w:rsidR="00122B84">
        <w:rPr>
          <w:rFonts w:ascii="Arial" w:hAnsi="Arial" w:cs="Arial"/>
          <w:bCs/>
          <w:lang w:val="es-ES"/>
        </w:rPr>
        <w:t xml:space="preserve">todos los artículos del proyecto </w:t>
      </w:r>
      <w:r w:rsidR="00A25CC8" w:rsidRPr="00A25CC8">
        <w:rPr>
          <w:rFonts w:ascii="Arial" w:hAnsi="Arial" w:cs="Arial"/>
          <w:bCs/>
          <w:lang w:val="es-ES"/>
        </w:rPr>
        <w:t>de ley aprobado, requieren ser conocidos por la Comisión de Hacienda, de conformidad con lo dispuesto por el artículo 226 del Reglamento de la Corporación.</w:t>
      </w:r>
    </w:p>
    <w:p w:rsidR="009B48D6" w:rsidRDefault="009B48D6" w:rsidP="00CB1C8E">
      <w:pPr>
        <w:pStyle w:val="Sinespaciado"/>
        <w:spacing w:line="276" w:lineRule="auto"/>
        <w:ind w:right="-234" w:firstLine="1701"/>
        <w:jc w:val="both"/>
        <w:rPr>
          <w:rFonts w:ascii="Arial" w:hAnsi="Arial" w:cs="Arial"/>
          <w:bCs/>
          <w:lang w:val="es-ES"/>
        </w:rPr>
      </w:pPr>
    </w:p>
    <w:p w:rsidR="009B48D6" w:rsidRDefault="009B48D6" w:rsidP="00CB1C8E">
      <w:pPr>
        <w:pStyle w:val="Sinespaciado"/>
        <w:spacing w:line="276" w:lineRule="auto"/>
        <w:ind w:right="-234" w:firstLine="1701"/>
        <w:jc w:val="both"/>
        <w:rPr>
          <w:rFonts w:ascii="Arial" w:hAnsi="Arial" w:cs="Arial"/>
          <w:bCs/>
          <w:lang w:val="es-ES"/>
        </w:rPr>
      </w:pPr>
      <w:r>
        <w:rPr>
          <w:rFonts w:ascii="Arial" w:hAnsi="Arial" w:cs="Arial"/>
          <w:bCs/>
          <w:lang w:val="es-ES"/>
        </w:rPr>
        <w:t>5) Todos los artículos fueron aprobados en los mismo</w:t>
      </w:r>
      <w:r w:rsidR="00122B84">
        <w:rPr>
          <w:rFonts w:ascii="Arial" w:hAnsi="Arial" w:cs="Arial"/>
          <w:bCs/>
          <w:lang w:val="es-ES"/>
        </w:rPr>
        <w:t>s</w:t>
      </w:r>
      <w:r>
        <w:rPr>
          <w:rFonts w:ascii="Arial" w:hAnsi="Arial" w:cs="Arial"/>
          <w:bCs/>
          <w:lang w:val="es-ES"/>
        </w:rPr>
        <w:t xml:space="preserve"> términos propuestos por la Comisión de Educación.</w:t>
      </w:r>
    </w:p>
    <w:p w:rsidR="009B48D6" w:rsidRDefault="009B48D6" w:rsidP="00CB1C8E">
      <w:pPr>
        <w:pStyle w:val="Sinespaciado"/>
        <w:spacing w:line="276" w:lineRule="auto"/>
        <w:ind w:right="-234" w:firstLine="1701"/>
        <w:jc w:val="both"/>
        <w:rPr>
          <w:rFonts w:ascii="Arial" w:hAnsi="Arial" w:cs="Arial"/>
          <w:bCs/>
          <w:lang w:val="es-ES"/>
        </w:rPr>
      </w:pPr>
    </w:p>
    <w:p w:rsidR="009B48D6" w:rsidRDefault="009B48D6" w:rsidP="00CB1C8E">
      <w:pPr>
        <w:pStyle w:val="Sinespaciado"/>
        <w:spacing w:line="276" w:lineRule="auto"/>
        <w:ind w:right="-234" w:firstLine="1701"/>
        <w:jc w:val="both"/>
        <w:rPr>
          <w:rFonts w:ascii="Arial" w:hAnsi="Arial" w:cs="Arial"/>
          <w:bCs/>
          <w:lang w:val="es-ES"/>
        </w:rPr>
      </w:pPr>
      <w:r>
        <w:rPr>
          <w:rFonts w:ascii="Arial" w:hAnsi="Arial" w:cs="Arial"/>
          <w:bCs/>
          <w:lang w:val="es-ES"/>
        </w:rPr>
        <w:t>6) No hubo indicaciones declaradas inadmisibles.</w:t>
      </w:r>
    </w:p>
    <w:p w:rsidR="00A25CC8" w:rsidRDefault="00A25CC8" w:rsidP="00CB1C8E">
      <w:pPr>
        <w:pStyle w:val="Sinespaciado"/>
        <w:spacing w:line="276" w:lineRule="auto"/>
        <w:ind w:right="-234" w:firstLine="1701"/>
        <w:jc w:val="both"/>
        <w:rPr>
          <w:rFonts w:ascii="Arial" w:hAnsi="Arial" w:cs="Arial"/>
          <w:bCs/>
          <w:lang w:val="es-ES"/>
        </w:rPr>
      </w:pPr>
    </w:p>
    <w:p w:rsidR="009D7161" w:rsidRPr="00A25CC8" w:rsidRDefault="009B48D6" w:rsidP="00CB1C8E">
      <w:pPr>
        <w:pStyle w:val="Sinespaciado"/>
        <w:spacing w:line="276" w:lineRule="auto"/>
        <w:ind w:right="-234" w:firstLine="1701"/>
        <w:jc w:val="both"/>
        <w:rPr>
          <w:rFonts w:ascii="Arial" w:hAnsi="Arial" w:cs="Arial"/>
          <w:b/>
          <w:i/>
        </w:rPr>
      </w:pPr>
      <w:r>
        <w:rPr>
          <w:rFonts w:ascii="Arial" w:hAnsi="Arial" w:cs="Arial"/>
        </w:rPr>
        <w:t>7</w:t>
      </w:r>
      <w:r w:rsidR="00293899" w:rsidRPr="00A25CC8">
        <w:rPr>
          <w:rFonts w:ascii="Arial" w:hAnsi="Arial" w:cs="Arial"/>
        </w:rPr>
        <w:t xml:space="preserve">) </w:t>
      </w:r>
      <w:r w:rsidR="00293899" w:rsidRPr="00A25CC8">
        <w:rPr>
          <w:rFonts w:ascii="Arial" w:hAnsi="Arial" w:cs="Arial"/>
          <w:u w:val="single"/>
        </w:rPr>
        <w:t>Diputado informante</w:t>
      </w:r>
      <w:r w:rsidR="000D493D" w:rsidRPr="00A25CC8">
        <w:rPr>
          <w:rFonts w:ascii="Arial" w:hAnsi="Arial" w:cs="Arial"/>
        </w:rPr>
        <w:t>:</w:t>
      </w:r>
      <w:bookmarkEnd w:id="12"/>
      <w:bookmarkEnd w:id="13"/>
      <w:bookmarkEnd w:id="14"/>
      <w:r w:rsidR="00D1299C" w:rsidRPr="00A25CC8">
        <w:rPr>
          <w:rFonts w:ascii="Arial" w:hAnsi="Arial" w:cs="Arial"/>
        </w:rPr>
        <w:t xml:space="preserve"> </w:t>
      </w:r>
      <w:r w:rsidR="00364A4A" w:rsidRPr="00A25CC8">
        <w:rPr>
          <w:rFonts w:ascii="Arial" w:hAnsi="Arial" w:cs="Arial"/>
        </w:rPr>
        <w:t>Se designó al señor</w:t>
      </w:r>
      <w:r w:rsidR="00DB4480" w:rsidRPr="00A25CC8">
        <w:rPr>
          <w:rFonts w:ascii="Arial" w:hAnsi="Arial" w:cs="Arial"/>
        </w:rPr>
        <w:t xml:space="preserve"> </w:t>
      </w:r>
      <w:bookmarkStart w:id="15" w:name="_Toc408309938"/>
      <w:bookmarkStart w:id="16" w:name="_Toc409556940"/>
      <w:bookmarkStart w:id="17" w:name="_Toc499712193"/>
      <w:r w:rsidR="00935D51">
        <w:rPr>
          <w:rFonts w:ascii="Arial" w:hAnsi="Arial" w:cs="Arial"/>
        </w:rPr>
        <w:t>Guillermo Ramírez Diez</w:t>
      </w:r>
    </w:p>
    <w:p w:rsidR="005E538A" w:rsidRPr="00A25CC8" w:rsidRDefault="005E538A" w:rsidP="00CB1C8E">
      <w:pPr>
        <w:spacing w:line="276" w:lineRule="auto"/>
        <w:ind w:right="-234" w:firstLine="1701"/>
        <w:jc w:val="both"/>
        <w:rPr>
          <w:rFonts w:ascii="Arial" w:hAnsi="Arial" w:cs="Arial"/>
          <w:b/>
          <w:sz w:val="22"/>
          <w:szCs w:val="22"/>
        </w:rPr>
      </w:pPr>
    </w:p>
    <w:p w:rsidR="006803F9" w:rsidRPr="006803F9" w:rsidRDefault="006803F9" w:rsidP="00CB1C8E">
      <w:pPr>
        <w:spacing w:line="276" w:lineRule="auto"/>
        <w:ind w:right="-234" w:firstLine="1701"/>
        <w:jc w:val="both"/>
        <w:rPr>
          <w:rFonts w:ascii="Arial" w:eastAsia="Calibri" w:hAnsi="Arial" w:cs="Arial"/>
          <w:b/>
          <w:sz w:val="22"/>
          <w:szCs w:val="22"/>
          <w:lang w:eastAsia="en-US"/>
        </w:rPr>
      </w:pPr>
    </w:p>
    <w:p w:rsidR="006803F9" w:rsidRPr="006803F9" w:rsidRDefault="00122B84" w:rsidP="00CB1C8E">
      <w:pPr>
        <w:spacing w:line="276" w:lineRule="auto"/>
        <w:ind w:right="-234"/>
        <w:jc w:val="both"/>
        <w:rPr>
          <w:rFonts w:ascii="Arial" w:eastAsia="Calibri" w:hAnsi="Arial" w:cs="Arial"/>
          <w:b/>
          <w:bCs/>
          <w:sz w:val="22"/>
          <w:szCs w:val="22"/>
          <w:lang w:val="es-ES_tradnl" w:eastAsia="en-US"/>
        </w:rPr>
      </w:pPr>
      <w:r>
        <w:rPr>
          <w:rFonts w:ascii="Arial" w:eastAsia="Calibri" w:hAnsi="Arial" w:cs="Arial"/>
          <w:b/>
          <w:sz w:val="22"/>
          <w:szCs w:val="22"/>
          <w:lang w:eastAsia="en-US"/>
        </w:rPr>
        <w:t>II.-</w:t>
      </w:r>
      <w:r w:rsidR="006803F9" w:rsidRPr="006803F9">
        <w:rPr>
          <w:rFonts w:ascii="Arial" w:eastAsia="Calibri" w:hAnsi="Arial" w:cs="Arial"/>
          <w:b/>
          <w:sz w:val="22"/>
          <w:szCs w:val="22"/>
          <w:lang w:eastAsia="en-US"/>
        </w:rPr>
        <w:t>.-</w:t>
      </w:r>
      <w:r w:rsidR="006803F9">
        <w:rPr>
          <w:rFonts w:ascii="Arial" w:eastAsia="Calibri" w:hAnsi="Arial" w:cs="Arial"/>
          <w:b/>
          <w:sz w:val="22"/>
          <w:szCs w:val="22"/>
          <w:lang w:eastAsia="en-US"/>
        </w:rPr>
        <w:t>CONTENIDO DEL TEXTO</w:t>
      </w:r>
      <w:r w:rsidR="006803F9" w:rsidRPr="006803F9">
        <w:rPr>
          <w:rFonts w:ascii="Arial" w:eastAsia="Calibri" w:hAnsi="Arial" w:cs="Arial"/>
          <w:b/>
          <w:bCs/>
          <w:sz w:val="22"/>
          <w:szCs w:val="22"/>
          <w:lang w:val="es-ES_tradnl" w:eastAsia="en-US"/>
        </w:rPr>
        <w:t xml:space="preserve"> APROBADO POR LA COMISIÓN DE EDUCACIÓN:</w:t>
      </w:r>
      <w:r w:rsidR="006803F9" w:rsidRPr="006803F9">
        <w:rPr>
          <w:rFonts w:ascii="Arial" w:eastAsia="Calibri" w:hAnsi="Arial" w:cs="Arial"/>
          <w:b/>
          <w:bCs/>
          <w:sz w:val="22"/>
          <w:szCs w:val="22"/>
          <w:lang w:val="es-ES_tradnl" w:eastAsia="en-US"/>
        </w:rPr>
        <w:tab/>
      </w:r>
    </w:p>
    <w:p w:rsidR="00122B84" w:rsidRPr="00122B84" w:rsidRDefault="00122B84" w:rsidP="00CB1C8E">
      <w:pPr>
        <w:tabs>
          <w:tab w:val="left" w:pos="8789"/>
        </w:tabs>
        <w:spacing w:line="276" w:lineRule="auto"/>
        <w:ind w:right="-234" w:firstLine="1701"/>
        <w:jc w:val="both"/>
        <w:rPr>
          <w:rFonts w:ascii="Arial" w:eastAsia="Calibri" w:hAnsi="Arial" w:cs="Arial"/>
          <w:bCs/>
          <w:sz w:val="22"/>
          <w:szCs w:val="22"/>
          <w:lang w:val="es-ES_tradnl" w:eastAsia="en-US"/>
        </w:rPr>
      </w:pPr>
      <w:r w:rsidRPr="00122B84">
        <w:rPr>
          <w:rFonts w:ascii="Arial" w:eastAsia="Calibri" w:hAnsi="Arial" w:cs="Arial"/>
          <w:bCs/>
          <w:sz w:val="22"/>
          <w:szCs w:val="22"/>
          <w:lang w:val="es-ES_tradnl" w:eastAsia="en-US"/>
        </w:rPr>
        <w:t>El proyecto consta de 4 artículos permanentes y 1 artículo transitorio</w:t>
      </w:r>
      <w:r w:rsidR="00CB1C8E">
        <w:rPr>
          <w:rFonts w:ascii="Arial" w:eastAsia="Calibri" w:hAnsi="Arial" w:cs="Arial"/>
          <w:bCs/>
          <w:sz w:val="22"/>
          <w:szCs w:val="22"/>
          <w:lang w:val="es-ES_tradnl" w:eastAsia="en-US"/>
        </w:rPr>
        <w:t>, con las siguientes materias:</w:t>
      </w:r>
    </w:p>
    <w:p w:rsidR="00122B84" w:rsidRPr="00122B84" w:rsidRDefault="00122B84" w:rsidP="00CB1C8E">
      <w:pPr>
        <w:tabs>
          <w:tab w:val="left" w:pos="8789"/>
        </w:tabs>
        <w:spacing w:line="276" w:lineRule="auto"/>
        <w:ind w:right="-234" w:firstLine="1701"/>
        <w:jc w:val="both"/>
        <w:rPr>
          <w:rFonts w:ascii="Arial" w:hAnsi="Arial" w:cs="Arial"/>
          <w:b/>
          <w:sz w:val="22"/>
          <w:szCs w:val="22"/>
          <w:lang w:eastAsia="es-CL"/>
        </w:rPr>
      </w:pPr>
    </w:p>
    <w:p w:rsidR="00122B84" w:rsidRPr="00122B84" w:rsidRDefault="00122B84" w:rsidP="00CB1C8E">
      <w:pPr>
        <w:tabs>
          <w:tab w:val="left" w:pos="8789"/>
        </w:tabs>
        <w:spacing w:line="276" w:lineRule="auto"/>
        <w:ind w:right="-234" w:firstLine="1701"/>
        <w:jc w:val="both"/>
        <w:rPr>
          <w:rFonts w:ascii="Arial" w:hAnsi="Arial" w:cs="Arial"/>
          <w:b/>
          <w:sz w:val="22"/>
          <w:szCs w:val="22"/>
          <w:lang w:eastAsia="es-CL"/>
        </w:rPr>
      </w:pPr>
      <w:r w:rsidRPr="00122B84">
        <w:rPr>
          <w:rFonts w:ascii="Arial" w:hAnsi="Arial" w:cs="Arial"/>
          <w:b/>
          <w:sz w:val="22"/>
          <w:szCs w:val="22"/>
          <w:lang w:eastAsia="es-CL"/>
        </w:rPr>
        <w:t>Artículo 1</w:t>
      </w:r>
    </w:p>
    <w:p w:rsidR="00122B84" w:rsidRPr="00122B84" w:rsidRDefault="00122B84" w:rsidP="00CB1C8E">
      <w:pPr>
        <w:tabs>
          <w:tab w:val="left" w:pos="8789"/>
        </w:tabs>
        <w:spacing w:line="276" w:lineRule="auto"/>
        <w:ind w:right="-234" w:firstLine="1701"/>
        <w:jc w:val="both"/>
        <w:rPr>
          <w:rFonts w:ascii="Arial" w:hAnsi="Arial" w:cs="Arial"/>
          <w:b/>
          <w:sz w:val="22"/>
          <w:szCs w:val="22"/>
          <w:lang w:eastAsia="es-CL"/>
        </w:rPr>
      </w:pPr>
      <w:r w:rsidRPr="00122B84">
        <w:rPr>
          <w:rFonts w:ascii="Arial" w:hAnsi="Arial" w:cs="Arial"/>
          <w:b/>
          <w:sz w:val="22"/>
          <w:szCs w:val="22"/>
          <w:lang w:eastAsia="es-CL"/>
        </w:rPr>
        <w:t>Reajuste</w:t>
      </w:r>
    </w:p>
    <w:p w:rsidR="00122B84" w:rsidRPr="00122B84" w:rsidRDefault="00122B84" w:rsidP="00CB1C8E">
      <w:pPr>
        <w:spacing w:line="276" w:lineRule="auto"/>
        <w:ind w:right="-234" w:firstLine="1701"/>
        <w:jc w:val="both"/>
        <w:rPr>
          <w:rFonts w:ascii="Arial" w:eastAsia="Calibri" w:hAnsi="Arial" w:cs="Arial"/>
          <w:b/>
          <w:sz w:val="22"/>
          <w:szCs w:val="22"/>
          <w:lang w:eastAsia="en-US"/>
        </w:rPr>
      </w:pPr>
    </w:p>
    <w:p w:rsidR="00122B84" w:rsidRPr="00122B84" w:rsidRDefault="00122B84" w:rsidP="00CB1C8E">
      <w:pPr>
        <w:spacing w:line="276" w:lineRule="auto"/>
        <w:ind w:right="-234" w:firstLine="1701"/>
        <w:jc w:val="both"/>
        <w:rPr>
          <w:rFonts w:ascii="Arial" w:eastAsia="Calibri" w:hAnsi="Arial" w:cs="Arial"/>
          <w:b/>
          <w:sz w:val="22"/>
          <w:szCs w:val="22"/>
          <w:lang w:eastAsia="en-US"/>
        </w:rPr>
      </w:pPr>
      <w:r w:rsidRPr="00122B84">
        <w:rPr>
          <w:rFonts w:ascii="Arial" w:eastAsia="Calibri" w:hAnsi="Arial" w:cs="Arial"/>
          <w:b/>
          <w:sz w:val="22"/>
          <w:szCs w:val="22"/>
          <w:lang w:eastAsia="en-US"/>
        </w:rPr>
        <w:t>Beneficiarios:</w:t>
      </w:r>
    </w:p>
    <w:p w:rsidR="00122B84" w:rsidRPr="00122B84" w:rsidRDefault="00122B84" w:rsidP="00CB1C8E">
      <w:pPr>
        <w:spacing w:line="276" w:lineRule="auto"/>
        <w:ind w:right="-234" w:firstLine="1701"/>
        <w:jc w:val="both"/>
        <w:rPr>
          <w:rFonts w:ascii="Arial" w:eastAsia="Calibri" w:hAnsi="Arial" w:cs="Arial"/>
          <w:sz w:val="22"/>
          <w:szCs w:val="22"/>
          <w:lang w:val="es-CL" w:eastAsia="en-US"/>
        </w:rPr>
      </w:pPr>
      <w:r w:rsidRPr="00122B84">
        <w:rPr>
          <w:rFonts w:ascii="Arial" w:eastAsia="Calibri" w:hAnsi="Arial" w:cs="Arial"/>
          <w:sz w:val="22"/>
          <w:szCs w:val="22"/>
          <w:lang w:val="es-CL" w:eastAsia="en-US"/>
        </w:rPr>
        <w:t>Directores, educadores de párvulos y los asistentes de la educación, que se desempeñan en los establecimientos de educación parvularia financiados por la Junta Nacional de Jardines Infantiles vía transferencia de fondos traspasados a los servicios locales de educación pública.</w:t>
      </w:r>
    </w:p>
    <w:p w:rsidR="00122B84" w:rsidRPr="00122B84" w:rsidRDefault="00122B84" w:rsidP="00CB1C8E">
      <w:pPr>
        <w:spacing w:line="276" w:lineRule="auto"/>
        <w:ind w:right="-234" w:firstLine="1701"/>
        <w:jc w:val="both"/>
        <w:rPr>
          <w:rFonts w:ascii="Arial" w:eastAsia="Calibri" w:hAnsi="Arial" w:cs="Arial"/>
          <w:b/>
          <w:sz w:val="22"/>
          <w:szCs w:val="22"/>
          <w:lang w:val="es-CL" w:eastAsia="en-US"/>
        </w:rPr>
      </w:pPr>
      <w:r w:rsidRPr="00122B84">
        <w:rPr>
          <w:rFonts w:ascii="Arial" w:eastAsia="Calibri" w:hAnsi="Arial" w:cs="Arial"/>
          <w:b/>
          <w:sz w:val="22"/>
          <w:szCs w:val="22"/>
          <w:lang w:val="es-CL" w:eastAsia="en-US"/>
        </w:rPr>
        <w:t>Monto:</w:t>
      </w:r>
    </w:p>
    <w:p w:rsidR="00122B84" w:rsidRPr="00122B84" w:rsidRDefault="00122B84" w:rsidP="00CB1C8E">
      <w:pPr>
        <w:spacing w:line="276" w:lineRule="auto"/>
        <w:ind w:right="-234" w:firstLine="1701"/>
        <w:jc w:val="both"/>
        <w:rPr>
          <w:rFonts w:ascii="Arial" w:hAnsi="Arial" w:cs="Arial"/>
          <w:b/>
          <w:sz w:val="22"/>
          <w:szCs w:val="22"/>
          <w:lang w:eastAsia="es-CL"/>
        </w:rPr>
      </w:pPr>
      <w:r w:rsidRPr="00122B84">
        <w:rPr>
          <w:rFonts w:ascii="Arial" w:hAnsi="Arial" w:cs="Arial"/>
          <w:sz w:val="22"/>
          <w:szCs w:val="22"/>
          <w:lang w:eastAsia="es-CL"/>
        </w:rPr>
        <w:t xml:space="preserve">-Remuneración bruta del mes de noviembre sea de un monto superior a $2.000.000: </w:t>
      </w:r>
      <w:r w:rsidRPr="00122B84">
        <w:rPr>
          <w:rFonts w:ascii="Arial" w:hAnsi="Arial" w:cs="Arial"/>
          <w:b/>
          <w:sz w:val="22"/>
          <w:szCs w:val="22"/>
          <w:lang w:eastAsia="es-CL"/>
        </w:rPr>
        <w:t xml:space="preserve">0,8% </w:t>
      </w:r>
    </w:p>
    <w:p w:rsidR="00122B84" w:rsidRPr="00122B84" w:rsidRDefault="00122B84" w:rsidP="00CB1C8E">
      <w:pPr>
        <w:tabs>
          <w:tab w:val="left" w:pos="8789"/>
        </w:tabs>
        <w:spacing w:line="276" w:lineRule="auto"/>
        <w:ind w:right="-234" w:firstLine="1701"/>
        <w:jc w:val="both"/>
        <w:rPr>
          <w:rFonts w:ascii="Arial" w:hAnsi="Arial" w:cs="Arial"/>
          <w:sz w:val="22"/>
          <w:szCs w:val="22"/>
          <w:lang w:eastAsia="es-CL"/>
        </w:rPr>
      </w:pPr>
    </w:p>
    <w:p w:rsidR="00122B84" w:rsidRPr="00122B84" w:rsidRDefault="00122B84" w:rsidP="00CB1C8E">
      <w:pPr>
        <w:tabs>
          <w:tab w:val="left" w:pos="8789"/>
        </w:tabs>
        <w:spacing w:line="276" w:lineRule="auto"/>
        <w:ind w:right="-234" w:firstLine="1701"/>
        <w:jc w:val="both"/>
        <w:rPr>
          <w:rFonts w:ascii="Arial" w:hAnsi="Arial" w:cs="Arial"/>
          <w:sz w:val="22"/>
          <w:szCs w:val="22"/>
          <w:lang w:eastAsia="es-CL"/>
        </w:rPr>
      </w:pPr>
      <w:r w:rsidRPr="00122B84">
        <w:rPr>
          <w:rFonts w:ascii="Arial" w:hAnsi="Arial" w:cs="Arial"/>
          <w:sz w:val="22"/>
          <w:szCs w:val="22"/>
          <w:lang w:eastAsia="es-CL"/>
        </w:rPr>
        <w:t xml:space="preserve">-Remuneración bruta del mes de noviembre de 2020 sea de un monto igual o inferior a $2.000.000: </w:t>
      </w:r>
      <w:r w:rsidRPr="00122B84">
        <w:rPr>
          <w:rFonts w:ascii="Arial" w:hAnsi="Arial" w:cs="Arial"/>
          <w:b/>
          <w:sz w:val="22"/>
          <w:szCs w:val="22"/>
          <w:lang w:eastAsia="es-CL"/>
        </w:rPr>
        <w:t>2,7%</w:t>
      </w:r>
      <w:r w:rsidRPr="00122B84">
        <w:rPr>
          <w:rFonts w:ascii="Arial" w:hAnsi="Arial" w:cs="Arial"/>
          <w:sz w:val="22"/>
          <w:szCs w:val="22"/>
          <w:lang w:eastAsia="es-CL"/>
        </w:rPr>
        <w:t xml:space="preserve"> </w:t>
      </w:r>
    </w:p>
    <w:p w:rsidR="00122B84" w:rsidRPr="00122B84" w:rsidRDefault="00122B84" w:rsidP="00CB1C8E">
      <w:pPr>
        <w:tabs>
          <w:tab w:val="left" w:pos="8789"/>
        </w:tabs>
        <w:spacing w:line="276" w:lineRule="auto"/>
        <w:ind w:right="-234" w:firstLine="1701"/>
        <w:jc w:val="both"/>
        <w:rPr>
          <w:rFonts w:ascii="Arial" w:hAnsi="Arial" w:cs="Arial"/>
          <w:sz w:val="22"/>
          <w:szCs w:val="22"/>
          <w:lang w:eastAsia="es-CL"/>
        </w:rPr>
      </w:pPr>
    </w:p>
    <w:p w:rsidR="00122B84" w:rsidRPr="00122B84" w:rsidRDefault="00122B84" w:rsidP="00CB1C8E">
      <w:pPr>
        <w:tabs>
          <w:tab w:val="left" w:pos="8789"/>
        </w:tabs>
        <w:spacing w:line="276" w:lineRule="auto"/>
        <w:ind w:right="-234" w:firstLine="1701"/>
        <w:jc w:val="both"/>
        <w:rPr>
          <w:rFonts w:ascii="Arial" w:hAnsi="Arial" w:cs="Arial"/>
          <w:sz w:val="22"/>
          <w:szCs w:val="22"/>
          <w:lang w:eastAsia="es-CL"/>
        </w:rPr>
      </w:pPr>
      <w:r w:rsidRPr="00122B84">
        <w:rPr>
          <w:rFonts w:ascii="Arial" w:hAnsi="Arial" w:cs="Arial"/>
          <w:sz w:val="22"/>
          <w:szCs w:val="22"/>
          <w:lang w:eastAsia="es-CL"/>
        </w:rPr>
        <w:t xml:space="preserve">NO CONTEMPLA: La remisión al inciso décimo del artículo 1 de la ley Nº 21.306, implica que no se considerarán dentro de su remuneración la asignación de zonas extremas, las bonificaciones, asignaciones y bonos asociados al desempeño individual, colectivo o institucional. </w:t>
      </w:r>
    </w:p>
    <w:p w:rsidR="00122B84" w:rsidRPr="00122B84" w:rsidRDefault="00122B84" w:rsidP="00CB1C8E">
      <w:pPr>
        <w:tabs>
          <w:tab w:val="left" w:pos="8789"/>
        </w:tabs>
        <w:spacing w:line="276" w:lineRule="auto"/>
        <w:ind w:right="-234" w:firstLine="1701"/>
        <w:jc w:val="both"/>
        <w:rPr>
          <w:rFonts w:ascii="Arial" w:hAnsi="Arial" w:cs="Arial"/>
          <w:sz w:val="22"/>
          <w:szCs w:val="22"/>
          <w:lang w:eastAsia="es-CL"/>
        </w:rPr>
      </w:pPr>
    </w:p>
    <w:p w:rsidR="00122B84" w:rsidRPr="00122B84" w:rsidRDefault="00122B84" w:rsidP="00CB1C8E">
      <w:pPr>
        <w:tabs>
          <w:tab w:val="left" w:pos="8789"/>
        </w:tabs>
        <w:spacing w:line="276" w:lineRule="auto"/>
        <w:ind w:right="-234" w:firstLine="1701"/>
        <w:jc w:val="both"/>
        <w:rPr>
          <w:rFonts w:ascii="Arial" w:hAnsi="Arial" w:cs="Arial"/>
          <w:sz w:val="22"/>
          <w:szCs w:val="22"/>
          <w:lang w:eastAsia="es-CL"/>
        </w:rPr>
      </w:pPr>
      <w:r w:rsidRPr="00122B84">
        <w:rPr>
          <w:rFonts w:ascii="Arial" w:hAnsi="Arial" w:cs="Arial"/>
          <w:sz w:val="22"/>
          <w:szCs w:val="22"/>
          <w:lang w:eastAsia="es-CL"/>
        </w:rPr>
        <w:t>-Por su parte, respecto de aquellos trabajadores con jornadas inferiores a la completa, se les aplicará lo antes indicado, de manera proporcional a su jornada. Dicha proporcionalidad se aplicará para el umbral de los $2.000.000.</w:t>
      </w:r>
    </w:p>
    <w:p w:rsidR="00122B84" w:rsidRPr="00122B84" w:rsidRDefault="00122B84" w:rsidP="00CB1C8E">
      <w:pPr>
        <w:tabs>
          <w:tab w:val="left" w:pos="8789"/>
        </w:tabs>
        <w:spacing w:line="276" w:lineRule="auto"/>
        <w:ind w:right="-234" w:firstLine="1701"/>
        <w:jc w:val="both"/>
        <w:rPr>
          <w:rFonts w:ascii="Arial" w:hAnsi="Arial" w:cs="Arial"/>
          <w:sz w:val="22"/>
          <w:szCs w:val="22"/>
          <w:lang w:eastAsia="es-CL"/>
        </w:rPr>
      </w:pPr>
    </w:p>
    <w:p w:rsidR="00122B84" w:rsidRPr="00122B84" w:rsidRDefault="00122B84" w:rsidP="00CB1C8E">
      <w:pPr>
        <w:tabs>
          <w:tab w:val="left" w:pos="8789"/>
        </w:tabs>
        <w:spacing w:line="276" w:lineRule="auto"/>
        <w:ind w:right="-234" w:firstLine="1701"/>
        <w:jc w:val="both"/>
        <w:rPr>
          <w:rFonts w:ascii="Arial" w:hAnsi="Arial" w:cs="Arial"/>
          <w:sz w:val="22"/>
          <w:szCs w:val="22"/>
          <w:lang w:eastAsia="es-CL"/>
        </w:rPr>
      </w:pPr>
      <w:r w:rsidRPr="00122B84">
        <w:rPr>
          <w:rFonts w:ascii="Arial" w:hAnsi="Arial" w:cs="Arial"/>
          <w:sz w:val="22"/>
          <w:szCs w:val="22"/>
          <w:lang w:eastAsia="es-CL"/>
        </w:rPr>
        <w:t>SE APLICA: Asimismo, el porcentaje de reajuste que corresponda se aplicará a las remuneraciones, asignaciones, beneficios y demás retribuciones en dinero, imponibles para la salud y pensiones, o no imponibles, y aquellas a que tengan derecho los trabajadores. El reajuste a que alude este artículo no tendrá efecto retroactivo y será de cargo de la entidad empleadora.</w:t>
      </w:r>
    </w:p>
    <w:p w:rsidR="00122B84" w:rsidRPr="00122B84" w:rsidRDefault="00122B84" w:rsidP="00CB1C8E">
      <w:pPr>
        <w:tabs>
          <w:tab w:val="left" w:pos="8789"/>
        </w:tabs>
        <w:spacing w:line="276" w:lineRule="auto"/>
        <w:ind w:right="-234" w:firstLine="1701"/>
        <w:jc w:val="both"/>
        <w:rPr>
          <w:rFonts w:ascii="Arial" w:hAnsi="Arial" w:cs="Arial"/>
          <w:sz w:val="22"/>
          <w:szCs w:val="22"/>
          <w:lang w:eastAsia="es-CL"/>
        </w:rPr>
      </w:pPr>
    </w:p>
    <w:p w:rsidR="00122B84" w:rsidRPr="00122B84" w:rsidRDefault="00122B84" w:rsidP="00CB1C8E">
      <w:pPr>
        <w:tabs>
          <w:tab w:val="left" w:pos="8789"/>
        </w:tabs>
        <w:spacing w:line="276" w:lineRule="auto"/>
        <w:ind w:right="-234" w:firstLine="1701"/>
        <w:jc w:val="both"/>
        <w:rPr>
          <w:rFonts w:ascii="Arial" w:hAnsi="Arial" w:cs="Arial"/>
          <w:b/>
          <w:sz w:val="22"/>
          <w:szCs w:val="22"/>
          <w:lang w:eastAsia="es-CL"/>
        </w:rPr>
      </w:pPr>
      <w:r w:rsidRPr="00122B84">
        <w:rPr>
          <w:rFonts w:ascii="Arial" w:hAnsi="Arial" w:cs="Arial"/>
          <w:b/>
          <w:sz w:val="22"/>
          <w:szCs w:val="22"/>
          <w:lang w:eastAsia="es-CL"/>
        </w:rPr>
        <w:t>Artículo 2</w:t>
      </w:r>
    </w:p>
    <w:p w:rsidR="00122B84" w:rsidRPr="00122B84" w:rsidRDefault="00122B84" w:rsidP="00CB1C8E">
      <w:pPr>
        <w:tabs>
          <w:tab w:val="left" w:pos="8789"/>
        </w:tabs>
        <w:spacing w:line="276" w:lineRule="auto"/>
        <w:ind w:right="-234" w:firstLine="1701"/>
        <w:jc w:val="both"/>
        <w:rPr>
          <w:rFonts w:ascii="Arial" w:hAnsi="Arial" w:cs="Arial"/>
          <w:b/>
          <w:sz w:val="22"/>
          <w:szCs w:val="22"/>
          <w:lang w:eastAsia="es-CL"/>
        </w:rPr>
      </w:pPr>
      <w:r w:rsidRPr="00122B84">
        <w:rPr>
          <w:rFonts w:ascii="Arial" w:hAnsi="Arial" w:cs="Arial"/>
          <w:b/>
          <w:sz w:val="22"/>
          <w:szCs w:val="22"/>
          <w:lang w:eastAsia="es-CL"/>
        </w:rPr>
        <w:t>Aguinaldo</w:t>
      </w:r>
    </w:p>
    <w:p w:rsidR="00122B84" w:rsidRPr="00122B84" w:rsidRDefault="00122B84" w:rsidP="00CB1C8E">
      <w:pPr>
        <w:tabs>
          <w:tab w:val="left" w:pos="8789"/>
        </w:tabs>
        <w:spacing w:line="276" w:lineRule="auto"/>
        <w:ind w:right="-234" w:firstLine="1701"/>
        <w:jc w:val="both"/>
        <w:rPr>
          <w:rFonts w:ascii="Arial" w:hAnsi="Arial" w:cs="Arial"/>
          <w:sz w:val="22"/>
          <w:szCs w:val="22"/>
          <w:lang w:eastAsia="es-CL"/>
        </w:rPr>
      </w:pPr>
      <w:r w:rsidRPr="00122B84">
        <w:rPr>
          <w:rFonts w:ascii="Arial" w:hAnsi="Arial" w:cs="Arial"/>
          <w:sz w:val="22"/>
          <w:szCs w:val="22"/>
          <w:lang w:eastAsia="es-CL"/>
        </w:rPr>
        <w:t>Concede, por una sola vez, en los mismos términos y montos establecidos en el artículo 8 de la ley N° 21.306, un aguinaldo de Fiestas Patrias para el año 2021</w:t>
      </w:r>
    </w:p>
    <w:p w:rsidR="00122B84" w:rsidRPr="00122B84" w:rsidRDefault="00122B84" w:rsidP="00CB1C8E">
      <w:pPr>
        <w:tabs>
          <w:tab w:val="left" w:pos="8789"/>
        </w:tabs>
        <w:spacing w:line="276" w:lineRule="auto"/>
        <w:ind w:right="-234" w:firstLine="1701"/>
        <w:jc w:val="both"/>
        <w:rPr>
          <w:rFonts w:ascii="Arial" w:hAnsi="Arial" w:cs="Arial"/>
          <w:b/>
          <w:sz w:val="22"/>
          <w:szCs w:val="22"/>
          <w:lang w:eastAsia="es-CL"/>
        </w:rPr>
      </w:pPr>
      <w:r w:rsidRPr="00122B84">
        <w:rPr>
          <w:rFonts w:ascii="Arial" w:hAnsi="Arial" w:cs="Arial"/>
          <w:b/>
          <w:sz w:val="22"/>
          <w:szCs w:val="22"/>
          <w:lang w:eastAsia="es-CL"/>
        </w:rPr>
        <w:t>Beneficiarios</w:t>
      </w:r>
    </w:p>
    <w:p w:rsidR="00122B84" w:rsidRPr="00122B84" w:rsidRDefault="00122B84" w:rsidP="00CB1C8E">
      <w:pPr>
        <w:tabs>
          <w:tab w:val="left" w:pos="8789"/>
        </w:tabs>
        <w:spacing w:line="276" w:lineRule="auto"/>
        <w:ind w:right="-234" w:firstLine="1701"/>
        <w:jc w:val="both"/>
        <w:rPr>
          <w:rFonts w:ascii="Arial" w:hAnsi="Arial" w:cs="Arial"/>
          <w:sz w:val="22"/>
          <w:szCs w:val="22"/>
          <w:lang w:eastAsia="es-CL"/>
        </w:rPr>
      </w:pPr>
      <w:r w:rsidRPr="00122B84">
        <w:rPr>
          <w:rFonts w:ascii="Arial" w:hAnsi="Arial" w:cs="Arial"/>
          <w:sz w:val="22"/>
          <w:szCs w:val="22"/>
          <w:lang w:val="es-ES_tradnl" w:eastAsia="es-CL"/>
        </w:rPr>
        <w:t xml:space="preserve">Directores, educadores de párvulos y los asistentes de la educación, que se desempeñan en los establecimientos de educación parvularia financiados por la Junta Nacional de Jardines Infantiles vía transferencia de fondos traspasados a los servicios locales de educación pública </w:t>
      </w:r>
      <w:r w:rsidRPr="00122B84">
        <w:rPr>
          <w:rFonts w:ascii="Arial" w:hAnsi="Arial" w:cs="Arial"/>
          <w:sz w:val="22"/>
          <w:szCs w:val="22"/>
          <w:lang w:eastAsia="es-CL"/>
        </w:rPr>
        <w:t>que, al 31 de agosto del mismo año se desempeñen en dichos establecimientos.</w:t>
      </w:r>
    </w:p>
    <w:p w:rsidR="00122B84" w:rsidRPr="00122B84" w:rsidRDefault="00122B84" w:rsidP="00CB1C8E">
      <w:pPr>
        <w:tabs>
          <w:tab w:val="left" w:pos="8789"/>
        </w:tabs>
        <w:spacing w:line="276" w:lineRule="auto"/>
        <w:ind w:right="-234" w:firstLine="1701"/>
        <w:jc w:val="both"/>
        <w:rPr>
          <w:rFonts w:ascii="Arial" w:hAnsi="Arial" w:cs="Arial"/>
          <w:sz w:val="22"/>
          <w:szCs w:val="22"/>
          <w:lang w:eastAsia="es-CL"/>
        </w:rPr>
      </w:pPr>
    </w:p>
    <w:p w:rsidR="00122B84" w:rsidRPr="00122B84" w:rsidRDefault="00122B84" w:rsidP="00CB1C8E">
      <w:pPr>
        <w:tabs>
          <w:tab w:val="left" w:pos="8789"/>
        </w:tabs>
        <w:spacing w:line="276" w:lineRule="auto"/>
        <w:ind w:right="-234" w:firstLine="1701"/>
        <w:jc w:val="both"/>
        <w:rPr>
          <w:rFonts w:ascii="Arial" w:hAnsi="Arial" w:cs="Arial"/>
          <w:b/>
          <w:sz w:val="22"/>
          <w:szCs w:val="22"/>
          <w:lang w:eastAsia="es-CL"/>
        </w:rPr>
      </w:pPr>
      <w:r w:rsidRPr="00122B84">
        <w:rPr>
          <w:rFonts w:ascii="Arial" w:hAnsi="Arial" w:cs="Arial"/>
          <w:b/>
          <w:sz w:val="22"/>
          <w:szCs w:val="22"/>
          <w:lang w:eastAsia="es-CL"/>
        </w:rPr>
        <w:t>Monto</w:t>
      </w:r>
    </w:p>
    <w:p w:rsidR="00122B84" w:rsidRPr="00122B84" w:rsidRDefault="00122B84" w:rsidP="00CB1C8E">
      <w:pPr>
        <w:tabs>
          <w:tab w:val="left" w:pos="8789"/>
        </w:tabs>
        <w:spacing w:line="276" w:lineRule="auto"/>
        <w:ind w:right="-234" w:firstLine="1701"/>
        <w:jc w:val="both"/>
        <w:rPr>
          <w:rFonts w:ascii="Arial" w:hAnsi="Arial" w:cs="Arial"/>
          <w:sz w:val="22"/>
          <w:szCs w:val="22"/>
          <w:lang w:eastAsia="es-CL"/>
        </w:rPr>
      </w:pPr>
      <w:r w:rsidRPr="00122B84">
        <w:rPr>
          <w:rFonts w:ascii="Arial" w:hAnsi="Arial" w:cs="Arial"/>
          <w:sz w:val="22"/>
          <w:szCs w:val="22"/>
          <w:lang w:eastAsia="es-CL"/>
        </w:rPr>
        <w:t>El monto del aguinaldo será de $76.528.- para los trabajadores cuya remuneración líquida que les corresponda percibir en el mes de agosto del año 2021 sea igual o inferior a $794.149.- y de $53.124.- para aquellos cuya remuneración líquida supere tal cantidad.</w:t>
      </w:r>
    </w:p>
    <w:p w:rsidR="00122B84" w:rsidRPr="00122B84" w:rsidRDefault="00122B84" w:rsidP="00CB1C8E">
      <w:pPr>
        <w:tabs>
          <w:tab w:val="left" w:pos="8789"/>
        </w:tabs>
        <w:spacing w:line="276" w:lineRule="auto"/>
        <w:ind w:right="-234" w:firstLine="1701"/>
        <w:jc w:val="both"/>
        <w:rPr>
          <w:rFonts w:ascii="Arial" w:hAnsi="Arial" w:cs="Arial"/>
          <w:sz w:val="22"/>
          <w:szCs w:val="22"/>
          <w:lang w:eastAsia="es-CL"/>
        </w:rPr>
      </w:pPr>
    </w:p>
    <w:p w:rsidR="00122B84" w:rsidRPr="00122B84" w:rsidRDefault="00122B84" w:rsidP="00CB1C8E">
      <w:pPr>
        <w:tabs>
          <w:tab w:val="left" w:pos="8789"/>
        </w:tabs>
        <w:spacing w:line="276" w:lineRule="auto"/>
        <w:ind w:right="-234" w:firstLine="1701"/>
        <w:jc w:val="both"/>
        <w:rPr>
          <w:rFonts w:ascii="Arial" w:hAnsi="Arial" w:cs="Arial"/>
          <w:b/>
          <w:sz w:val="22"/>
          <w:szCs w:val="22"/>
          <w:lang w:eastAsia="es-CL"/>
        </w:rPr>
      </w:pPr>
      <w:r w:rsidRPr="00122B84">
        <w:rPr>
          <w:rFonts w:ascii="Arial" w:hAnsi="Arial" w:cs="Arial"/>
          <w:b/>
          <w:sz w:val="22"/>
          <w:szCs w:val="22"/>
          <w:lang w:eastAsia="es-CL"/>
        </w:rPr>
        <w:t>Artículo 3</w:t>
      </w:r>
    </w:p>
    <w:p w:rsidR="00122B84" w:rsidRPr="00122B84" w:rsidRDefault="00122B84" w:rsidP="00CB1C8E">
      <w:pPr>
        <w:tabs>
          <w:tab w:val="left" w:pos="8789"/>
        </w:tabs>
        <w:spacing w:line="276" w:lineRule="auto"/>
        <w:ind w:right="-234" w:firstLine="1701"/>
        <w:jc w:val="both"/>
        <w:rPr>
          <w:rFonts w:ascii="Arial" w:hAnsi="Arial" w:cs="Arial"/>
          <w:b/>
          <w:sz w:val="22"/>
          <w:szCs w:val="22"/>
          <w:lang w:eastAsia="es-CL"/>
        </w:rPr>
      </w:pPr>
      <w:r w:rsidRPr="00122B84">
        <w:rPr>
          <w:rFonts w:ascii="Arial" w:hAnsi="Arial" w:cs="Arial"/>
          <w:b/>
          <w:sz w:val="22"/>
          <w:szCs w:val="22"/>
          <w:lang w:eastAsia="es-CL"/>
        </w:rPr>
        <w:t>Bono mensual</w:t>
      </w:r>
    </w:p>
    <w:p w:rsidR="00122B84" w:rsidRPr="00122B84" w:rsidRDefault="00122B84" w:rsidP="00CB1C8E">
      <w:pPr>
        <w:tabs>
          <w:tab w:val="left" w:pos="8789"/>
        </w:tabs>
        <w:spacing w:line="276" w:lineRule="auto"/>
        <w:ind w:right="-234" w:firstLine="1701"/>
        <w:jc w:val="both"/>
        <w:rPr>
          <w:rFonts w:ascii="Arial" w:hAnsi="Arial" w:cs="Arial"/>
          <w:sz w:val="22"/>
          <w:szCs w:val="22"/>
          <w:lang w:eastAsia="es-CL"/>
        </w:rPr>
      </w:pPr>
      <w:r w:rsidRPr="00122B84">
        <w:rPr>
          <w:rFonts w:ascii="Arial" w:hAnsi="Arial" w:cs="Arial"/>
          <w:sz w:val="22"/>
          <w:szCs w:val="22"/>
          <w:lang w:eastAsia="es-CL"/>
        </w:rPr>
        <w:t xml:space="preserve">Otorga, a contar del día 1 del mes siguiente a la publicación de la ley y hasta el 31 de diciembre de 2021, el bono mensual, de cargo fiscal, establecido en el artículo 67 de la ley N° 21.306, en los mismos términos que dicha disposición indica. </w:t>
      </w:r>
    </w:p>
    <w:p w:rsidR="00122B84" w:rsidRPr="00122B84" w:rsidRDefault="00122B84" w:rsidP="00CB1C8E">
      <w:pPr>
        <w:tabs>
          <w:tab w:val="left" w:pos="8789"/>
        </w:tabs>
        <w:spacing w:line="276" w:lineRule="auto"/>
        <w:ind w:right="-234" w:firstLine="1701"/>
        <w:jc w:val="both"/>
        <w:rPr>
          <w:rFonts w:ascii="Arial" w:hAnsi="Arial" w:cs="Arial"/>
          <w:b/>
          <w:sz w:val="22"/>
          <w:szCs w:val="22"/>
          <w:lang w:eastAsia="es-CL"/>
        </w:rPr>
      </w:pPr>
      <w:r w:rsidRPr="00122B84">
        <w:rPr>
          <w:rFonts w:ascii="Arial" w:hAnsi="Arial" w:cs="Arial"/>
          <w:b/>
          <w:sz w:val="22"/>
          <w:szCs w:val="22"/>
          <w:lang w:eastAsia="es-CL"/>
        </w:rPr>
        <w:t>Beneficiarios</w:t>
      </w:r>
    </w:p>
    <w:p w:rsidR="00122B84" w:rsidRPr="00122B84" w:rsidRDefault="00122B84" w:rsidP="00CB1C8E">
      <w:pPr>
        <w:tabs>
          <w:tab w:val="left" w:pos="8789"/>
        </w:tabs>
        <w:spacing w:line="276" w:lineRule="auto"/>
        <w:ind w:right="-234" w:firstLine="1701"/>
        <w:jc w:val="both"/>
        <w:rPr>
          <w:rFonts w:ascii="Arial" w:hAnsi="Arial" w:cs="Arial"/>
          <w:sz w:val="22"/>
          <w:szCs w:val="22"/>
          <w:lang w:eastAsia="es-CL"/>
        </w:rPr>
      </w:pPr>
      <w:r w:rsidRPr="00122B84">
        <w:rPr>
          <w:rFonts w:ascii="Arial" w:hAnsi="Arial" w:cs="Arial"/>
          <w:sz w:val="22"/>
          <w:szCs w:val="22"/>
          <w:lang w:eastAsia="es-CL"/>
        </w:rPr>
        <w:t xml:space="preserve">Directores, educadores de párvulos y los asistentes de la educación, que se desempeñan en los establecimientos de educación parvularia financiados por la Junta Nacional de Jardines Infantiles vía transferencia de fondos traspasados a los servicios locales de educación pública. </w:t>
      </w:r>
    </w:p>
    <w:p w:rsidR="00122B84" w:rsidRPr="00122B84" w:rsidRDefault="00122B84" w:rsidP="00CB1C8E">
      <w:pPr>
        <w:tabs>
          <w:tab w:val="left" w:pos="8789"/>
        </w:tabs>
        <w:spacing w:line="276" w:lineRule="auto"/>
        <w:ind w:right="-234" w:firstLine="1701"/>
        <w:jc w:val="both"/>
        <w:rPr>
          <w:rFonts w:ascii="Arial" w:hAnsi="Arial" w:cs="Arial"/>
          <w:b/>
          <w:sz w:val="22"/>
          <w:szCs w:val="22"/>
          <w:lang w:eastAsia="es-CL"/>
        </w:rPr>
      </w:pPr>
      <w:r w:rsidRPr="00122B84">
        <w:rPr>
          <w:rFonts w:ascii="Arial" w:hAnsi="Arial" w:cs="Arial"/>
          <w:b/>
          <w:sz w:val="22"/>
          <w:szCs w:val="22"/>
          <w:lang w:eastAsia="es-CL"/>
        </w:rPr>
        <w:t>Requisito</w:t>
      </w:r>
    </w:p>
    <w:p w:rsidR="00122B84" w:rsidRPr="00122B84" w:rsidRDefault="00122B84" w:rsidP="00CB1C8E">
      <w:pPr>
        <w:tabs>
          <w:tab w:val="left" w:pos="8789"/>
        </w:tabs>
        <w:spacing w:line="276" w:lineRule="auto"/>
        <w:ind w:right="-234" w:firstLine="1701"/>
        <w:jc w:val="both"/>
        <w:rPr>
          <w:rFonts w:ascii="Arial" w:hAnsi="Arial" w:cs="Arial"/>
          <w:sz w:val="22"/>
          <w:szCs w:val="22"/>
          <w:lang w:eastAsia="es-CL"/>
        </w:rPr>
      </w:pPr>
      <w:r w:rsidRPr="00122B84">
        <w:rPr>
          <w:rFonts w:ascii="Arial" w:hAnsi="Arial" w:cs="Arial"/>
          <w:sz w:val="22"/>
          <w:szCs w:val="22"/>
          <w:lang w:eastAsia="es-CL"/>
        </w:rPr>
        <w:t>Siempre que su remuneración bruta en el mes de su pago sea inferior a $545.000.- y se desempeñen por una jornada completa.</w:t>
      </w:r>
    </w:p>
    <w:p w:rsidR="00122B84" w:rsidRPr="00122B84" w:rsidRDefault="00122B84" w:rsidP="00CB1C8E">
      <w:pPr>
        <w:tabs>
          <w:tab w:val="left" w:pos="8789"/>
        </w:tabs>
        <w:spacing w:line="276" w:lineRule="auto"/>
        <w:ind w:right="-234" w:firstLine="1701"/>
        <w:jc w:val="both"/>
        <w:rPr>
          <w:rFonts w:ascii="Arial" w:hAnsi="Arial" w:cs="Arial"/>
          <w:sz w:val="22"/>
          <w:szCs w:val="22"/>
          <w:lang w:eastAsia="es-CL"/>
        </w:rPr>
      </w:pPr>
    </w:p>
    <w:p w:rsidR="00122B84" w:rsidRPr="00122B84" w:rsidRDefault="00122B84" w:rsidP="00CB1C8E">
      <w:pPr>
        <w:tabs>
          <w:tab w:val="left" w:pos="8789"/>
        </w:tabs>
        <w:spacing w:line="276" w:lineRule="auto"/>
        <w:ind w:right="-234" w:firstLine="1701"/>
        <w:jc w:val="both"/>
        <w:rPr>
          <w:rFonts w:ascii="Arial" w:hAnsi="Arial" w:cs="Arial"/>
          <w:sz w:val="22"/>
          <w:szCs w:val="22"/>
          <w:lang w:eastAsia="es-CL"/>
        </w:rPr>
      </w:pPr>
      <w:r w:rsidRPr="00122B84">
        <w:rPr>
          <w:rFonts w:ascii="Arial" w:hAnsi="Arial" w:cs="Arial"/>
          <w:sz w:val="22"/>
          <w:szCs w:val="22"/>
          <w:lang w:eastAsia="es-CL"/>
        </w:rPr>
        <w:t>El aporte máximo que puede recibir un trabajador por este concepto será de hasta $45.000 mensuales, aplicándose la fórmula del artículo 67 de la ley N° 21.306, que permite determinar el monto que le corresponderá, de acuerdo a su remuneración.</w:t>
      </w:r>
    </w:p>
    <w:p w:rsidR="00122B84" w:rsidRPr="00122B84" w:rsidRDefault="00122B84" w:rsidP="00CB1C8E">
      <w:pPr>
        <w:tabs>
          <w:tab w:val="left" w:pos="8789"/>
        </w:tabs>
        <w:spacing w:line="276" w:lineRule="auto"/>
        <w:ind w:right="-234" w:firstLine="1701"/>
        <w:jc w:val="both"/>
        <w:rPr>
          <w:rFonts w:ascii="Arial" w:hAnsi="Arial" w:cs="Arial"/>
          <w:b/>
          <w:sz w:val="22"/>
          <w:szCs w:val="22"/>
          <w:lang w:eastAsia="es-CL"/>
        </w:rPr>
      </w:pPr>
      <w:r w:rsidRPr="00122B84">
        <w:rPr>
          <w:rFonts w:ascii="Arial" w:hAnsi="Arial" w:cs="Arial"/>
          <w:b/>
          <w:sz w:val="22"/>
          <w:szCs w:val="22"/>
          <w:lang w:eastAsia="es-CL"/>
        </w:rPr>
        <w:t>Características</w:t>
      </w:r>
    </w:p>
    <w:p w:rsidR="00122B84" w:rsidRPr="00122B84" w:rsidRDefault="00122B84" w:rsidP="00CB1C8E">
      <w:pPr>
        <w:tabs>
          <w:tab w:val="left" w:pos="8789"/>
        </w:tabs>
        <w:spacing w:line="276" w:lineRule="auto"/>
        <w:ind w:right="-234" w:firstLine="1701"/>
        <w:jc w:val="both"/>
        <w:rPr>
          <w:rFonts w:ascii="Arial" w:hAnsi="Arial" w:cs="Arial"/>
          <w:sz w:val="22"/>
          <w:szCs w:val="22"/>
          <w:lang w:eastAsia="es-CL"/>
        </w:rPr>
      </w:pPr>
      <w:r w:rsidRPr="00122B84">
        <w:rPr>
          <w:rFonts w:ascii="Arial" w:hAnsi="Arial" w:cs="Arial"/>
          <w:sz w:val="22"/>
          <w:szCs w:val="22"/>
          <w:lang w:eastAsia="es-CL"/>
        </w:rPr>
        <w:t>Este bono será imponible y tributable, y no servirá base de cálculo de ninguna otra remuneración.</w:t>
      </w:r>
    </w:p>
    <w:p w:rsidR="00122B84" w:rsidRPr="00122B84" w:rsidRDefault="00122B84" w:rsidP="00CB1C8E">
      <w:pPr>
        <w:tabs>
          <w:tab w:val="left" w:pos="8789"/>
        </w:tabs>
        <w:spacing w:line="276" w:lineRule="auto"/>
        <w:ind w:right="-234" w:firstLine="1701"/>
        <w:jc w:val="both"/>
        <w:rPr>
          <w:rFonts w:ascii="Arial" w:hAnsi="Arial" w:cs="Arial"/>
          <w:sz w:val="22"/>
          <w:szCs w:val="22"/>
          <w:lang w:eastAsia="es-CL"/>
        </w:rPr>
      </w:pPr>
    </w:p>
    <w:p w:rsidR="00122B84" w:rsidRPr="00122B84" w:rsidRDefault="00122B84" w:rsidP="00CB1C8E">
      <w:pPr>
        <w:tabs>
          <w:tab w:val="left" w:pos="8789"/>
        </w:tabs>
        <w:spacing w:line="276" w:lineRule="auto"/>
        <w:ind w:right="-234" w:firstLine="1701"/>
        <w:jc w:val="both"/>
        <w:rPr>
          <w:rFonts w:ascii="Arial" w:hAnsi="Arial" w:cs="Arial"/>
          <w:b/>
          <w:sz w:val="22"/>
          <w:szCs w:val="22"/>
          <w:lang w:eastAsia="es-CL"/>
        </w:rPr>
      </w:pPr>
      <w:r w:rsidRPr="00122B84">
        <w:rPr>
          <w:rFonts w:ascii="Arial" w:hAnsi="Arial" w:cs="Arial"/>
          <w:b/>
          <w:sz w:val="22"/>
          <w:szCs w:val="22"/>
          <w:lang w:eastAsia="es-CL"/>
        </w:rPr>
        <w:t>Artículo 4</w:t>
      </w:r>
    </w:p>
    <w:p w:rsidR="00122B84" w:rsidRPr="00122B84" w:rsidRDefault="00122B84" w:rsidP="00CB1C8E">
      <w:pPr>
        <w:tabs>
          <w:tab w:val="left" w:pos="8789"/>
        </w:tabs>
        <w:spacing w:line="276" w:lineRule="auto"/>
        <w:ind w:right="-234" w:firstLine="1701"/>
        <w:jc w:val="both"/>
        <w:rPr>
          <w:rFonts w:ascii="Arial" w:hAnsi="Arial" w:cs="Arial"/>
          <w:b/>
          <w:sz w:val="22"/>
          <w:szCs w:val="22"/>
          <w:lang w:eastAsia="es-CL"/>
        </w:rPr>
      </w:pPr>
      <w:r w:rsidRPr="00122B84">
        <w:rPr>
          <w:rFonts w:ascii="Arial" w:hAnsi="Arial" w:cs="Arial"/>
          <w:b/>
          <w:sz w:val="22"/>
          <w:szCs w:val="22"/>
          <w:lang w:eastAsia="es-CL"/>
        </w:rPr>
        <w:t>Bono compensatorio</w:t>
      </w:r>
    </w:p>
    <w:p w:rsidR="00122B84" w:rsidRPr="00122B84" w:rsidRDefault="00122B84" w:rsidP="00CB1C8E">
      <w:pPr>
        <w:tabs>
          <w:tab w:val="left" w:pos="8789"/>
        </w:tabs>
        <w:spacing w:line="276" w:lineRule="auto"/>
        <w:ind w:right="-234" w:firstLine="1701"/>
        <w:jc w:val="both"/>
        <w:rPr>
          <w:rFonts w:ascii="Arial" w:hAnsi="Arial" w:cs="Arial"/>
          <w:sz w:val="22"/>
          <w:szCs w:val="22"/>
          <w:lang w:val="es-CL" w:eastAsia="es-CL"/>
        </w:rPr>
      </w:pPr>
      <w:r w:rsidRPr="00122B84">
        <w:rPr>
          <w:rFonts w:ascii="Arial" w:hAnsi="Arial" w:cs="Arial"/>
          <w:sz w:val="22"/>
          <w:szCs w:val="22"/>
          <w:lang w:eastAsia="es-CL"/>
        </w:rPr>
        <w:t xml:space="preserve">Concede por una sola vez un bono compensatorio, de cargo fiscal, </w:t>
      </w:r>
      <w:r w:rsidRPr="00122B84">
        <w:rPr>
          <w:rFonts w:ascii="Arial" w:hAnsi="Arial" w:cs="Arial"/>
          <w:sz w:val="22"/>
          <w:szCs w:val="22"/>
          <w:lang w:val="es-CL" w:eastAsia="es-CL"/>
        </w:rPr>
        <w:t>en los casos en que el empleador no hubiese otorgado al personal afecto a este artículo todos los beneficios establecidos en los artículos 1°, 2°, 8°, 13, 14 y 25 de la ley N° 21.306, en las mismas condiciones que establece aquella.</w:t>
      </w:r>
    </w:p>
    <w:p w:rsidR="00122B84" w:rsidRPr="00122B84" w:rsidRDefault="00122B84" w:rsidP="00CB1C8E">
      <w:pPr>
        <w:tabs>
          <w:tab w:val="left" w:pos="8789"/>
        </w:tabs>
        <w:spacing w:line="276" w:lineRule="auto"/>
        <w:ind w:right="-234" w:firstLine="1701"/>
        <w:jc w:val="both"/>
        <w:rPr>
          <w:rFonts w:ascii="Arial" w:hAnsi="Arial" w:cs="Arial"/>
          <w:b/>
          <w:sz w:val="22"/>
          <w:szCs w:val="22"/>
          <w:lang w:eastAsia="es-CL"/>
        </w:rPr>
      </w:pPr>
      <w:r w:rsidRPr="00122B84">
        <w:rPr>
          <w:rFonts w:ascii="Arial" w:hAnsi="Arial" w:cs="Arial"/>
          <w:b/>
          <w:sz w:val="22"/>
          <w:szCs w:val="22"/>
          <w:lang w:eastAsia="es-CL"/>
        </w:rPr>
        <w:t>Beneficiarios</w:t>
      </w:r>
    </w:p>
    <w:p w:rsidR="00122B84" w:rsidRPr="00122B84" w:rsidRDefault="00122B84" w:rsidP="00CB1C8E">
      <w:pPr>
        <w:tabs>
          <w:tab w:val="left" w:pos="8789"/>
        </w:tabs>
        <w:spacing w:line="276" w:lineRule="auto"/>
        <w:ind w:right="-234" w:firstLine="1701"/>
        <w:jc w:val="both"/>
        <w:rPr>
          <w:rFonts w:ascii="Arial" w:hAnsi="Arial" w:cs="Arial"/>
          <w:sz w:val="22"/>
          <w:szCs w:val="22"/>
          <w:lang w:eastAsia="es-CL"/>
        </w:rPr>
      </w:pPr>
      <w:r w:rsidRPr="00122B84">
        <w:rPr>
          <w:rFonts w:ascii="Arial" w:hAnsi="Arial" w:cs="Arial"/>
          <w:sz w:val="22"/>
          <w:szCs w:val="22"/>
          <w:lang w:eastAsia="es-CL"/>
        </w:rPr>
        <w:t xml:space="preserve">Directores, educadores de párvulos y los asistentes de la educación, que se desempeñan en los establecimientos de educación parvularia financiados por la Junta Nacional de Jardines Infantiles vía transferencia de fondos traspasados a los servicios locales de educación pública. </w:t>
      </w:r>
    </w:p>
    <w:p w:rsidR="00122B84" w:rsidRPr="00122B84" w:rsidRDefault="00122B84" w:rsidP="00CB1C8E">
      <w:pPr>
        <w:tabs>
          <w:tab w:val="left" w:pos="8789"/>
        </w:tabs>
        <w:spacing w:line="276" w:lineRule="auto"/>
        <w:ind w:right="-234" w:firstLine="1701"/>
        <w:jc w:val="both"/>
        <w:rPr>
          <w:rFonts w:ascii="Arial" w:hAnsi="Arial" w:cs="Arial"/>
          <w:b/>
          <w:sz w:val="22"/>
          <w:szCs w:val="22"/>
          <w:lang w:eastAsia="es-CL"/>
        </w:rPr>
      </w:pPr>
      <w:r w:rsidRPr="00122B84">
        <w:rPr>
          <w:rFonts w:ascii="Arial" w:hAnsi="Arial" w:cs="Arial"/>
          <w:b/>
          <w:sz w:val="22"/>
          <w:szCs w:val="22"/>
          <w:lang w:eastAsia="es-CL"/>
        </w:rPr>
        <w:t>Monto</w:t>
      </w:r>
    </w:p>
    <w:p w:rsidR="00122B84" w:rsidRPr="00122B84" w:rsidRDefault="00122B84" w:rsidP="00CB1C8E">
      <w:pPr>
        <w:tabs>
          <w:tab w:val="left" w:pos="8789"/>
        </w:tabs>
        <w:spacing w:line="276" w:lineRule="auto"/>
        <w:ind w:right="-234" w:firstLine="1701"/>
        <w:jc w:val="both"/>
        <w:rPr>
          <w:rFonts w:ascii="Arial" w:hAnsi="Arial" w:cs="Arial"/>
          <w:sz w:val="22"/>
          <w:szCs w:val="22"/>
          <w:lang w:eastAsia="es-CL"/>
        </w:rPr>
      </w:pPr>
      <w:r w:rsidRPr="00122B84">
        <w:rPr>
          <w:rFonts w:ascii="Arial" w:hAnsi="Arial" w:cs="Arial"/>
          <w:sz w:val="22"/>
          <w:szCs w:val="22"/>
          <w:lang w:eastAsia="es-CL"/>
        </w:rPr>
        <w:t>Este bono ascenderá a $400.000.- para quienes desempeñen un cargo de una jornada ordinaria de trabajo de cuarenta y cuatro o cuarenta y cinco horas semanales, calculándose en forma proporcional si ésta fuera inferior.</w:t>
      </w:r>
    </w:p>
    <w:p w:rsidR="00122B84" w:rsidRPr="00122B84" w:rsidRDefault="00122B84" w:rsidP="00CB1C8E">
      <w:pPr>
        <w:tabs>
          <w:tab w:val="left" w:pos="8789"/>
        </w:tabs>
        <w:spacing w:line="276" w:lineRule="auto"/>
        <w:ind w:right="-234" w:firstLine="1701"/>
        <w:jc w:val="both"/>
        <w:rPr>
          <w:rFonts w:ascii="Arial" w:hAnsi="Arial" w:cs="Arial"/>
          <w:sz w:val="22"/>
          <w:szCs w:val="22"/>
          <w:lang w:eastAsia="es-CL"/>
        </w:rPr>
      </w:pPr>
    </w:p>
    <w:p w:rsidR="00122B84" w:rsidRPr="00122B84" w:rsidRDefault="00122B84" w:rsidP="00CB1C8E">
      <w:pPr>
        <w:tabs>
          <w:tab w:val="left" w:pos="8789"/>
        </w:tabs>
        <w:spacing w:line="276" w:lineRule="auto"/>
        <w:ind w:right="-234" w:firstLine="1701"/>
        <w:jc w:val="both"/>
        <w:rPr>
          <w:rFonts w:ascii="Arial" w:hAnsi="Arial" w:cs="Arial"/>
          <w:sz w:val="22"/>
          <w:szCs w:val="22"/>
          <w:lang w:eastAsia="es-CL"/>
        </w:rPr>
      </w:pPr>
      <w:r w:rsidRPr="00122B84">
        <w:rPr>
          <w:rFonts w:ascii="Arial" w:hAnsi="Arial" w:cs="Arial"/>
          <w:sz w:val="22"/>
          <w:szCs w:val="22"/>
          <w:lang w:eastAsia="es-CL"/>
        </w:rPr>
        <w:t>Este bono se pagará por la entidad empleadora al personal antes referido, que se encuentre en servicio a la fecha de su pago.</w:t>
      </w:r>
    </w:p>
    <w:p w:rsidR="00122B84" w:rsidRPr="00122B84" w:rsidRDefault="00122B84" w:rsidP="00CB1C8E">
      <w:pPr>
        <w:tabs>
          <w:tab w:val="left" w:pos="8789"/>
        </w:tabs>
        <w:spacing w:line="276" w:lineRule="auto"/>
        <w:ind w:right="-234" w:firstLine="1701"/>
        <w:jc w:val="both"/>
        <w:rPr>
          <w:rFonts w:ascii="Arial" w:hAnsi="Arial" w:cs="Arial"/>
          <w:sz w:val="22"/>
          <w:szCs w:val="22"/>
          <w:lang w:eastAsia="es-CL"/>
        </w:rPr>
      </w:pPr>
    </w:p>
    <w:p w:rsidR="00122B84" w:rsidRPr="00122B84" w:rsidRDefault="00122B84" w:rsidP="00CB1C8E">
      <w:pPr>
        <w:tabs>
          <w:tab w:val="left" w:pos="8789"/>
        </w:tabs>
        <w:spacing w:line="276" w:lineRule="auto"/>
        <w:ind w:right="-234" w:firstLine="1701"/>
        <w:jc w:val="both"/>
        <w:rPr>
          <w:rFonts w:ascii="Arial" w:hAnsi="Arial" w:cs="Arial"/>
          <w:b/>
          <w:sz w:val="22"/>
          <w:szCs w:val="22"/>
          <w:lang w:eastAsia="es-CL"/>
        </w:rPr>
      </w:pPr>
      <w:r w:rsidRPr="00122B84">
        <w:rPr>
          <w:rFonts w:ascii="Arial" w:hAnsi="Arial" w:cs="Arial"/>
          <w:b/>
          <w:sz w:val="22"/>
          <w:szCs w:val="22"/>
          <w:lang w:eastAsia="es-CL"/>
        </w:rPr>
        <w:t>Artículo transitorio</w:t>
      </w:r>
    </w:p>
    <w:p w:rsidR="00122B84" w:rsidRPr="00122B84" w:rsidRDefault="00122B84" w:rsidP="00CB1C8E">
      <w:pPr>
        <w:tabs>
          <w:tab w:val="left" w:pos="8789"/>
        </w:tabs>
        <w:spacing w:line="276" w:lineRule="auto"/>
        <w:ind w:right="-234" w:firstLine="1701"/>
        <w:jc w:val="both"/>
        <w:rPr>
          <w:rFonts w:ascii="Arial" w:hAnsi="Arial" w:cs="Arial"/>
          <w:sz w:val="22"/>
          <w:szCs w:val="22"/>
          <w:lang w:eastAsia="es-CL"/>
        </w:rPr>
      </w:pPr>
      <w:r w:rsidRPr="00122B84">
        <w:rPr>
          <w:rFonts w:ascii="Arial" w:hAnsi="Arial" w:cs="Arial"/>
          <w:sz w:val="22"/>
          <w:szCs w:val="22"/>
          <w:lang w:eastAsia="es-CL"/>
        </w:rPr>
        <w:t>Finalmente, el artículo transitorio establece la norma de imputación del mayor gasto fiscal que irrogue la presente iniciativa legal.</w:t>
      </w:r>
    </w:p>
    <w:p w:rsidR="00122B84" w:rsidRDefault="00122B84" w:rsidP="00CB1C8E">
      <w:pPr>
        <w:spacing w:line="276" w:lineRule="auto"/>
        <w:ind w:right="-234" w:firstLine="1701"/>
        <w:jc w:val="both"/>
        <w:rPr>
          <w:rFonts w:ascii="Arial" w:eastAsia="Calibri" w:hAnsi="Arial" w:cs="Arial"/>
          <w:b/>
          <w:bCs/>
          <w:sz w:val="22"/>
          <w:szCs w:val="22"/>
          <w:lang w:val="es-ES_tradnl" w:eastAsia="en-US"/>
        </w:rPr>
      </w:pPr>
    </w:p>
    <w:p w:rsidR="006803F9" w:rsidRPr="006803F9" w:rsidRDefault="0019298E" w:rsidP="00CB1C8E">
      <w:pPr>
        <w:spacing w:line="276" w:lineRule="auto"/>
        <w:ind w:right="-234"/>
        <w:jc w:val="both"/>
        <w:rPr>
          <w:rFonts w:ascii="Arial" w:eastAsia="Calibri" w:hAnsi="Arial" w:cs="Arial"/>
          <w:b/>
          <w:bCs/>
          <w:sz w:val="22"/>
          <w:szCs w:val="22"/>
          <w:lang w:val="es-ES_tradnl" w:eastAsia="en-US"/>
        </w:rPr>
      </w:pPr>
      <w:r>
        <w:rPr>
          <w:rFonts w:ascii="Arial" w:eastAsia="Calibri" w:hAnsi="Arial" w:cs="Arial"/>
          <w:b/>
          <w:bCs/>
          <w:sz w:val="22"/>
          <w:szCs w:val="22"/>
          <w:lang w:val="es-ES_tradnl" w:eastAsia="en-US"/>
        </w:rPr>
        <w:t>III.-</w:t>
      </w:r>
      <w:r w:rsidR="006803F9" w:rsidRPr="006803F9">
        <w:rPr>
          <w:rFonts w:ascii="Arial" w:eastAsia="Calibri" w:hAnsi="Arial" w:cs="Arial"/>
          <w:b/>
          <w:bCs/>
          <w:sz w:val="22"/>
          <w:szCs w:val="22"/>
          <w:lang w:val="es-ES_tradnl" w:eastAsia="en-US"/>
        </w:rPr>
        <w:t xml:space="preserve"> INCIDENCIA FINANCIERA O PRESUPUESTARIA DEL ESTADO:</w:t>
      </w:r>
    </w:p>
    <w:p w:rsidR="006803F9" w:rsidRDefault="006803F9" w:rsidP="00CB1C8E">
      <w:pPr>
        <w:spacing w:line="276" w:lineRule="auto"/>
        <w:ind w:right="-234" w:firstLine="1701"/>
        <w:jc w:val="both"/>
        <w:rPr>
          <w:rFonts w:ascii="Arial" w:eastAsia="Calibri" w:hAnsi="Arial" w:cs="Arial"/>
          <w:b/>
          <w:bCs/>
          <w:sz w:val="22"/>
          <w:szCs w:val="22"/>
          <w:lang w:val="es-ES_tradnl" w:eastAsia="en-US"/>
        </w:rPr>
      </w:pPr>
    </w:p>
    <w:p w:rsidR="00CB1C8E" w:rsidRPr="00B15760" w:rsidRDefault="00CB1C8E" w:rsidP="00CB1C8E">
      <w:pPr>
        <w:pStyle w:val="Textoindependiente"/>
        <w:spacing w:after="240" w:line="276" w:lineRule="auto"/>
        <w:ind w:right="707" w:firstLine="1701"/>
        <w:jc w:val="both"/>
        <w:rPr>
          <w:b/>
          <w:szCs w:val="22"/>
          <w:lang w:eastAsia="es-CL"/>
        </w:rPr>
      </w:pPr>
      <w:r w:rsidRPr="00B15760">
        <w:rPr>
          <w:b/>
          <w:szCs w:val="22"/>
          <w:lang w:eastAsia="es-CL"/>
        </w:rPr>
        <w:t>Efecto del proyecto de ley sobre el Presupuesto Fiscal</w:t>
      </w:r>
    </w:p>
    <w:p w:rsidR="00CB1C8E" w:rsidRPr="00B15760" w:rsidRDefault="00CB1C8E" w:rsidP="00CB1C8E">
      <w:pPr>
        <w:pStyle w:val="Textoindependiente"/>
        <w:tabs>
          <w:tab w:val="left" w:pos="567"/>
        </w:tabs>
        <w:spacing w:before="360" w:after="240" w:line="276" w:lineRule="auto"/>
        <w:ind w:right="-234" w:firstLine="1701"/>
        <w:jc w:val="both"/>
        <w:rPr>
          <w:szCs w:val="22"/>
          <w:lang w:val="es-MX"/>
        </w:rPr>
      </w:pPr>
      <w:r>
        <w:rPr>
          <w:szCs w:val="22"/>
          <w:lang w:val="es-MX"/>
        </w:rPr>
        <w:t>El informe financiero N° 104 de 16 de agosto de 2021 emitido por la Dirección de Presupuestos indica que de</w:t>
      </w:r>
      <w:r w:rsidRPr="00B15760">
        <w:rPr>
          <w:szCs w:val="22"/>
          <w:lang w:val="es-MX"/>
        </w:rPr>
        <w:t xml:space="preserve"> acuerdo </w:t>
      </w:r>
      <w:r>
        <w:rPr>
          <w:szCs w:val="22"/>
          <w:lang w:val="es-MX"/>
        </w:rPr>
        <w:t>con</w:t>
      </w:r>
      <w:r w:rsidRPr="00B15760">
        <w:rPr>
          <w:szCs w:val="22"/>
          <w:lang w:val="es-MX"/>
        </w:rPr>
        <w:t xml:space="preserve"> la información proporcionada por la Subsecretaría de Educación Parvularia y la Dirección de Educación Pública, los directores, educadores de párvulos y los asistentes de la educación, que se desempeñan en los establecimientos de educación parvularia financiados por la Junta Nacional de Jardines Infantiles vía transferencia de fondos y que fueron traspasados a los Servicios Locales de Educación Pública y no recibieron los beneficios establecidos en la ley 21.306, serían en total </w:t>
      </w:r>
      <w:r w:rsidRPr="006D3345">
        <w:rPr>
          <w:b/>
          <w:szCs w:val="22"/>
          <w:lang w:val="es-MX"/>
        </w:rPr>
        <w:t>2.006 trabajadores</w:t>
      </w:r>
      <w:r w:rsidRPr="00B15760">
        <w:rPr>
          <w:szCs w:val="22"/>
          <w:lang w:val="es-MX"/>
        </w:rPr>
        <w:t>, quienes conforman el universo de beneficiarios del presente proyecto de ley.</w:t>
      </w:r>
    </w:p>
    <w:p w:rsidR="00CB1C8E" w:rsidRPr="00B15760" w:rsidRDefault="00CB1C8E" w:rsidP="00CB1C8E">
      <w:pPr>
        <w:pStyle w:val="Textoindependiente"/>
        <w:tabs>
          <w:tab w:val="left" w:pos="567"/>
        </w:tabs>
        <w:spacing w:before="360" w:after="240" w:line="276" w:lineRule="auto"/>
        <w:ind w:right="-234" w:firstLine="1701"/>
        <w:jc w:val="both"/>
        <w:rPr>
          <w:szCs w:val="22"/>
          <w:lang w:val="es-MX"/>
        </w:rPr>
      </w:pPr>
      <w:r w:rsidRPr="00B15760">
        <w:rPr>
          <w:szCs w:val="22"/>
          <w:lang w:val="es-MX"/>
        </w:rPr>
        <w:t>En esa línea, el costo fiscal del proyecto de ley viene dado por</w:t>
      </w:r>
      <w:r w:rsidRPr="00B15760">
        <w:rPr>
          <w:szCs w:val="22"/>
        </w:rPr>
        <w:t xml:space="preserve"> </w:t>
      </w:r>
      <w:r w:rsidRPr="00B15760">
        <w:rPr>
          <w:szCs w:val="22"/>
          <w:lang w:val="es-MX"/>
        </w:rPr>
        <w:t>el reajuste establecido en los incisos primero y décimo del artículo 1° de la ley N° 21.306, el Aguinaldo de Fiestas Patrias establecido en</w:t>
      </w:r>
      <w:r w:rsidRPr="00B15760">
        <w:rPr>
          <w:szCs w:val="22"/>
        </w:rPr>
        <w:t xml:space="preserve"> </w:t>
      </w:r>
      <w:r w:rsidRPr="00B15760">
        <w:rPr>
          <w:szCs w:val="22"/>
          <w:lang w:val="es-MX"/>
        </w:rPr>
        <w:t>el artículo 8° de la ley N° 21.306, el Bono Rentas Mínimas establecido en el artículo 67 de la ley N° 21.306 y el Bono Compensatorio.</w:t>
      </w:r>
    </w:p>
    <w:p w:rsidR="00CB1C8E" w:rsidRDefault="00CB1C8E" w:rsidP="00CB1C8E">
      <w:pPr>
        <w:pStyle w:val="Textoindependiente"/>
        <w:tabs>
          <w:tab w:val="left" w:pos="567"/>
        </w:tabs>
        <w:spacing w:before="360" w:after="240" w:line="276" w:lineRule="auto"/>
        <w:ind w:right="-234" w:firstLine="1701"/>
        <w:jc w:val="both"/>
        <w:rPr>
          <w:szCs w:val="22"/>
          <w:lang w:val="es-MX"/>
        </w:rPr>
      </w:pPr>
      <w:r w:rsidRPr="00B15760">
        <w:rPr>
          <w:szCs w:val="22"/>
          <w:lang w:val="es-MX"/>
        </w:rPr>
        <w:t>En el caso del reajuste, éste será de 0,8% a los trabajadores con jornada completa cuyas remuneraciones brutas a noviembre de 2020 sean superiores a $2.000.000 y de 2,7% para remuneraciones brutas iguales o inferiores.</w:t>
      </w:r>
    </w:p>
    <w:p w:rsidR="00CB1C8E" w:rsidRDefault="00CB1C8E" w:rsidP="00CB1C8E">
      <w:pPr>
        <w:pStyle w:val="Textoindependiente"/>
        <w:tabs>
          <w:tab w:val="left" w:pos="567"/>
        </w:tabs>
        <w:spacing w:before="360" w:after="240" w:line="276" w:lineRule="auto"/>
        <w:ind w:right="-234" w:firstLine="1701"/>
        <w:jc w:val="both"/>
        <w:rPr>
          <w:szCs w:val="22"/>
          <w:lang w:val="es-MX"/>
        </w:rPr>
      </w:pPr>
      <w:r w:rsidRPr="00B15760">
        <w:rPr>
          <w:szCs w:val="22"/>
          <w:lang w:val="es-MX"/>
        </w:rPr>
        <w:t xml:space="preserve"> En el caso del Aguinaldo de Fiestas Patrias, el monto será de $76.528 para los trabajadores cuya remuneración líquida sea igual o inferior a $794.149, y de $53.124 para las remuneraciones superiores. </w:t>
      </w:r>
    </w:p>
    <w:p w:rsidR="00CB1C8E" w:rsidRDefault="00CB1C8E" w:rsidP="00CB1C8E">
      <w:pPr>
        <w:pStyle w:val="Textoindependiente"/>
        <w:tabs>
          <w:tab w:val="left" w:pos="567"/>
        </w:tabs>
        <w:spacing w:before="360" w:after="240" w:line="276" w:lineRule="auto"/>
        <w:ind w:right="-234" w:firstLine="1701"/>
        <w:jc w:val="both"/>
        <w:rPr>
          <w:szCs w:val="22"/>
          <w:lang w:val="es-MX"/>
        </w:rPr>
      </w:pPr>
      <w:r w:rsidRPr="00B15760">
        <w:rPr>
          <w:szCs w:val="22"/>
          <w:lang w:val="es-MX"/>
        </w:rPr>
        <w:t xml:space="preserve">En el caso del Bono Rentas Mínimas, el bono se entregará para remuneraciones brutas inferiores a $545.000, el aporte será de $45.000 mensuales </w:t>
      </w:r>
      <w:r w:rsidRPr="00B15760">
        <w:rPr>
          <w:szCs w:val="22"/>
          <w:lang w:val="es-CL"/>
        </w:rPr>
        <w:t xml:space="preserve">para quienes su remuneración bruta sea igual o inferior a $482.000, en tanto, para las remuneraciones brutas superiores a $482.000 e inferiores a $545.000, el monto del bono será la cantidad que resulte de restar </w:t>
      </w:r>
      <w:r w:rsidRPr="00B15760">
        <w:rPr>
          <w:szCs w:val="22"/>
          <w:lang w:val="es-MX"/>
        </w:rPr>
        <w:t xml:space="preserve">$45.000 </w:t>
      </w:r>
      <w:r w:rsidRPr="00B15760">
        <w:rPr>
          <w:szCs w:val="22"/>
          <w:lang w:val="es-CL"/>
        </w:rPr>
        <w:t xml:space="preserve">con el 71,428% de la diferencia entre la remuneración bruta mensual y $482.000. </w:t>
      </w:r>
      <w:r w:rsidRPr="00B15760">
        <w:rPr>
          <w:szCs w:val="22"/>
          <w:lang w:val="es-MX"/>
        </w:rPr>
        <w:t>Finalmente, el Bono Compensatorio será equivalente a un monto de $400.000. Con todo, el costo fiscal será:</w:t>
      </w:r>
    </w:p>
    <w:p w:rsidR="00CB1C8E" w:rsidRPr="00E22621" w:rsidRDefault="00CB1C8E" w:rsidP="00CB1C8E">
      <w:pPr>
        <w:pStyle w:val="Textoindependiente"/>
        <w:tabs>
          <w:tab w:val="left" w:pos="567"/>
        </w:tabs>
        <w:spacing w:before="360" w:line="276" w:lineRule="auto"/>
        <w:jc w:val="center"/>
        <w:rPr>
          <w:rFonts w:ascii="Verdana" w:hAnsi="Verdana"/>
          <w:i/>
          <w:iCs/>
          <w:sz w:val="20"/>
          <w:szCs w:val="20"/>
          <w:lang w:val="es-MX"/>
        </w:rPr>
      </w:pPr>
      <w:r w:rsidRPr="00E22621">
        <w:rPr>
          <w:rFonts w:ascii="Verdana" w:hAnsi="Verdana"/>
          <w:i/>
          <w:iCs/>
          <w:sz w:val="20"/>
          <w:szCs w:val="20"/>
          <w:lang w:val="es-MX"/>
        </w:rPr>
        <w:t>Tabla I: Costo fiscal en miles de pesos 2021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524"/>
        <w:gridCol w:w="1559"/>
        <w:gridCol w:w="1984"/>
      </w:tblGrid>
      <w:tr w:rsidR="00CB1C8E" w:rsidRPr="004D0990" w:rsidTr="0018239E">
        <w:trPr>
          <w:trHeight w:val="218"/>
          <w:jc w:val="center"/>
        </w:trPr>
        <w:tc>
          <w:tcPr>
            <w:tcW w:w="5524" w:type="dxa"/>
            <w:shd w:val="clear" w:color="auto" w:fill="auto"/>
            <w:hideMark/>
          </w:tcPr>
          <w:p w:rsidR="00CB1C8E" w:rsidRPr="00C13C71" w:rsidRDefault="00CB1C8E" w:rsidP="0018239E">
            <w:pPr>
              <w:jc w:val="center"/>
              <w:textAlignment w:val="bottom"/>
              <w:rPr>
                <w:rFonts w:ascii="Verdana" w:hAnsi="Verdana" w:cs="Arial"/>
                <w:sz w:val="20"/>
                <w:szCs w:val="20"/>
                <w:lang w:val="es-MX"/>
              </w:rPr>
            </w:pPr>
            <w:r w:rsidRPr="00C13C71">
              <w:rPr>
                <w:rFonts w:ascii="Verdana" w:hAnsi="Verdana" w:cs="Arial"/>
                <w:sz w:val="20"/>
                <w:szCs w:val="20"/>
                <w:lang w:val="es-MX"/>
              </w:rPr>
              <w:t>Concepto</w:t>
            </w:r>
          </w:p>
        </w:tc>
        <w:tc>
          <w:tcPr>
            <w:tcW w:w="1559" w:type="dxa"/>
            <w:shd w:val="clear" w:color="auto" w:fill="auto"/>
            <w:hideMark/>
          </w:tcPr>
          <w:p w:rsidR="00CB1C8E" w:rsidRPr="00C13C71" w:rsidRDefault="00CB1C8E" w:rsidP="0018239E">
            <w:pPr>
              <w:jc w:val="center"/>
              <w:textAlignment w:val="center"/>
              <w:rPr>
                <w:rFonts w:ascii="Verdana" w:hAnsi="Verdana" w:cs="Arial"/>
                <w:sz w:val="20"/>
                <w:szCs w:val="20"/>
                <w:lang w:val="es-MX"/>
              </w:rPr>
            </w:pPr>
            <w:r w:rsidRPr="00C13C71">
              <w:rPr>
                <w:rFonts w:ascii="Verdana" w:hAnsi="Verdana" w:cs="Arial"/>
                <w:sz w:val="20"/>
                <w:szCs w:val="20"/>
                <w:lang w:val="es-MX"/>
              </w:rPr>
              <w:t>N° de pagos</w:t>
            </w:r>
            <w:r w:rsidRPr="00C13C71">
              <w:rPr>
                <w:rFonts w:ascii="Verdana" w:hAnsi="Verdana" w:cs="Arial"/>
                <w:sz w:val="20"/>
                <w:szCs w:val="20"/>
                <w:vertAlign w:val="superscript"/>
                <w:lang w:val="es-MX"/>
              </w:rPr>
              <w:t>*</w:t>
            </w:r>
          </w:p>
        </w:tc>
        <w:tc>
          <w:tcPr>
            <w:tcW w:w="1984" w:type="dxa"/>
            <w:shd w:val="clear" w:color="auto" w:fill="auto"/>
            <w:hideMark/>
          </w:tcPr>
          <w:p w:rsidR="00CB1C8E" w:rsidRPr="00C13C71" w:rsidRDefault="00CB1C8E" w:rsidP="0018239E">
            <w:pPr>
              <w:jc w:val="center"/>
              <w:textAlignment w:val="center"/>
              <w:rPr>
                <w:rFonts w:ascii="Verdana" w:hAnsi="Verdana" w:cs="Arial"/>
                <w:sz w:val="20"/>
                <w:szCs w:val="20"/>
                <w:lang w:val="es-MX"/>
              </w:rPr>
            </w:pPr>
            <w:r w:rsidRPr="00C13C71">
              <w:rPr>
                <w:rFonts w:ascii="Verdana" w:hAnsi="Verdana" w:cs="Arial"/>
                <w:sz w:val="20"/>
                <w:szCs w:val="20"/>
                <w:lang w:val="es-MX"/>
              </w:rPr>
              <w:t>Costo Fiscal Total</w:t>
            </w:r>
          </w:p>
        </w:tc>
      </w:tr>
      <w:tr w:rsidR="00CB1C8E" w:rsidRPr="004D0990" w:rsidTr="0018239E">
        <w:trPr>
          <w:trHeight w:val="240"/>
          <w:jc w:val="center"/>
        </w:trPr>
        <w:tc>
          <w:tcPr>
            <w:tcW w:w="5524" w:type="dxa"/>
            <w:shd w:val="clear" w:color="auto" w:fill="auto"/>
            <w:vAlign w:val="center"/>
            <w:hideMark/>
          </w:tcPr>
          <w:p w:rsidR="00CB1C8E" w:rsidRPr="00C13C71" w:rsidRDefault="00CB1C8E" w:rsidP="0018239E">
            <w:pPr>
              <w:textAlignment w:val="bottom"/>
              <w:rPr>
                <w:rFonts w:ascii="Verdana" w:hAnsi="Verdana" w:cs="Arial"/>
                <w:sz w:val="20"/>
                <w:szCs w:val="20"/>
                <w:lang w:val="es-MX"/>
              </w:rPr>
            </w:pPr>
            <w:r w:rsidRPr="00C13C71">
              <w:rPr>
                <w:rFonts w:ascii="Verdana" w:hAnsi="Verdana" w:cs="Arial"/>
                <w:sz w:val="20"/>
                <w:szCs w:val="20"/>
                <w:lang w:val="es-MX"/>
              </w:rPr>
              <w:t>Reajuste</w:t>
            </w:r>
            <w:r w:rsidRPr="00C13C71">
              <w:rPr>
                <w:rFonts w:ascii="Verdana" w:hAnsi="Verdana" w:cs="Arial"/>
                <w:sz w:val="20"/>
                <w:szCs w:val="20"/>
                <w:vertAlign w:val="superscript"/>
                <w:lang w:val="es-MX"/>
              </w:rPr>
              <w:t>**</w:t>
            </w:r>
          </w:p>
        </w:tc>
        <w:tc>
          <w:tcPr>
            <w:tcW w:w="1559" w:type="dxa"/>
            <w:shd w:val="clear" w:color="auto" w:fill="auto"/>
            <w:vAlign w:val="center"/>
            <w:hideMark/>
          </w:tcPr>
          <w:p w:rsidR="00CB1C8E" w:rsidRPr="00C13C71" w:rsidRDefault="00CB1C8E" w:rsidP="0018239E">
            <w:pPr>
              <w:jc w:val="center"/>
              <w:textAlignment w:val="bottom"/>
              <w:rPr>
                <w:rFonts w:ascii="Verdana" w:hAnsi="Verdana" w:cs="Arial"/>
                <w:sz w:val="20"/>
                <w:szCs w:val="20"/>
                <w:lang w:val="es-MX"/>
              </w:rPr>
            </w:pPr>
            <w:r w:rsidRPr="00C13C71">
              <w:rPr>
                <w:rFonts w:ascii="Verdana" w:hAnsi="Verdana" w:cs="Arial"/>
                <w:sz w:val="20"/>
                <w:szCs w:val="20"/>
                <w:lang w:val="es-MX"/>
              </w:rPr>
              <w:t>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1C8E" w:rsidRPr="00C13C71" w:rsidRDefault="00CB1C8E" w:rsidP="0018239E">
            <w:pPr>
              <w:jc w:val="center"/>
              <w:textAlignment w:val="bottom"/>
              <w:rPr>
                <w:rFonts w:ascii="Verdana" w:hAnsi="Verdana" w:cs="Arial"/>
                <w:sz w:val="20"/>
                <w:szCs w:val="20"/>
                <w:lang w:val="es-MX"/>
              </w:rPr>
            </w:pPr>
            <w:r w:rsidRPr="00C13C71">
              <w:rPr>
                <w:rFonts w:ascii="Verdana" w:hAnsi="Verdana" w:cs="Arial"/>
                <w:sz w:val="20"/>
                <w:szCs w:val="20"/>
                <w:lang w:val="es-MX"/>
              </w:rPr>
              <w:t>169.756</w:t>
            </w:r>
          </w:p>
        </w:tc>
      </w:tr>
      <w:tr w:rsidR="00CB1C8E" w:rsidRPr="004D0990" w:rsidTr="0018239E">
        <w:trPr>
          <w:trHeight w:val="218"/>
          <w:jc w:val="center"/>
        </w:trPr>
        <w:tc>
          <w:tcPr>
            <w:tcW w:w="5524" w:type="dxa"/>
            <w:shd w:val="clear" w:color="auto" w:fill="auto"/>
            <w:vAlign w:val="center"/>
            <w:hideMark/>
          </w:tcPr>
          <w:p w:rsidR="00CB1C8E" w:rsidRPr="00C13C71" w:rsidRDefault="00CB1C8E" w:rsidP="0018239E">
            <w:pPr>
              <w:textAlignment w:val="bottom"/>
              <w:rPr>
                <w:rFonts w:ascii="Verdana" w:hAnsi="Verdana" w:cs="Arial"/>
                <w:sz w:val="20"/>
                <w:szCs w:val="20"/>
                <w:lang w:val="es-MX"/>
              </w:rPr>
            </w:pPr>
            <w:r w:rsidRPr="00C13C71">
              <w:rPr>
                <w:rFonts w:ascii="Verdana" w:hAnsi="Verdana" w:cs="Arial"/>
                <w:sz w:val="20"/>
                <w:szCs w:val="20"/>
                <w:lang w:val="es-MX"/>
              </w:rPr>
              <w:t>Aguinaldo Fiestas Patrias</w:t>
            </w:r>
          </w:p>
        </w:tc>
        <w:tc>
          <w:tcPr>
            <w:tcW w:w="1559" w:type="dxa"/>
            <w:shd w:val="clear" w:color="auto" w:fill="auto"/>
            <w:vAlign w:val="center"/>
            <w:hideMark/>
          </w:tcPr>
          <w:p w:rsidR="00CB1C8E" w:rsidRPr="00C13C71" w:rsidRDefault="00CB1C8E" w:rsidP="0018239E">
            <w:pPr>
              <w:jc w:val="center"/>
              <w:textAlignment w:val="bottom"/>
              <w:rPr>
                <w:rFonts w:ascii="Verdana" w:hAnsi="Verdana" w:cs="Arial"/>
                <w:sz w:val="20"/>
                <w:szCs w:val="20"/>
                <w:lang w:val="es-MX"/>
              </w:rPr>
            </w:pPr>
            <w:r w:rsidRPr="00C13C71">
              <w:rPr>
                <w:rFonts w:ascii="Verdana" w:hAnsi="Verdana" w:cs="Arial"/>
                <w:sz w:val="20"/>
                <w:szCs w:val="20"/>
                <w:lang w:val="es-MX"/>
              </w:rPr>
              <w:t>1</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CB1C8E" w:rsidRPr="00C13C71" w:rsidRDefault="00CB1C8E" w:rsidP="0018239E">
            <w:pPr>
              <w:jc w:val="center"/>
              <w:textAlignment w:val="bottom"/>
              <w:rPr>
                <w:rFonts w:ascii="Verdana" w:hAnsi="Verdana" w:cs="Arial"/>
                <w:sz w:val="20"/>
                <w:szCs w:val="20"/>
                <w:lang w:val="es-MX"/>
              </w:rPr>
            </w:pPr>
            <w:r w:rsidRPr="00C13C71">
              <w:rPr>
                <w:rFonts w:ascii="Verdana" w:hAnsi="Verdana" w:cs="Arial"/>
                <w:sz w:val="20"/>
                <w:szCs w:val="20"/>
                <w:lang w:val="es-MX"/>
              </w:rPr>
              <w:t>144.106</w:t>
            </w:r>
          </w:p>
        </w:tc>
      </w:tr>
      <w:tr w:rsidR="00CB1C8E" w:rsidRPr="004D0990" w:rsidTr="0018239E">
        <w:trPr>
          <w:trHeight w:val="240"/>
          <w:jc w:val="center"/>
        </w:trPr>
        <w:tc>
          <w:tcPr>
            <w:tcW w:w="5524" w:type="dxa"/>
            <w:shd w:val="clear" w:color="auto" w:fill="auto"/>
            <w:vAlign w:val="center"/>
            <w:hideMark/>
          </w:tcPr>
          <w:p w:rsidR="00CB1C8E" w:rsidRPr="00C13C71" w:rsidRDefault="00CB1C8E" w:rsidP="0018239E">
            <w:pPr>
              <w:textAlignment w:val="bottom"/>
              <w:rPr>
                <w:rFonts w:ascii="Verdana" w:hAnsi="Verdana" w:cs="Arial"/>
                <w:sz w:val="20"/>
                <w:szCs w:val="20"/>
                <w:lang w:val="es-MX"/>
              </w:rPr>
            </w:pPr>
            <w:r w:rsidRPr="00C13C71">
              <w:rPr>
                <w:rFonts w:ascii="Verdana" w:hAnsi="Verdana" w:cs="Arial"/>
                <w:sz w:val="20"/>
                <w:szCs w:val="20"/>
                <w:lang w:val="es-MX"/>
              </w:rPr>
              <w:t>Bono Rentas Mínimas</w:t>
            </w:r>
            <w:r w:rsidRPr="00C13C71">
              <w:rPr>
                <w:rFonts w:ascii="Verdana" w:hAnsi="Verdana" w:cs="Arial"/>
                <w:sz w:val="20"/>
                <w:szCs w:val="20"/>
                <w:vertAlign w:val="superscript"/>
                <w:lang w:val="es-MX"/>
              </w:rPr>
              <w:t>***</w:t>
            </w:r>
          </w:p>
        </w:tc>
        <w:tc>
          <w:tcPr>
            <w:tcW w:w="1559" w:type="dxa"/>
            <w:shd w:val="clear" w:color="auto" w:fill="auto"/>
            <w:vAlign w:val="center"/>
            <w:hideMark/>
          </w:tcPr>
          <w:p w:rsidR="00CB1C8E" w:rsidRPr="00C13C71" w:rsidRDefault="00CB1C8E" w:rsidP="0018239E">
            <w:pPr>
              <w:jc w:val="center"/>
              <w:textAlignment w:val="bottom"/>
              <w:rPr>
                <w:rFonts w:ascii="Verdana" w:hAnsi="Verdana" w:cs="Arial"/>
                <w:sz w:val="20"/>
                <w:szCs w:val="20"/>
                <w:lang w:val="es-MX"/>
              </w:rPr>
            </w:pPr>
            <w:r w:rsidRPr="00C13C71">
              <w:rPr>
                <w:rFonts w:ascii="Verdana" w:hAnsi="Verdana" w:cs="Arial"/>
                <w:sz w:val="20"/>
                <w:szCs w:val="20"/>
                <w:lang w:val="es-MX"/>
              </w:rPr>
              <w:t>4</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CB1C8E" w:rsidRPr="00C13C71" w:rsidRDefault="00CB1C8E" w:rsidP="0018239E">
            <w:pPr>
              <w:jc w:val="center"/>
              <w:textAlignment w:val="bottom"/>
              <w:rPr>
                <w:rFonts w:ascii="Verdana" w:hAnsi="Verdana" w:cs="Arial"/>
                <w:sz w:val="20"/>
                <w:szCs w:val="20"/>
                <w:lang w:val="es-MX"/>
              </w:rPr>
            </w:pPr>
            <w:r w:rsidRPr="00C13C71">
              <w:rPr>
                <w:rFonts w:ascii="Verdana" w:hAnsi="Verdana" w:cs="Arial"/>
                <w:sz w:val="20"/>
                <w:szCs w:val="20"/>
                <w:lang w:val="es-MX"/>
              </w:rPr>
              <w:t>235.538</w:t>
            </w:r>
          </w:p>
        </w:tc>
      </w:tr>
      <w:tr w:rsidR="00CB1C8E" w:rsidRPr="004D0990" w:rsidTr="0018239E">
        <w:trPr>
          <w:trHeight w:val="218"/>
          <w:jc w:val="center"/>
        </w:trPr>
        <w:tc>
          <w:tcPr>
            <w:tcW w:w="5524" w:type="dxa"/>
            <w:shd w:val="clear" w:color="auto" w:fill="auto"/>
            <w:vAlign w:val="center"/>
            <w:hideMark/>
          </w:tcPr>
          <w:p w:rsidR="00CB1C8E" w:rsidRPr="00C13C71" w:rsidRDefault="00CB1C8E" w:rsidP="0018239E">
            <w:pPr>
              <w:textAlignment w:val="bottom"/>
              <w:rPr>
                <w:rFonts w:ascii="Verdana" w:hAnsi="Verdana" w:cs="Arial"/>
                <w:sz w:val="20"/>
                <w:szCs w:val="20"/>
                <w:lang w:val="es-MX"/>
              </w:rPr>
            </w:pPr>
            <w:r w:rsidRPr="00C13C71">
              <w:rPr>
                <w:rFonts w:ascii="Verdana" w:hAnsi="Verdana" w:cs="Arial"/>
                <w:sz w:val="20"/>
                <w:szCs w:val="20"/>
                <w:lang w:val="es-MX"/>
              </w:rPr>
              <w:t>Bono Compensatorio</w:t>
            </w:r>
            <w:r w:rsidRPr="00C13C71">
              <w:rPr>
                <w:rFonts w:ascii="Verdana" w:hAnsi="Verdana" w:cs="Arial"/>
                <w:sz w:val="20"/>
                <w:szCs w:val="20"/>
                <w:vertAlign w:val="superscript"/>
                <w:lang w:val="es-MX"/>
              </w:rPr>
              <w:t>**</w:t>
            </w:r>
          </w:p>
        </w:tc>
        <w:tc>
          <w:tcPr>
            <w:tcW w:w="1559" w:type="dxa"/>
            <w:shd w:val="clear" w:color="auto" w:fill="auto"/>
            <w:vAlign w:val="center"/>
            <w:hideMark/>
          </w:tcPr>
          <w:p w:rsidR="00CB1C8E" w:rsidRPr="00C13C71" w:rsidRDefault="00CB1C8E" w:rsidP="0018239E">
            <w:pPr>
              <w:jc w:val="center"/>
              <w:textAlignment w:val="bottom"/>
              <w:rPr>
                <w:rFonts w:ascii="Verdana" w:hAnsi="Verdana" w:cs="Arial"/>
                <w:sz w:val="20"/>
                <w:szCs w:val="20"/>
                <w:lang w:val="es-MX"/>
              </w:rPr>
            </w:pPr>
            <w:r w:rsidRPr="00C13C71">
              <w:rPr>
                <w:rFonts w:ascii="Verdana" w:hAnsi="Verdana" w:cs="Arial"/>
                <w:sz w:val="20"/>
                <w:szCs w:val="20"/>
                <w:lang w:val="es-MX"/>
              </w:rPr>
              <w:t>1</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CB1C8E" w:rsidRPr="00C13C71" w:rsidRDefault="00CB1C8E" w:rsidP="0018239E">
            <w:pPr>
              <w:jc w:val="center"/>
              <w:textAlignment w:val="bottom"/>
              <w:rPr>
                <w:rFonts w:ascii="Verdana" w:hAnsi="Verdana" w:cs="Arial"/>
                <w:sz w:val="20"/>
                <w:szCs w:val="20"/>
                <w:lang w:val="es-MX"/>
              </w:rPr>
            </w:pPr>
            <w:r w:rsidRPr="00C13C71">
              <w:rPr>
                <w:rFonts w:ascii="Verdana" w:hAnsi="Verdana" w:cs="Arial"/>
                <w:sz w:val="20"/>
                <w:szCs w:val="20"/>
                <w:lang w:val="es-MX"/>
              </w:rPr>
              <w:t>798.718</w:t>
            </w:r>
          </w:p>
        </w:tc>
      </w:tr>
      <w:tr w:rsidR="00CB1C8E" w:rsidRPr="004D0990" w:rsidTr="0018239E">
        <w:trPr>
          <w:trHeight w:val="218"/>
          <w:jc w:val="center"/>
        </w:trPr>
        <w:tc>
          <w:tcPr>
            <w:tcW w:w="5524" w:type="dxa"/>
            <w:shd w:val="clear" w:color="auto" w:fill="auto"/>
            <w:vAlign w:val="center"/>
            <w:hideMark/>
          </w:tcPr>
          <w:p w:rsidR="00CB1C8E" w:rsidRPr="00C13C71" w:rsidRDefault="00CB1C8E" w:rsidP="0018239E">
            <w:pPr>
              <w:jc w:val="center"/>
              <w:textAlignment w:val="bottom"/>
              <w:rPr>
                <w:rFonts w:ascii="Verdana" w:hAnsi="Verdana" w:cs="Arial"/>
                <w:sz w:val="20"/>
                <w:szCs w:val="20"/>
                <w:lang w:val="es-MX"/>
              </w:rPr>
            </w:pPr>
            <w:r w:rsidRPr="00C13C71">
              <w:rPr>
                <w:rFonts w:ascii="Verdana" w:hAnsi="Verdana" w:cs="Arial"/>
                <w:sz w:val="20"/>
                <w:szCs w:val="20"/>
                <w:lang w:val="es-MX"/>
              </w:rPr>
              <w:t>Total</w:t>
            </w:r>
          </w:p>
        </w:tc>
        <w:tc>
          <w:tcPr>
            <w:tcW w:w="1559" w:type="dxa"/>
            <w:shd w:val="clear" w:color="auto" w:fill="auto"/>
            <w:vAlign w:val="center"/>
            <w:hideMark/>
          </w:tcPr>
          <w:p w:rsidR="00CB1C8E" w:rsidRPr="00C13C71" w:rsidRDefault="00CB1C8E" w:rsidP="0018239E">
            <w:pPr>
              <w:jc w:val="center"/>
              <w:textAlignment w:val="bottom"/>
              <w:rPr>
                <w:rFonts w:ascii="Verdana" w:hAnsi="Verdana" w:cs="Arial"/>
                <w:sz w:val="20"/>
                <w:szCs w:val="20"/>
                <w:lang w:val="es-MX"/>
              </w:rPr>
            </w:pP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CB1C8E" w:rsidRPr="00C13C71" w:rsidRDefault="00CB1C8E" w:rsidP="0018239E">
            <w:pPr>
              <w:jc w:val="center"/>
              <w:textAlignment w:val="bottom"/>
              <w:rPr>
                <w:rFonts w:ascii="Verdana" w:hAnsi="Verdana" w:cs="Arial"/>
                <w:sz w:val="20"/>
                <w:szCs w:val="20"/>
                <w:lang w:val="es-MX"/>
              </w:rPr>
            </w:pPr>
            <w:r w:rsidRPr="00C13C71">
              <w:rPr>
                <w:rFonts w:ascii="Verdana" w:hAnsi="Verdana" w:cs="Arial"/>
                <w:sz w:val="20"/>
                <w:szCs w:val="20"/>
                <w:lang w:val="es-MX"/>
              </w:rPr>
              <w:t>1.348.120</w:t>
            </w:r>
          </w:p>
        </w:tc>
      </w:tr>
    </w:tbl>
    <w:p w:rsidR="00CB1C8E" w:rsidRPr="00B15760" w:rsidRDefault="00CB1C8E" w:rsidP="00CB1C8E">
      <w:pPr>
        <w:pStyle w:val="Textoindependiente"/>
        <w:rPr>
          <w:bCs/>
          <w:iCs/>
          <w:sz w:val="18"/>
          <w:szCs w:val="18"/>
        </w:rPr>
      </w:pPr>
      <w:r w:rsidRPr="00921ADD">
        <w:rPr>
          <w:rFonts w:ascii="Verdana" w:hAnsi="Verdana"/>
          <w:b/>
          <w:i/>
          <w:iCs/>
          <w:sz w:val="14"/>
          <w:szCs w:val="14"/>
          <w:vertAlign w:val="superscript"/>
        </w:rPr>
        <w:t>*</w:t>
      </w:r>
      <w:r w:rsidRPr="00B15760">
        <w:rPr>
          <w:bCs/>
          <w:iCs/>
          <w:sz w:val="18"/>
          <w:szCs w:val="18"/>
        </w:rPr>
        <w:t>En los casos en que existen 4 pagos, corresponden a los meses de septiembre, octubre, noviembre y diciembre de 2021.</w:t>
      </w:r>
    </w:p>
    <w:p w:rsidR="00CB1C8E" w:rsidRPr="00B15760" w:rsidRDefault="00CB1C8E" w:rsidP="00CB1C8E">
      <w:pPr>
        <w:pStyle w:val="Textoindependiente"/>
        <w:jc w:val="both"/>
        <w:rPr>
          <w:b/>
          <w:iCs/>
          <w:sz w:val="18"/>
          <w:szCs w:val="18"/>
          <w:vertAlign w:val="superscript"/>
        </w:rPr>
      </w:pPr>
      <w:r w:rsidRPr="00B15760">
        <w:rPr>
          <w:b/>
          <w:iCs/>
          <w:sz w:val="18"/>
          <w:szCs w:val="18"/>
          <w:vertAlign w:val="superscript"/>
        </w:rPr>
        <w:t>**</w:t>
      </w:r>
      <w:r w:rsidRPr="00B15760">
        <w:rPr>
          <w:bCs/>
          <w:iCs/>
          <w:sz w:val="18"/>
          <w:szCs w:val="18"/>
        </w:rPr>
        <w:t>En el caso de los trabajadores con jornadas inferior a la completa, el cálculo se realiza de forma proporcional.</w:t>
      </w:r>
    </w:p>
    <w:p w:rsidR="00CB1C8E" w:rsidRPr="00B15760" w:rsidRDefault="00CB1C8E" w:rsidP="00CB1C8E">
      <w:pPr>
        <w:pStyle w:val="Textoindependiente"/>
        <w:jc w:val="both"/>
        <w:rPr>
          <w:bCs/>
          <w:iCs/>
          <w:sz w:val="18"/>
          <w:szCs w:val="18"/>
        </w:rPr>
      </w:pPr>
      <w:r w:rsidRPr="00B15760">
        <w:rPr>
          <w:b/>
          <w:iCs/>
          <w:sz w:val="18"/>
          <w:szCs w:val="18"/>
          <w:vertAlign w:val="superscript"/>
        </w:rPr>
        <w:t>***</w:t>
      </w:r>
      <w:r w:rsidRPr="00B15760">
        <w:rPr>
          <w:bCs/>
          <w:iCs/>
          <w:sz w:val="18"/>
          <w:szCs w:val="18"/>
        </w:rPr>
        <w:t>Se utiliza como base de cálculo para la renta bruta, la renta de noviembre de 2020 excluyendo toda asignación o bonificación de carácter no habitual o no permanente respecto a la cual se haya fijado por ley que se excluye del cálculo para otras asignaciones. Es decir, se excluye para la base de cálculo la asignación de reconocimiento por desempeño, la bonificación de excelencia académica, el beneficio del artículo 30 de la ley N° 20.313, la asignación de experiencia, el componente variable del bono de desempeño laboral, y el aumento de remuneración del artículo 7 de la ley N° 19.464.</w:t>
      </w:r>
    </w:p>
    <w:p w:rsidR="00CB1C8E" w:rsidRDefault="00CB1C8E" w:rsidP="00CB1C8E">
      <w:pPr>
        <w:pStyle w:val="Textoindependiente"/>
        <w:jc w:val="both"/>
        <w:rPr>
          <w:rFonts w:ascii="Verdana" w:hAnsi="Verdana"/>
          <w:b/>
          <w:sz w:val="20"/>
          <w:szCs w:val="20"/>
        </w:rPr>
      </w:pPr>
    </w:p>
    <w:p w:rsidR="00CB1C8E" w:rsidRDefault="00CB1C8E" w:rsidP="00CB1C8E">
      <w:pPr>
        <w:pStyle w:val="Textoindependiente"/>
        <w:tabs>
          <w:tab w:val="left" w:pos="8789"/>
        </w:tabs>
        <w:spacing w:line="276" w:lineRule="auto"/>
        <w:ind w:right="565"/>
        <w:jc w:val="both"/>
        <w:rPr>
          <w:b/>
          <w:szCs w:val="22"/>
        </w:rPr>
      </w:pPr>
    </w:p>
    <w:p w:rsidR="00CB1C8E" w:rsidRPr="00B15760" w:rsidRDefault="00CB1C8E" w:rsidP="00CB1C8E">
      <w:pPr>
        <w:pStyle w:val="Textoindependiente"/>
        <w:tabs>
          <w:tab w:val="left" w:pos="8789"/>
        </w:tabs>
        <w:spacing w:line="276" w:lineRule="auto"/>
        <w:ind w:right="-234" w:firstLine="1701"/>
        <w:jc w:val="both"/>
        <w:rPr>
          <w:b/>
          <w:szCs w:val="22"/>
        </w:rPr>
      </w:pPr>
      <w:r w:rsidRPr="00B15760">
        <w:rPr>
          <w:b/>
          <w:szCs w:val="22"/>
        </w:rPr>
        <w:t>De acuerdo con lo anterior, el proyecto de ley comprenderá un mayor costo fiscal de $1.348.120 miles de pesos 2021</w:t>
      </w:r>
      <w:r>
        <w:rPr>
          <w:rStyle w:val="Refdenotaalpie"/>
          <w:b/>
          <w:szCs w:val="22"/>
        </w:rPr>
        <w:footnoteReference w:id="1"/>
      </w:r>
      <w:r w:rsidRPr="00B15760">
        <w:rPr>
          <w:b/>
          <w:szCs w:val="22"/>
        </w:rPr>
        <w:t>.</w:t>
      </w:r>
    </w:p>
    <w:p w:rsidR="00CB1C8E" w:rsidRPr="00B15760" w:rsidRDefault="00CB1C8E" w:rsidP="00CB1C8E">
      <w:pPr>
        <w:pStyle w:val="Textoindependiente"/>
        <w:tabs>
          <w:tab w:val="left" w:pos="8789"/>
        </w:tabs>
        <w:spacing w:line="276" w:lineRule="auto"/>
        <w:ind w:right="-234" w:firstLine="1701"/>
        <w:jc w:val="both"/>
        <w:rPr>
          <w:b/>
          <w:szCs w:val="22"/>
        </w:rPr>
      </w:pPr>
    </w:p>
    <w:p w:rsidR="00CB1C8E" w:rsidRPr="00B15760" w:rsidRDefault="00CB1C8E" w:rsidP="00CB1C8E">
      <w:pPr>
        <w:pStyle w:val="Textoindependiente"/>
        <w:tabs>
          <w:tab w:val="left" w:pos="8789"/>
        </w:tabs>
        <w:spacing w:line="276" w:lineRule="auto"/>
        <w:ind w:right="565" w:firstLine="1701"/>
        <w:rPr>
          <w:b/>
          <w:szCs w:val="22"/>
        </w:rPr>
      </w:pPr>
      <w:r>
        <w:rPr>
          <w:b/>
          <w:szCs w:val="22"/>
        </w:rPr>
        <w:t>Fuente de los recursos</w:t>
      </w:r>
    </w:p>
    <w:p w:rsidR="00CB1C8E" w:rsidRDefault="00CB1C8E" w:rsidP="0019298E">
      <w:pPr>
        <w:pStyle w:val="Textoindependiente"/>
        <w:tabs>
          <w:tab w:val="left" w:pos="8789"/>
        </w:tabs>
        <w:spacing w:line="276" w:lineRule="auto"/>
        <w:ind w:right="-234" w:firstLine="1701"/>
        <w:jc w:val="both"/>
        <w:rPr>
          <w:bCs/>
          <w:szCs w:val="22"/>
        </w:rPr>
      </w:pPr>
      <w:r w:rsidRPr="00B15760">
        <w:rPr>
          <w:bCs/>
          <w:szCs w:val="22"/>
        </w:rPr>
        <w:t>El mayor gasto fiscal que irrogue la aplicación de esta ley durante el primer año presupuestario de su vigencia, se financiará con cargo a la Partida Presupuestaria del Ministerio de Educación.</w:t>
      </w:r>
    </w:p>
    <w:p w:rsidR="0019298E" w:rsidRDefault="0019298E" w:rsidP="0019298E">
      <w:pPr>
        <w:pStyle w:val="Textoindependiente"/>
        <w:tabs>
          <w:tab w:val="left" w:pos="8789"/>
        </w:tabs>
        <w:spacing w:line="276" w:lineRule="auto"/>
        <w:ind w:right="-234" w:firstLine="1701"/>
        <w:jc w:val="both"/>
        <w:rPr>
          <w:bCs/>
          <w:szCs w:val="22"/>
        </w:rPr>
      </w:pPr>
    </w:p>
    <w:p w:rsidR="0019298E" w:rsidRPr="0019298E" w:rsidRDefault="0019298E" w:rsidP="005E1812">
      <w:pPr>
        <w:pStyle w:val="Textoindependiente"/>
        <w:tabs>
          <w:tab w:val="left" w:pos="8789"/>
        </w:tabs>
        <w:spacing w:line="276" w:lineRule="auto"/>
        <w:ind w:right="-234"/>
        <w:jc w:val="both"/>
        <w:rPr>
          <w:b/>
          <w:bCs/>
          <w:szCs w:val="22"/>
        </w:rPr>
      </w:pPr>
      <w:r w:rsidRPr="0019298E">
        <w:rPr>
          <w:b/>
          <w:bCs/>
          <w:szCs w:val="22"/>
        </w:rPr>
        <w:t>IV.-</w:t>
      </w:r>
      <w:r w:rsidR="005E1812">
        <w:rPr>
          <w:b/>
          <w:bCs/>
          <w:szCs w:val="22"/>
        </w:rPr>
        <w:t xml:space="preserve">SÍNTESIS DE LA DISCUSIÓN EN LA COMISIÓN Y </w:t>
      </w:r>
      <w:r w:rsidR="005E1812" w:rsidRPr="0019298E">
        <w:rPr>
          <w:b/>
          <w:bCs/>
          <w:szCs w:val="22"/>
        </w:rPr>
        <w:t>ACUERDOS ADOPTADOS</w:t>
      </w:r>
    </w:p>
    <w:p w:rsidR="0019298E" w:rsidRDefault="0019298E" w:rsidP="00CB1C8E">
      <w:pPr>
        <w:pStyle w:val="Textoindependiente"/>
        <w:tabs>
          <w:tab w:val="left" w:pos="8789"/>
        </w:tabs>
        <w:spacing w:line="276" w:lineRule="auto"/>
        <w:ind w:right="565" w:firstLine="1701"/>
        <w:rPr>
          <w:bCs/>
          <w:szCs w:val="22"/>
        </w:rPr>
      </w:pPr>
    </w:p>
    <w:p w:rsidR="0019298E" w:rsidRPr="0019298E" w:rsidRDefault="0019298E" w:rsidP="0019298E">
      <w:pPr>
        <w:spacing w:line="276" w:lineRule="auto"/>
        <w:ind w:right="-234" w:firstLine="1701"/>
        <w:jc w:val="both"/>
        <w:rPr>
          <w:rFonts w:ascii="Arial" w:eastAsia="Calibri" w:hAnsi="Arial" w:cs="Arial"/>
          <w:sz w:val="22"/>
          <w:szCs w:val="22"/>
          <w:lang w:eastAsia="en-US"/>
        </w:rPr>
      </w:pPr>
      <w:r w:rsidRPr="0019298E">
        <w:rPr>
          <w:rFonts w:ascii="Arial" w:eastAsia="Calibri" w:hAnsi="Arial" w:cs="Arial"/>
          <w:b/>
          <w:sz w:val="22"/>
          <w:szCs w:val="22"/>
          <w:lang w:eastAsia="en-US"/>
        </w:rPr>
        <w:t>La Comisión recibió al ministro de Educación, señor Raúl Figueroa Salas.</w:t>
      </w:r>
      <w:r w:rsidRPr="0019298E">
        <w:rPr>
          <w:rFonts w:ascii="Arial" w:eastAsia="Calibri" w:hAnsi="Arial" w:cs="Arial"/>
          <w:sz w:val="22"/>
          <w:szCs w:val="22"/>
          <w:lang w:eastAsia="en-US"/>
        </w:rPr>
        <w:t xml:space="preserve"> Agradeció a la Comisión la celeridad con que puso este proyecto en tabla, y valoró la disposición a aprobarlo rápidamente, a efectos de que el beneficio llegue prontamente a las funcionarias de la educación parvularia.</w:t>
      </w:r>
    </w:p>
    <w:p w:rsidR="0019298E" w:rsidRDefault="0019298E" w:rsidP="0019298E">
      <w:pPr>
        <w:spacing w:line="276" w:lineRule="auto"/>
        <w:ind w:right="-234" w:firstLine="1701"/>
        <w:jc w:val="both"/>
        <w:rPr>
          <w:rFonts w:ascii="Arial" w:eastAsia="Calibri" w:hAnsi="Arial" w:cs="Arial"/>
          <w:b/>
          <w:sz w:val="22"/>
          <w:szCs w:val="22"/>
          <w:lang w:eastAsia="en-US"/>
        </w:rPr>
      </w:pPr>
    </w:p>
    <w:p w:rsidR="0019298E" w:rsidRPr="0019298E" w:rsidRDefault="0019298E" w:rsidP="0019298E">
      <w:pPr>
        <w:spacing w:line="276" w:lineRule="auto"/>
        <w:ind w:right="-234" w:firstLine="1701"/>
        <w:jc w:val="both"/>
        <w:rPr>
          <w:rFonts w:ascii="Arial" w:eastAsia="Calibri" w:hAnsi="Arial" w:cs="Arial"/>
          <w:sz w:val="22"/>
          <w:szCs w:val="22"/>
          <w:lang w:eastAsia="en-US"/>
        </w:rPr>
      </w:pPr>
      <w:r w:rsidRPr="0019298E">
        <w:rPr>
          <w:rFonts w:ascii="Arial" w:eastAsia="Calibri" w:hAnsi="Arial" w:cs="Arial"/>
          <w:b/>
          <w:sz w:val="22"/>
          <w:szCs w:val="22"/>
          <w:lang w:eastAsia="en-US"/>
        </w:rPr>
        <w:t>El señor Hermann von Gersdorff</w:t>
      </w:r>
      <w:r w:rsidRPr="0019298E">
        <w:rPr>
          <w:rFonts w:ascii="Arial" w:eastAsia="Calibri" w:hAnsi="Arial" w:cs="Arial"/>
          <w:sz w:val="22"/>
          <w:szCs w:val="22"/>
          <w:lang w:eastAsia="en-US"/>
        </w:rPr>
        <w:t xml:space="preserve"> explicó que este proyecto surge a partir de un compromiso suscrito por el Ejecutivo en el contexto de la tramitación de la Ley de Presupuestos. En virtud de un acuerdo alcanzado con las asociaciones, se estableció que se otorgaría un aguinaldo, una bonificación conocida como la de “rentas menores” y un bono especial de carácter compensatorio de $400.000 para todos quienes no recibieron alguno de los beneficios de la Ley de Reajuste del Sector Público. En términos de costos, hay cuatro elementos a considerar: el reajuste cuesta $169 millones por cuatro meses, el aguinaldo $144 millones, el bono de rentas mínimas $235 millones también por 4 meses, y el bono compensatorio, por $799 millones. En suma, el costo fiscal de este proyecto de ley asciende a $1348 millones. </w:t>
      </w:r>
    </w:p>
    <w:p w:rsidR="0019298E" w:rsidRDefault="0019298E" w:rsidP="0019298E">
      <w:pPr>
        <w:spacing w:line="276" w:lineRule="auto"/>
        <w:ind w:right="-234" w:firstLine="1701"/>
        <w:jc w:val="both"/>
        <w:rPr>
          <w:rFonts w:ascii="Arial" w:eastAsia="Calibri" w:hAnsi="Arial" w:cs="Arial"/>
          <w:sz w:val="22"/>
          <w:szCs w:val="22"/>
          <w:lang w:eastAsia="en-US"/>
        </w:rPr>
      </w:pPr>
    </w:p>
    <w:p w:rsidR="0019298E" w:rsidRDefault="0019298E" w:rsidP="0019298E">
      <w:pPr>
        <w:spacing w:line="276" w:lineRule="auto"/>
        <w:ind w:right="-234" w:firstLine="1701"/>
        <w:jc w:val="both"/>
        <w:rPr>
          <w:rFonts w:ascii="Arial" w:eastAsia="Calibri" w:hAnsi="Arial" w:cs="Arial"/>
          <w:sz w:val="22"/>
          <w:szCs w:val="22"/>
          <w:lang w:eastAsia="en-US"/>
        </w:rPr>
      </w:pPr>
      <w:r w:rsidRPr="0019298E">
        <w:rPr>
          <w:rFonts w:ascii="Arial" w:eastAsia="Calibri" w:hAnsi="Arial" w:cs="Arial"/>
          <w:sz w:val="22"/>
          <w:szCs w:val="22"/>
          <w:lang w:eastAsia="en-US"/>
        </w:rPr>
        <w:t>El diputado Lorenzini</w:t>
      </w:r>
      <w:r w:rsidRPr="00044D05">
        <w:rPr>
          <w:rFonts w:ascii="Arial" w:eastAsia="Calibri" w:hAnsi="Arial" w:cs="Arial"/>
          <w:sz w:val="22"/>
          <w:szCs w:val="22"/>
          <w:lang w:eastAsia="en-US"/>
        </w:rPr>
        <w:t xml:space="preserve"> (Presidente</w:t>
      </w:r>
      <w:r>
        <w:rPr>
          <w:rFonts w:ascii="Arial" w:eastAsia="Calibri" w:hAnsi="Arial" w:cs="Arial"/>
          <w:sz w:val="22"/>
          <w:szCs w:val="22"/>
          <w:lang w:eastAsia="en-US"/>
        </w:rPr>
        <w:t>)</w:t>
      </w:r>
      <w:r w:rsidRPr="0019298E">
        <w:rPr>
          <w:rFonts w:ascii="Arial" w:eastAsia="Calibri" w:hAnsi="Arial" w:cs="Arial"/>
          <w:sz w:val="22"/>
          <w:szCs w:val="22"/>
          <w:lang w:eastAsia="en-US"/>
        </w:rPr>
        <w:t xml:space="preserve"> llamó al Ejecutivo a comprometerse a incorporar estos recursos en la próxima Ley de Presupuestos, a efectos de no tener que dictar nuevamente un proyecto de esta misma naturaleza. </w:t>
      </w:r>
    </w:p>
    <w:p w:rsidR="0019298E" w:rsidRDefault="0019298E" w:rsidP="0019298E">
      <w:pPr>
        <w:spacing w:line="276" w:lineRule="auto"/>
        <w:ind w:right="-234" w:firstLine="1701"/>
        <w:jc w:val="both"/>
        <w:rPr>
          <w:rFonts w:ascii="Arial" w:eastAsia="Calibri" w:hAnsi="Arial" w:cs="Arial"/>
          <w:sz w:val="22"/>
          <w:szCs w:val="22"/>
          <w:lang w:eastAsia="en-US"/>
        </w:rPr>
      </w:pPr>
    </w:p>
    <w:p w:rsidR="0019298E" w:rsidRPr="0019298E" w:rsidRDefault="0019298E" w:rsidP="0019298E">
      <w:pPr>
        <w:spacing w:line="276" w:lineRule="auto"/>
        <w:ind w:right="-234" w:firstLine="1701"/>
        <w:jc w:val="both"/>
        <w:rPr>
          <w:rFonts w:ascii="Arial" w:eastAsia="Calibri" w:hAnsi="Arial" w:cs="Arial"/>
          <w:sz w:val="22"/>
          <w:szCs w:val="22"/>
          <w:lang w:eastAsia="en-US"/>
        </w:rPr>
      </w:pPr>
      <w:r w:rsidRPr="0019298E">
        <w:rPr>
          <w:rFonts w:ascii="Arial" w:eastAsia="Calibri" w:hAnsi="Arial" w:cs="Arial"/>
          <w:sz w:val="22"/>
          <w:szCs w:val="22"/>
          <w:lang w:eastAsia="en-US"/>
        </w:rPr>
        <w:t>El señor von Gersdorff señaló que ello no es necesario, en tanto dicha ley tendrá su propio informe financiero, por lo que no es necesario incluir una glosa en la Ley de Presupuestos en la partida del Ministerio de Educación.</w:t>
      </w:r>
    </w:p>
    <w:p w:rsidR="0019298E" w:rsidRPr="0019298E" w:rsidRDefault="0019298E" w:rsidP="0019298E">
      <w:pPr>
        <w:spacing w:line="276" w:lineRule="auto"/>
        <w:ind w:right="-234" w:firstLine="1701"/>
        <w:jc w:val="both"/>
        <w:rPr>
          <w:rFonts w:ascii="Arial" w:eastAsia="Calibri" w:hAnsi="Arial" w:cs="Arial"/>
          <w:sz w:val="22"/>
          <w:szCs w:val="22"/>
          <w:lang w:eastAsia="en-US"/>
        </w:rPr>
      </w:pPr>
    </w:p>
    <w:p w:rsidR="0019298E" w:rsidRPr="0019298E" w:rsidRDefault="0019298E" w:rsidP="0019298E">
      <w:pPr>
        <w:spacing w:line="276" w:lineRule="auto"/>
        <w:ind w:right="-234" w:firstLine="1701"/>
        <w:jc w:val="both"/>
        <w:rPr>
          <w:rFonts w:ascii="Arial" w:eastAsia="Calibri" w:hAnsi="Arial" w:cs="Arial"/>
          <w:sz w:val="22"/>
          <w:szCs w:val="22"/>
          <w:lang w:eastAsia="en-US"/>
        </w:rPr>
      </w:pPr>
      <w:r w:rsidRPr="0019298E">
        <w:rPr>
          <w:rFonts w:ascii="Arial" w:eastAsia="Calibri" w:hAnsi="Arial" w:cs="Arial"/>
          <w:sz w:val="22"/>
          <w:szCs w:val="22"/>
          <w:lang w:eastAsia="en-US"/>
        </w:rPr>
        <w:t xml:space="preserve">Los diputados Díaz y Monsalve instaron al Ejecutivo a explicitar que en la próxima Ley de Reajuste se considerará a las trabajadoras de jardines infantiles vía transferencia de fondos. </w:t>
      </w:r>
    </w:p>
    <w:p w:rsidR="0019298E" w:rsidRPr="0019298E" w:rsidRDefault="0019298E" w:rsidP="0019298E">
      <w:pPr>
        <w:spacing w:line="276" w:lineRule="auto"/>
        <w:ind w:right="-234" w:firstLine="1701"/>
        <w:jc w:val="both"/>
        <w:rPr>
          <w:rFonts w:ascii="Arial" w:eastAsia="Calibri" w:hAnsi="Arial" w:cs="Arial"/>
          <w:sz w:val="22"/>
          <w:szCs w:val="22"/>
          <w:lang w:eastAsia="en-US"/>
        </w:rPr>
      </w:pPr>
    </w:p>
    <w:p w:rsidR="0019298E" w:rsidRPr="0019298E" w:rsidRDefault="0019298E" w:rsidP="0019298E">
      <w:pPr>
        <w:spacing w:line="276" w:lineRule="auto"/>
        <w:ind w:right="-234" w:firstLine="1701"/>
        <w:jc w:val="both"/>
        <w:rPr>
          <w:rFonts w:ascii="Arial" w:eastAsia="Calibri" w:hAnsi="Arial" w:cs="Arial"/>
          <w:sz w:val="22"/>
          <w:szCs w:val="22"/>
          <w:lang w:eastAsia="en-US"/>
        </w:rPr>
      </w:pPr>
      <w:r w:rsidRPr="0019298E">
        <w:rPr>
          <w:rFonts w:ascii="Arial" w:eastAsia="Calibri" w:hAnsi="Arial" w:cs="Arial"/>
          <w:sz w:val="22"/>
          <w:szCs w:val="22"/>
          <w:lang w:eastAsia="en-US"/>
        </w:rPr>
        <w:t xml:space="preserve">El señor von Gersdorff señaló que esta pregunta queda clara en el punto 1 del acuerdo suscrito con las asociaciones gremiales, el Ministerio de Educación y la Dirección de Presupuestos, que señala que todos los beneficiarios tendrán derecho a todas las prestaciones concedidas por la ley de reajuste.  </w:t>
      </w:r>
    </w:p>
    <w:p w:rsidR="0019298E" w:rsidRPr="0019298E" w:rsidRDefault="0019298E" w:rsidP="0019298E">
      <w:pPr>
        <w:spacing w:line="276" w:lineRule="auto"/>
        <w:ind w:right="-234" w:firstLine="1701"/>
        <w:jc w:val="both"/>
        <w:rPr>
          <w:rFonts w:ascii="Arial" w:eastAsia="Calibri" w:hAnsi="Arial" w:cs="Arial"/>
          <w:sz w:val="22"/>
          <w:szCs w:val="22"/>
          <w:lang w:eastAsia="en-US"/>
        </w:rPr>
      </w:pPr>
    </w:p>
    <w:p w:rsidR="0019298E" w:rsidRPr="0019298E" w:rsidRDefault="0019298E" w:rsidP="0019298E">
      <w:pPr>
        <w:spacing w:line="276" w:lineRule="auto"/>
        <w:ind w:right="-234" w:firstLine="1701"/>
        <w:jc w:val="both"/>
        <w:rPr>
          <w:rFonts w:ascii="Arial" w:eastAsia="Calibri" w:hAnsi="Arial" w:cs="Arial"/>
          <w:sz w:val="22"/>
          <w:szCs w:val="22"/>
          <w:lang w:eastAsia="en-US"/>
        </w:rPr>
      </w:pPr>
      <w:r w:rsidRPr="0019298E">
        <w:rPr>
          <w:rFonts w:ascii="Arial" w:eastAsia="Calibri" w:hAnsi="Arial" w:cs="Arial"/>
          <w:sz w:val="22"/>
          <w:szCs w:val="22"/>
          <w:lang w:eastAsia="en-US"/>
        </w:rPr>
        <w:t>El diputado Núñez fue enfático en señalar que este compromiso debe materializarse en la próxima Ley de Reajuste del Sector Público.</w:t>
      </w:r>
    </w:p>
    <w:p w:rsidR="0019298E" w:rsidRPr="00044D05" w:rsidRDefault="0019298E" w:rsidP="0019298E">
      <w:pPr>
        <w:spacing w:line="276" w:lineRule="auto"/>
        <w:ind w:right="-234" w:firstLine="1701"/>
        <w:jc w:val="both"/>
        <w:rPr>
          <w:rFonts w:ascii="Arial" w:eastAsia="Calibri" w:hAnsi="Arial" w:cs="Arial"/>
          <w:sz w:val="22"/>
          <w:szCs w:val="22"/>
          <w:lang w:eastAsia="en-US"/>
        </w:rPr>
      </w:pPr>
    </w:p>
    <w:p w:rsidR="0019298E" w:rsidRPr="0019298E" w:rsidRDefault="0019298E" w:rsidP="0019298E">
      <w:pPr>
        <w:spacing w:line="276" w:lineRule="auto"/>
        <w:ind w:right="-234" w:firstLine="1701"/>
        <w:jc w:val="both"/>
        <w:rPr>
          <w:rFonts w:ascii="Arial" w:eastAsia="Calibri" w:hAnsi="Arial" w:cs="Arial"/>
          <w:sz w:val="22"/>
          <w:szCs w:val="22"/>
          <w:lang w:eastAsia="en-US"/>
        </w:rPr>
      </w:pPr>
      <w:r w:rsidRPr="0019298E">
        <w:rPr>
          <w:rFonts w:ascii="Arial" w:eastAsia="Calibri" w:hAnsi="Arial" w:cs="Arial"/>
          <w:sz w:val="22"/>
          <w:szCs w:val="22"/>
          <w:lang w:eastAsia="en-US"/>
        </w:rPr>
        <w:t>El ministro Figueroa clarificó que este tema se aborda y se resuelve año a año en la Ley de Reajuste y no en la Ley de Presupuestos. Independientemente del cuerpo normativo en que se haga, ratificó el compromiso del Ejecutivo de incluir a las trabajadoras de jardines vía transferencia de fondos.</w:t>
      </w:r>
    </w:p>
    <w:p w:rsidR="0019298E" w:rsidRPr="0019298E" w:rsidRDefault="0019298E" w:rsidP="0019298E">
      <w:pPr>
        <w:spacing w:line="276" w:lineRule="auto"/>
        <w:ind w:right="-234" w:firstLine="1701"/>
        <w:jc w:val="both"/>
        <w:rPr>
          <w:rFonts w:ascii="Arial" w:eastAsia="Calibri" w:hAnsi="Arial" w:cs="Arial"/>
          <w:sz w:val="22"/>
          <w:szCs w:val="22"/>
          <w:lang w:eastAsia="en-US"/>
        </w:rPr>
      </w:pPr>
    </w:p>
    <w:p w:rsidR="0019298E" w:rsidRPr="0019298E" w:rsidRDefault="0019298E" w:rsidP="0019298E">
      <w:pPr>
        <w:spacing w:line="276" w:lineRule="auto"/>
        <w:ind w:right="-234" w:firstLine="1701"/>
        <w:jc w:val="both"/>
        <w:rPr>
          <w:rFonts w:ascii="Arial" w:eastAsia="Calibri" w:hAnsi="Arial" w:cs="Arial"/>
          <w:sz w:val="22"/>
          <w:szCs w:val="22"/>
          <w:lang w:eastAsia="en-US"/>
        </w:rPr>
      </w:pPr>
      <w:r w:rsidRPr="0019298E">
        <w:rPr>
          <w:rFonts w:ascii="Arial" w:eastAsia="Calibri" w:hAnsi="Arial" w:cs="Arial"/>
          <w:sz w:val="22"/>
          <w:szCs w:val="22"/>
          <w:lang w:eastAsia="en-US"/>
        </w:rPr>
        <w:t>Concluido el debate, se procedió a la votación de las normas sometidas a la competencia de la Comisión de Hacienda.</w:t>
      </w:r>
    </w:p>
    <w:p w:rsidR="0019298E" w:rsidRPr="0019298E" w:rsidRDefault="0019298E" w:rsidP="0019298E">
      <w:pPr>
        <w:spacing w:line="276" w:lineRule="auto"/>
        <w:ind w:right="-234" w:firstLine="1701"/>
        <w:jc w:val="both"/>
        <w:rPr>
          <w:rFonts w:ascii="Arial" w:eastAsia="Calibri" w:hAnsi="Arial" w:cs="Arial"/>
          <w:sz w:val="22"/>
          <w:szCs w:val="22"/>
          <w:lang w:eastAsia="en-US"/>
        </w:rPr>
      </w:pPr>
    </w:p>
    <w:p w:rsidR="0019298E" w:rsidRPr="0019298E" w:rsidRDefault="0019298E" w:rsidP="0019298E">
      <w:pPr>
        <w:spacing w:line="276" w:lineRule="auto"/>
        <w:ind w:right="-234" w:firstLine="1701"/>
        <w:jc w:val="both"/>
        <w:rPr>
          <w:rFonts w:ascii="Arial" w:eastAsia="Calibri" w:hAnsi="Arial" w:cs="Arial"/>
          <w:b/>
          <w:sz w:val="22"/>
          <w:szCs w:val="22"/>
          <w:lang w:eastAsia="en-US"/>
        </w:rPr>
      </w:pPr>
      <w:r w:rsidRPr="0019298E">
        <w:rPr>
          <w:rFonts w:ascii="Arial" w:eastAsia="Calibri" w:hAnsi="Arial" w:cs="Arial"/>
          <w:b/>
          <w:sz w:val="22"/>
          <w:szCs w:val="22"/>
          <w:lang w:eastAsia="en-US"/>
        </w:rPr>
        <w:t xml:space="preserve"> </w:t>
      </w:r>
      <w:r w:rsidRPr="0019298E">
        <w:rPr>
          <w:rFonts w:ascii="Arial" w:eastAsia="Calibri" w:hAnsi="Arial" w:cs="Arial"/>
          <w:b/>
          <w:sz w:val="22"/>
          <w:szCs w:val="22"/>
          <w:lang w:eastAsia="en-US"/>
        </w:rPr>
        <w:t>VOTACIÓN</w:t>
      </w:r>
    </w:p>
    <w:p w:rsidR="0019298E" w:rsidRPr="0019298E" w:rsidRDefault="0019298E" w:rsidP="0019298E">
      <w:pPr>
        <w:spacing w:line="276" w:lineRule="auto"/>
        <w:ind w:right="-234" w:firstLine="1701"/>
        <w:jc w:val="both"/>
        <w:rPr>
          <w:rFonts w:ascii="Arial" w:eastAsia="Calibri" w:hAnsi="Arial" w:cs="Arial"/>
          <w:sz w:val="22"/>
          <w:szCs w:val="22"/>
          <w:lang w:eastAsia="en-US"/>
        </w:rPr>
      </w:pPr>
      <w:r w:rsidRPr="0019298E">
        <w:rPr>
          <w:rFonts w:ascii="Arial" w:eastAsia="Calibri" w:hAnsi="Arial" w:cs="Arial"/>
          <w:sz w:val="22"/>
          <w:szCs w:val="22"/>
          <w:lang w:eastAsia="en-US"/>
        </w:rPr>
        <w:t xml:space="preserve"> </w:t>
      </w:r>
      <w:r>
        <w:rPr>
          <w:rFonts w:ascii="Arial" w:eastAsia="Calibri" w:hAnsi="Arial" w:cs="Arial"/>
          <w:sz w:val="22"/>
          <w:szCs w:val="22"/>
          <w:lang w:eastAsia="en-US"/>
        </w:rPr>
        <w:t>“</w:t>
      </w:r>
      <w:r w:rsidRPr="0019298E">
        <w:rPr>
          <w:rFonts w:ascii="Arial" w:eastAsia="Calibri" w:hAnsi="Arial" w:cs="Arial"/>
          <w:sz w:val="22"/>
          <w:szCs w:val="22"/>
          <w:lang w:eastAsia="en-US"/>
        </w:rPr>
        <w:t>Artículo 1.- Otórgase, a contar de la fecha de publicación de la presente ley, el reajuste establecido en los incisos primero y décimo del artículo 1 de la ley N° 21.306, según corresponda, a las remuneraciones, asignaciones, beneficios y demás retribuciones en dinero, imponibles para salud y pensiones, o no imponibles, de los directores, educadores de párvulos y los asistentes de la educación, que se desempeñan en los establecimientos de educación parvularia financiados por la Junta Nacional de Jardines Infantiles vía transferencia de fondos traspasados a los servicios locales de educación pública. Dicho reajuste será de cargo de su entidad empleadora.</w:t>
      </w:r>
    </w:p>
    <w:p w:rsidR="0019298E" w:rsidRPr="0019298E" w:rsidRDefault="0019298E" w:rsidP="0019298E">
      <w:pPr>
        <w:spacing w:line="276" w:lineRule="auto"/>
        <w:ind w:right="-234" w:firstLine="1701"/>
        <w:jc w:val="both"/>
        <w:rPr>
          <w:rFonts w:ascii="Arial" w:eastAsia="Calibri" w:hAnsi="Arial" w:cs="Arial"/>
          <w:sz w:val="22"/>
          <w:szCs w:val="22"/>
          <w:lang w:eastAsia="en-US"/>
        </w:rPr>
      </w:pPr>
      <w:r w:rsidRPr="0019298E">
        <w:rPr>
          <w:rFonts w:ascii="Arial" w:eastAsia="Calibri" w:hAnsi="Arial" w:cs="Arial"/>
          <w:sz w:val="22"/>
          <w:szCs w:val="22"/>
          <w:lang w:eastAsia="en-US"/>
        </w:rPr>
        <w:t xml:space="preserve">   Las remuneraciones adicionales a que se refiere el inciso anterior, establecidas en porcentajes de los sueldos no se reajustarán directamente, pero se calcularán sobre éstos, reajustados cuando corresponda en conformidad con lo establecido en este artículo, a contar de la fecha de publicación de la presente ley.</w:t>
      </w:r>
    </w:p>
    <w:p w:rsidR="0019298E" w:rsidRPr="0019298E" w:rsidRDefault="0019298E" w:rsidP="0019298E">
      <w:pPr>
        <w:spacing w:line="276" w:lineRule="auto"/>
        <w:ind w:right="-234" w:firstLine="1701"/>
        <w:jc w:val="both"/>
        <w:rPr>
          <w:rFonts w:ascii="Arial" w:eastAsia="Calibri" w:hAnsi="Arial" w:cs="Arial"/>
          <w:sz w:val="22"/>
          <w:szCs w:val="22"/>
          <w:lang w:eastAsia="en-US"/>
        </w:rPr>
      </w:pPr>
      <w:r w:rsidRPr="0019298E">
        <w:rPr>
          <w:rFonts w:ascii="Arial" w:eastAsia="Calibri" w:hAnsi="Arial" w:cs="Arial"/>
          <w:sz w:val="22"/>
          <w:szCs w:val="22"/>
          <w:lang w:eastAsia="en-US"/>
        </w:rPr>
        <w:t xml:space="preserve">   El reajuste establecido en este artículo no será aplicable al personal indicado en el inciso primero, en los casos en que se les haya otorgado el mismo porcentaje de reajuste y en la misma oportunidad que aquel establecido en el artículo 1 de la ley N° 21.306, por sus respectivos empleadores. En el caso que se les haya otorgado un reajuste inferior al establecido en este artículo, tendrán derecho a la diferencia, a contar de la fecha de publicación de la presente ley.</w:t>
      </w:r>
    </w:p>
    <w:p w:rsidR="0019298E" w:rsidRPr="0019298E" w:rsidRDefault="0019298E" w:rsidP="0019298E">
      <w:pPr>
        <w:spacing w:line="276" w:lineRule="auto"/>
        <w:ind w:right="-234" w:firstLine="1701"/>
        <w:jc w:val="both"/>
        <w:rPr>
          <w:rFonts w:ascii="Arial" w:eastAsia="Calibri" w:hAnsi="Arial" w:cs="Arial"/>
          <w:sz w:val="22"/>
          <w:szCs w:val="22"/>
          <w:lang w:eastAsia="en-US"/>
        </w:rPr>
      </w:pPr>
    </w:p>
    <w:p w:rsidR="0019298E" w:rsidRPr="0019298E" w:rsidRDefault="0019298E" w:rsidP="0019298E">
      <w:pPr>
        <w:spacing w:line="276" w:lineRule="auto"/>
        <w:ind w:right="-234" w:firstLine="1701"/>
        <w:jc w:val="both"/>
        <w:rPr>
          <w:rFonts w:ascii="Arial" w:eastAsia="Calibri" w:hAnsi="Arial" w:cs="Arial"/>
          <w:sz w:val="22"/>
          <w:szCs w:val="22"/>
          <w:lang w:eastAsia="en-US"/>
        </w:rPr>
      </w:pPr>
      <w:r w:rsidRPr="0019298E">
        <w:rPr>
          <w:rFonts w:ascii="Arial" w:eastAsia="Calibri" w:hAnsi="Arial" w:cs="Arial"/>
          <w:sz w:val="22"/>
          <w:szCs w:val="22"/>
          <w:lang w:eastAsia="en-US"/>
        </w:rPr>
        <w:t xml:space="preserve">   Artículo 2.- Concédese, por una sola vez, el aguinaldo de Fiestas Patrias del año 2021, en los mismos términos y montos establecidos en el artículo 8 de la ley N° 21.306, a los directores, educadores de párvulos y los asistentes de la educación, que se desempeñan en los establecimientos de educación parvularia financiados por la Junta Nacional de Jardines Infantiles vía transferencia de fondos traspasados a los servicios locales de educación pública. El pago del aguinaldo se efectuará por el respectivo empleador. A dicho aguinaldo también le será aplicable lo dispuesto en los artículos 9° , 10 , 11 , 12  y 19  de la ley N° 21.306, según corresponda.</w:t>
      </w:r>
    </w:p>
    <w:p w:rsidR="0019298E" w:rsidRPr="0019298E" w:rsidRDefault="0019298E" w:rsidP="0019298E">
      <w:pPr>
        <w:spacing w:line="276" w:lineRule="auto"/>
        <w:ind w:right="-234" w:firstLine="1701"/>
        <w:jc w:val="both"/>
        <w:rPr>
          <w:rFonts w:ascii="Arial" w:eastAsia="Calibri" w:hAnsi="Arial" w:cs="Arial"/>
          <w:sz w:val="22"/>
          <w:szCs w:val="22"/>
          <w:lang w:eastAsia="en-US"/>
        </w:rPr>
      </w:pPr>
      <w:r w:rsidRPr="0019298E">
        <w:rPr>
          <w:rFonts w:ascii="Arial" w:eastAsia="Calibri" w:hAnsi="Arial" w:cs="Arial"/>
          <w:sz w:val="22"/>
          <w:szCs w:val="22"/>
          <w:lang w:eastAsia="en-US"/>
        </w:rPr>
        <w:t xml:space="preserve">   El aguinaldo establecido en este artículo será de cargo de la propia entidad empleadora. El Ministro de Hacienda dispondrá la entrega a los servicios locales de educación pública de las cantidades necesarias para pagarlos, si no pueden financiarlos en todo o en parte con sus recursos propios, siempre que dichos recursos le sean requeridos, como máximo, dentro de los dos meses posteriores al del pago del beneficio.</w:t>
      </w:r>
    </w:p>
    <w:p w:rsidR="0019298E" w:rsidRPr="0019298E" w:rsidRDefault="0019298E" w:rsidP="0019298E">
      <w:pPr>
        <w:spacing w:line="276" w:lineRule="auto"/>
        <w:ind w:right="-234" w:firstLine="1701"/>
        <w:jc w:val="both"/>
        <w:rPr>
          <w:rFonts w:ascii="Arial" w:eastAsia="Calibri" w:hAnsi="Arial" w:cs="Arial"/>
          <w:sz w:val="22"/>
          <w:szCs w:val="22"/>
          <w:lang w:eastAsia="en-US"/>
        </w:rPr>
      </w:pPr>
    </w:p>
    <w:p w:rsidR="0019298E" w:rsidRPr="0019298E" w:rsidRDefault="0019298E" w:rsidP="0019298E">
      <w:pPr>
        <w:spacing w:line="276" w:lineRule="auto"/>
        <w:ind w:right="-234" w:firstLine="1701"/>
        <w:jc w:val="both"/>
        <w:rPr>
          <w:rFonts w:ascii="Arial" w:eastAsia="Calibri" w:hAnsi="Arial" w:cs="Arial"/>
          <w:sz w:val="22"/>
          <w:szCs w:val="22"/>
          <w:lang w:eastAsia="en-US"/>
        </w:rPr>
      </w:pPr>
      <w:r w:rsidRPr="0019298E">
        <w:rPr>
          <w:rFonts w:ascii="Arial" w:eastAsia="Calibri" w:hAnsi="Arial" w:cs="Arial"/>
          <w:sz w:val="22"/>
          <w:szCs w:val="22"/>
          <w:lang w:eastAsia="en-US"/>
        </w:rPr>
        <w:t xml:space="preserve">   Artículo 3.- Otórgase, a contar del día 1 del mes siguiente a la publicación de la presente ley y hasta el 31 de diciembre de 2021, el bono mensual, de cargo fiscal, establecido en el artículo 67 de la ley N° 21.306, en los mismos términos que dicha disposición indica, a los directores, educadores de párvulos y los asistentes de la educación, que se desempeñan en los establecimientos de educación parvularia financiados por la Junta Nacional de Jardines Infantiles vía transferencia de fondos traspasados a los servicios locales de educación pública.</w:t>
      </w:r>
    </w:p>
    <w:p w:rsidR="0019298E" w:rsidRPr="0019298E" w:rsidRDefault="0019298E" w:rsidP="0019298E">
      <w:pPr>
        <w:spacing w:line="276" w:lineRule="auto"/>
        <w:ind w:right="-234" w:firstLine="1701"/>
        <w:jc w:val="both"/>
        <w:rPr>
          <w:rFonts w:ascii="Arial" w:eastAsia="Calibri" w:hAnsi="Arial" w:cs="Arial"/>
          <w:sz w:val="22"/>
          <w:szCs w:val="22"/>
          <w:lang w:eastAsia="en-US"/>
        </w:rPr>
      </w:pPr>
      <w:r w:rsidRPr="0019298E">
        <w:rPr>
          <w:rFonts w:ascii="Arial" w:eastAsia="Calibri" w:hAnsi="Arial" w:cs="Arial"/>
          <w:sz w:val="22"/>
          <w:szCs w:val="22"/>
          <w:lang w:eastAsia="en-US"/>
        </w:rPr>
        <w:t xml:space="preserve">   El bono establecido en este artículo no será aplicable al personal indicado en el inciso primero, en los casos en que se les haya otorgado en las mismas condiciones establecidas en el artículo 67 de la ley N° 21.306.</w:t>
      </w:r>
    </w:p>
    <w:p w:rsidR="0019298E" w:rsidRPr="0019298E" w:rsidRDefault="0019298E" w:rsidP="0019298E">
      <w:pPr>
        <w:spacing w:line="276" w:lineRule="auto"/>
        <w:ind w:right="-234" w:firstLine="1701"/>
        <w:jc w:val="both"/>
        <w:rPr>
          <w:rFonts w:ascii="Arial" w:eastAsia="Calibri" w:hAnsi="Arial" w:cs="Arial"/>
          <w:sz w:val="22"/>
          <w:szCs w:val="22"/>
          <w:lang w:eastAsia="en-US"/>
        </w:rPr>
      </w:pPr>
    </w:p>
    <w:p w:rsidR="0019298E" w:rsidRPr="0019298E" w:rsidRDefault="0019298E" w:rsidP="0019298E">
      <w:pPr>
        <w:spacing w:line="276" w:lineRule="auto"/>
        <w:ind w:right="-234" w:firstLine="1701"/>
        <w:jc w:val="both"/>
        <w:rPr>
          <w:rFonts w:ascii="Arial" w:eastAsia="Calibri" w:hAnsi="Arial" w:cs="Arial"/>
          <w:sz w:val="22"/>
          <w:szCs w:val="22"/>
          <w:lang w:eastAsia="en-US"/>
        </w:rPr>
      </w:pPr>
      <w:r w:rsidRPr="0019298E">
        <w:rPr>
          <w:rFonts w:ascii="Arial" w:eastAsia="Calibri" w:hAnsi="Arial" w:cs="Arial"/>
          <w:sz w:val="22"/>
          <w:szCs w:val="22"/>
          <w:lang w:eastAsia="en-US"/>
        </w:rPr>
        <w:t xml:space="preserve">   Artículo 4°.- Concédese, por una sola vez, un bono compensatorio, de cargo fiscal, a los directores, educadores de párvulos y los asistentes de la educación, que se desempeñan en los establecimientos de educación parvularia financiados por la Junta Nacional de Jardines Infantiles vía transferencia de fondos traspasados a los servicios locales de educación pública. Este bono ascenderá a $400.000.- (cuatrocientos mil pesos) para quienes desempeñen un cargo de una jornada ordinaria de trabajo de cuarenta y cuatro o cuarenta y cinco horas semanales. El personal que se desempeñe en jornadas inferiores a la antes señaladas, percibirá el bono compensatorio en forma proporcional, de acuerdo con las horas establecidas en sus respectivos contratos de trabajo.</w:t>
      </w:r>
    </w:p>
    <w:p w:rsidR="0019298E" w:rsidRPr="0019298E" w:rsidRDefault="0019298E" w:rsidP="0019298E">
      <w:pPr>
        <w:spacing w:line="276" w:lineRule="auto"/>
        <w:ind w:right="-234" w:firstLine="1701"/>
        <w:jc w:val="both"/>
        <w:rPr>
          <w:rFonts w:ascii="Arial" w:eastAsia="Calibri" w:hAnsi="Arial" w:cs="Arial"/>
          <w:sz w:val="22"/>
          <w:szCs w:val="22"/>
          <w:lang w:eastAsia="en-US"/>
        </w:rPr>
      </w:pPr>
      <w:r w:rsidRPr="0019298E">
        <w:rPr>
          <w:rFonts w:ascii="Arial" w:eastAsia="Calibri" w:hAnsi="Arial" w:cs="Arial"/>
          <w:sz w:val="22"/>
          <w:szCs w:val="22"/>
          <w:lang w:eastAsia="en-US"/>
        </w:rPr>
        <w:t xml:space="preserve">   Este bono no será imponible, ni tributable y no constituirá renta para ningún efecto legal, y será pagado por la entidad empleadora, al personal señalado en el inciso anterior en servicio a la fecha de su pago. Se tendrá derecho a sólo un bono y se pagará dentro de los treinta días hábiles siguientes a la publicación de la presente ley. </w:t>
      </w:r>
    </w:p>
    <w:p w:rsidR="0019298E" w:rsidRPr="0019298E" w:rsidRDefault="0019298E" w:rsidP="0019298E">
      <w:pPr>
        <w:spacing w:line="276" w:lineRule="auto"/>
        <w:ind w:right="-234" w:firstLine="1701"/>
        <w:jc w:val="both"/>
        <w:rPr>
          <w:rFonts w:ascii="Arial" w:eastAsia="Calibri" w:hAnsi="Arial" w:cs="Arial"/>
          <w:sz w:val="22"/>
          <w:szCs w:val="22"/>
          <w:lang w:eastAsia="en-US"/>
        </w:rPr>
      </w:pPr>
      <w:r w:rsidRPr="0019298E">
        <w:rPr>
          <w:rFonts w:ascii="Arial" w:eastAsia="Calibri" w:hAnsi="Arial" w:cs="Arial"/>
          <w:sz w:val="22"/>
          <w:szCs w:val="22"/>
          <w:lang w:eastAsia="en-US"/>
        </w:rPr>
        <w:t xml:space="preserve">   En los casos, en que el empleador hubiese otorgado al personal señalado en el inciso primero todos los beneficios establecidos en los artículos 1° , 2°, 8° , 13 , 14  y 25  de la ley N° 21.306, en las mismas condiciones que establece aquella, no tendrá derecho al bono compensatorio.</w:t>
      </w:r>
    </w:p>
    <w:p w:rsidR="0019298E" w:rsidRPr="0019298E" w:rsidRDefault="0019298E" w:rsidP="0019298E">
      <w:pPr>
        <w:spacing w:line="276" w:lineRule="auto"/>
        <w:ind w:right="-234" w:firstLine="1701"/>
        <w:jc w:val="both"/>
        <w:rPr>
          <w:rFonts w:ascii="Arial" w:eastAsia="Calibri" w:hAnsi="Arial" w:cs="Arial"/>
          <w:sz w:val="22"/>
          <w:szCs w:val="22"/>
          <w:lang w:eastAsia="en-US"/>
        </w:rPr>
      </w:pPr>
    </w:p>
    <w:p w:rsidR="0019298E" w:rsidRPr="0019298E" w:rsidRDefault="0019298E" w:rsidP="0019298E">
      <w:pPr>
        <w:spacing w:line="276" w:lineRule="auto"/>
        <w:ind w:right="-234" w:firstLine="1701"/>
        <w:jc w:val="both"/>
        <w:rPr>
          <w:rFonts w:ascii="Arial" w:eastAsia="Calibri" w:hAnsi="Arial" w:cs="Arial"/>
          <w:sz w:val="22"/>
          <w:szCs w:val="22"/>
          <w:lang w:eastAsia="en-US"/>
        </w:rPr>
      </w:pPr>
      <w:r w:rsidRPr="0019298E">
        <w:rPr>
          <w:rFonts w:ascii="Arial" w:eastAsia="Calibri" w:hAnsi="Arial" w:cs="Arial"/>
          <w:sz w:val="22"/>
          <w:szCs w:val="22"/>
          <w:lang w:eastAsia="en-US"/>
        </w:rPr>
        <w:t>Artículo transitorio.- El mayor gasto fiscal que irrogue la aplicación de esta ley durante el primer año presupuestario de su vigencia, se financiará con cargo a la Partida Presupuestaria del Ministerio de Educación</w:t>
      </w:r>
      <w:r>
        <w:rPr>
          <w:rFonts w:ascii="Arial" w:eastAsia="Calibri" w:hAnsi="Arial" w:cs="Arial"/>
          <w:sz w:val="22"/>
          <w:szCs w:val="22"/>
          <w:lang w:eastAsia="en-US"/>
        </w:rPr>
        <w:t>”</w:t>
      </w:r>
      <w:r w:rsidRPr="0019298E">
        <w:rPr>
          <w:rFonts w:ascii="Arial" w:eastAsia="Calibri" w:hAnsi="Arial" w:cs="Arial"/>
          <w:sz w:val="22"/>
          <w:szCs w:val="22"/>
          <w:lang w:eastAsia="en-US"/>
        </w:rPr>
        <w:t>.</w:t>
      </w:r>
    </w:p>
    <w:p w:rsidR="0019298E" w:rsidRPr="0019298E" w:rsidRDefault="0019298E" w:rsidP="0019298E">
      <w:pPr>
        <w:spacing w:line="276" w:lineRule="auto"/>
        <w:ind w:right="-234" w:firstLine="1701"/>
        <w:jc w:val="both"/>
        <w:rPr>
          <w:rFonts w:ascii="Arial" w:eastAsia="Calibri" w:hAnsi="Arial" w:cs="Arial"/>
          <w:sz w:val="22"/>
          <w:szCs w:val="22"/>
          <w:lang w:eastAsia="en-US"/>
        </w:rPr>
      </w:pPr>
    </w:p>
    <w:p w:rsidR="0019298E" w:rsidRPr="0019298E" w:rsidRDefault="0019298E" w:rsidP="0019298E">
      <w:pPr>
        <w:spacing w:line="276" w:lineRule="auto"/>
        <w:ind w:right="-234" w:firstLine="1701"/>
        <w:jc w:val="both"/>
        <w:rPr>
          <w:rFonts w:ascii="Arial" w:eastAsia="Calibri" w:hAnsi="Arial" w:cs="Arial"/>
          <w:sz w:val="22"/>
          <w:szCs w:val="22"/>
          <w:lang w:eastAsia="en-US"/>
        </w:rPr>
      </w:pPr>
      <w:r w:rsidRPr="0019298E">
        <w:rPr>
          <w:rFonts w:ascii="Arial" w:eastAsia="Calibri" w:hAnsi="Arial" w:cs="Arial"/>
          <w:sz w:val="22"/>
          <w:szCs w:val="22"/>
          <w:lang w:eastAsia="en-US"/>
        </w:rPr>
        <w:t>Puestas en votación estas disposiciones, resultaron aprobadas por la unanimidad de los doce diputados(a) presentes, señores(a) Cid, Díaz, Hernández, Lorenzini (Presidente), Mellado, don Cosme, Mellado, don Miguel, Monsalve, Núñez, Ortiz, Rey, Schilling y Von Mühlenbrock.</w:t>
      </w:r>
    </w:p>
    <w:p w:rsidR="0019298E" w:rsidRPr="00B15760" w:rsidRDefault="0019298E" w:rsidP="0019298E">
      <w:pPr>
        <w:pStyle w:val="Textoindependiente"/>
        <w:tabs>
          <w:tab w:val="left" w:pos="8789"/>
        </w:tabs>
        <w:spacing w:line="276" w:lineRule="auto"/>
        <w:ind w:right="-234" w:firstLine="1701"/>
        <w:rPr>
          <w:bCs/>
          <w:szCs w:val="22"/>
        </w:rPr>
      </w:pPr>
    </w:p>
    <w:bookmarkEnd w:id="15"/>
    <w:bookmarkEnd w:id="16"/>
    <w:bookmarkEnd w:id="17"/>
    <w:p w:rsidR="00096D45" w:rsidRPr="00096D45" w:rsidRDefault="002E498A" w:rsidP="00CB1C8E">
      <w:pPr>
        <w:tabs>
          <w:tab w:val="left" w:pos="1427"/>
        </w:tabs>
        <w:spacing w:after="160" w:line="276" w:lineRule="auto"/>
        <w:ind w:right="-234"/>
        <w:jc w:val="center"/>
        <w:rPr>
          <w:rFonts w:ascii="Arial" w:eastAsia="Calibri" w:hAnsi="Arial" w:cs="Arial"/>
          <w:sz w:val="22"/>
          <w:szCs w:val="20"/>
          <w:lang w:eastAsia="en-US"/>
        </w:rPr>
      </w:pPr>
      <w:r>
        <w:rPr>
          <w:rFonts w:ascii="Arial" w:eastAsia="Calibri" w:hAnsi="Arial" w:cs="Arial"/>
          <w:sz w:val="22"/>
          <w:szCs w:val="20"/>
          <w:lang w:eastAsia="en-US"/>
        </w:rPr>
        <w:t>*******</w:t>
      </w:r>
    </w:p>
    <w:p w:rsidR="00096D45" w:rsidRDefault="00096D45" w:rsidP="00CB1C8E">
      <w:pPr>
        <w:spacing w:after="160" w:line="276" w:lineRule="auto"/>
        <w:ind w:right="-234" w:firstLine="1701"/>
        <w:jc w:val="both"/>
        <w:rPr>
          <w:rFonts w:ascii="Arial" w:eastAsia="Calibri" w:hAnsi="Arial" w:cs="Arial"/>
          <w:sz w:val="22"/>
          <w:szCs w:val="22"/>
          <w:lang w:val="es-CL" w:eastAsia="es-CL"/>
        </w:rPr>
      </w:pPr>
    </w:p>
    <w:p w:rsidR="00251CF8" w:rsidRDefault="00251CF8" w:rsidP="00CB1C8E">
      <w:pPr>
        <w:spacing w:after="160" w:line="276" w:lineRule="auto"/>
        <w:ind w:right="-234" w:firstLine="1701"/>
        <w:jc w:val="both"/>
        <w:rPr>
          <w:rFonts w:ascii="Arial" w:eastAsia="Calibri" w:hAnsi="Arial" w:cs="Arial"/>
          <w:sz w:val="22"/>
          <w:szCs w:val="22"/>
          <w:lang w:val="es-CL" w:eastAsia="es-CL"/>
        </w:rPr>
      </w:pPr>
      <w:r>
        <w:rPr>
          <w:rFonts w:ascii="Arial" w:eastAsia="Calibri" w:hAnsi="Arial" w:cs="Arial"/>
          <w:sz w:val="22"/>
          <w:szCs w:val="22"/>
          <w:lang w:val="es-CL" w:eastAsia="es-CL"/>
        </w:rPr>
        <w:t>En consecuencia, la Comisión de Hacienda recomienda aprobar los artículos sometidos a su conocimiento en la forma explicada.</w:t>
      </w:r>
    </w:p>
    <w:p w:rsidR="00251CF8" w:rsidRDefault="00251CF8" w:rsidP="00CB1C8E">
      <w:pPr>
        <w:spacing w:after="160" w:line="276" w:lineRule="auto"/>
        <w:ind w:right="-234" w:firstLine="1701"/>
        <w:jc w:val="both"/>
        <w:rPr>
          <w:rFonts w:ascii="Arial" w:eastAsia="Calibri" w:hAnsi="Arial" w:cs="Arial"/>
          <w:sz w:val="22"/>
          <w:szCs w:val="22"/>
          <w:lang w:val="es-CL" w:eastAsia="es-CL"/>
        </w:rPr>
      </w:pPr>
    </w:p>
    <w:p w:rsidR="00251CF8" w:rsidRDefault="00251CF8" w:rsidP="00CB1C8E">
      <w:pPr>
        <w:spacing w:after="160" w:line="276" w:lineRule="auto"/>
        <w:ind w:right="-234"/>
        <w:jc w:val="center"/>
        <w:rPr>
          <w:rFonts w:ascii="Arial" w:eastAsia="Calibri" w:hAnsi="Arial" w:cs="Arial"/>
          <w:sz w:val="22"/>
          <w:szCs w:val="22"/>
          <w:lang w:val="es-CL" w:eastAsia="es-CL"/>
        </w:rPr>
      </w:pPr>
      <w:r>
        <w:rPr>
          <w:rFonts w:ascii="Arial" w:eastAsia="Calibri" w:hAnsi="Arial" w:cs="Arial"/>
          <w:sz w:val="22"/>
          <w:szCs w:val="22"/>
          <w:lang w:val="es-CL" w:eastAsia="es-CL"/>
        </w:rPr>
        <w:t>*********</w:t>
      </w:r>
    </w:p>
    <w:p w:rsidR="0019298E" w:rsidRPr="0019298E" w:rsidRDefault="00F746CE" w:rsidP="0019298E">
      <w:pPr>
        <w:spacing w:line="276" w:lineRule="auto"/>
        <w:ind w:firstLine="1701"/>
        <w:jc w:val="both"/>
        <w:rPr>
          <w:rFonts w:ascii="Arial" w:hAnsi="Arial" w:cs="Arial"/>
          <w:sz w:val="22"/>
          <w:szCs w:val="22"/>
          <w:lang w:val="es-ES_tradnl"/>
        </w:rPr>
      </w:pPr>
      <w:r w:rsidRPr="00ED6A02">
        <w:rPr>
          <w:rFonts w:ascii="Arial" w:eastAsia="Calibri" w:hAnsi="Arial" w:cs="Arial"/>
          <w:sz w:val="22"/>
          <w:szCs w:val="22"/>
          <w:lang w:val="es-CL" w:eastAsia="es-CL"/>
        </w:rPr>
        <w:t xml:space="preserve">Tratado y acordado, según consta en </w:t>
      </w:r>
      <w:r w:rsidR="002D083B" w:rsidRPr="00ED6A02">
        <w:rPr>
          <w:rFonts w:ascii="Arial" w:eastAsia="Calibri" w:hAnsi="Arial" w:cs="Arial"/>
          <w:sz w:val="22"/>
          <w:szCs w:val="22"/>
          <w:lang w:val="es-CL" w:eastAsia="es-CL"/>
        </w:rPr>
        <w:t>e</w:t>
      </w:r>
      <w:r w:rsidRPr="00ED6A02">
        <w:rPr>
          <w:rFonts w:ascii="Arial" w:eastAsia="Calibri" w:hAnsi="Arial" w:cs="Arial"/>
          <w:sz w:val="22"/>
          <w:szCs w:val="22"/>
          <w:lang w:val="es-CL" w:eastAsia="es-CL"/>
        </w:rPr>
        <w:t xml:space="preserve">l acta correspondiente a la </w:t>
      </w:r>
      <w:r w:rsidR="002D083B" w:rsidRPr="00ED6A02">
        <w:rPr>
          <w:rFonts w:ascii="Arial" w:eastAsia="Calibri" w:hAnsi="Arial" w:cs="Arial"/>
          <w:sz w:val="22"/>
          <w:szCs w:val="22"/>
          <w:lang w:val="es-CL" w:eastAsia="es-CL"/>
        </w:rPr>
        <w:t>sesi</w:t>
      </w:r>
      <w:r w:rsidR="00251CF8" w:rsidRPr="00ED6A02">
        <w:rPr>
          <w:rFonts w:ascii="Arial" w:eastAsia="Calibri" w:hAnsi="Arial" w:cs="Arial"/>
          <w:sz w:val="22"/>
          <w:szCs w:val="22"/>
          <w:lang w:val="es-CL" w:eastAsia="es-CL"/>
        </w:rPr>
        <w:t>ón</w:t>
      </w:r>
      <w:r w:rsidRPr="00ED6A02">
        <w:rPr>
          <w:rFonts w:ascii="Arial" w:eastAsia="Calibri" w:hAnsi="Arial" w:cs="Arial"/>
          <w:sz w:val="22"/>
          <w:szCs w:val="22"/>
          <w:lang w:val="es-CL" w:eastAsia="es-CL"/>
        </w:rPr>
        <w:t xml:space="preserve"> </w:t>
      </w:r>
      <w:r w:rsidR="00A0291C" w:rsidRPr="00ED6A02">
        <w:rPr>
          <w:rFonts w:ascii="Arial" w:eastAsia="Calibri" w:hAnsi="Arial" w:cs="Arial"/>
          <w:sz w:val="22"/>
          <w:szCs w:val="22"/>
          <w:lang w:val="es-CL" w:eastAsia="es-CL"/>
        </w:rPr>
        <w:t xml:space="preserve">celebrada </w:t>
      </w:r>
      <w:r w:rsidR="005C05A7">
        <w:rPr>
          <w:rFonts w:ascii="Arial" w:eastAsia="Calibri" w:hAnsi="Arial" w:cs="Arial"/>
          <w:sz w:val="22"/>
          <w:szCs w:val="22"/>
          <w:lang w:val="es-CL" w:eastAsia="es-CL"/>
        </w:rPr>
        <w:t xml:space="preserve">en </w:t>
      </w:r>
      <w:r w:rsidR="00251CF8" w:rsidRPr="00ED6A02">
        <w:rPr>
          <w:rFonts w:ascii="Arial" w:eastAsia="Calibri" w:hAnsi="Arial" w:cs="Arial"/>
          <w:sz w:val="22"/>
          <w:szCs w:val="22"/>
          <w:lang w:val="es-CL" w:eastAsia="es-CL"/>
        </w:rPr>
        <w:t xml:space="preserve">el </w:t>
      </w:r>
      <w:r w:rsidR="005C05A7">
        <w:rPr>
          <w:rFonts w:ascii="Arial" w:eastAsia="Calibri" w:hAnsi="Arial" w:cs="Arial"/>
          <w:sz w:val="22"/>
          <w:szCs w:val="22"/>
          <w:lang w:val="es-CL" w:eastAsia="es-CL"/>
        </w:rPr>
        <w:t>día de hoy</w:t>
      </w:r>
      <w:r w:rsidR="00C769A6" w:rsidRPr="00ED6A02">
        <w:rPr>
          <w:rFonts w:ascii="Arial" w:eastAsia="Calibri" w:hAnsi="Arial" w:cs="Arial"/>
          <w:sz w:val="22"/>
          <w:szCs w:val="22"/>
          <w:lang w:val="es-CL" w:eastAsia="es-CL"/>
        </w:rPr>
        <w:t xml:space="preserve">, </w:t>
      </w:r>
      <w:r w:rsidR="00212FE8" w:rsidRPr="00ED6A02">
        <w:rPr>
          <w:rFonts w:ascii="Arial" w:eastAsia="Calibri" w:hAnsi="Arial" w:cs="Arial"/>
          <w:sz w:val="22"/>
          <w:szCs w:val="22"/>
          <w:lang w:val="es-CL" w:eastAsia="es-CL"/>
        </w:rPr>
        <w:t xml:space="preserve">con </w:t>
      </w:r>
      <w:r w:rsidR="005C05A7" w:rsidRPr="005C05A7">
        <w:rPr>
          <w:rFonts w:ascii="Arial" w:hAnsi="Arial" w:cs="Arial"/>
          <w:sz w:val="22"/>
          <w:szCs w:val="22"/>
          <w:lang w:val="es-ES_tradnl"/>
        </w:rPr>
        <w:t xml:space="preserve">la asistencia presencial o remota, </w:t>
      </w:r>
      <w:r w:rsidR="0019298E" w:rsidRPr="0019298E">
        <w:rPr>
          <w:rFonts w:ascii="Arial" w:hAnsi="Arial" w:cs="Arial"/>
          <w:sz w:val="22"/>
          <w:szCs w:val="22"/>
          <w:lang w:val="es-ES_tradnl"/>
        </w:rPr>
        <w:t xml:space="preserve">Sofía Cid Versalovic, Marcelo Díaz Díaz, Javier Hernández Hernández, Pablo Lorenzini Basso (Presidente), Cosme Mellado Pino, Manuel Monsalve Benavides, Daniel Núñez Arancibia, José Miguel Ortiz Novoa, Guillermo Ramírez Diez, Marcelo Schilling Rodríguez, y Gastón Von Mühlenbrock Zamora. </w:t>
      </w:r>
    </w:p>
    <w:p w:rsidR="0019298E" w:rsidRPr="0019298E" w:rsidRDefault="0019298E" w:rsidP="0019298E">
      <w:pPr>
        <w:spacing w:line="276" w:lineRule="auto"/>
        <w:ind w:firstLine="1701"/>
        <w:jc w:val="both"/>
        <w:rPr>
          <w:rFonts w:ascii="Arial" w:hAnsi="Arial" w:cs="Arial"/>
          <w:sz w:val="22"/>
          <w:szCs w:val="22"/>
          <w:lang w:val="es-ES_tradnl"/>
        </w:rPr>
      </w:pPr>
      <w:r w:rsidRPr="0019298E">
        <w:rPr>
          <w:rFonts w:ascii="Arial" w:hAnsi="Arial" w:cs="Arial"/>
          <w:sz w:val="22"/>
          <w:szCs w:val="22"/>
          <w:lang w:val="es-ES_tradnl"/>
        </w:rPr>
        <w:t>Asimismo, el diputado Leopoldo Pérez Lahsen fue reemplazado por el diputado Miguel Mellado Suazo y el diputado Alejandro Santana Tirachini fue reemplazado  por el diputado Hugo Rey Martínez.</w:t>
      </w:r>
    </w:p>
    <w:p w:rsidR="0019298E" w:rsidRPr="0019298E" w:rsidRDefault="0019298E" w:rsidP="0019298E">
      <w:pPr>
        <w:spacing w:line="276" w:lineRule="auto"/>
        <w:ind w:firstLine="1701"/>
        <w:jc w:val="both"/>
        <w:rPr>
          <w:rFonts w:ascii="Arial" w:hAnsi="Arial" w:cs="Arial"/>
          <w:sz w:val="22"/>
          <w:szCs w:val="22"/>
          <w:lang w:val="es-ES_tradnl"/>
        </w:rPr>
      </w:pPr>
    </w:p>
    <w:p w:rsidR="0019298E" w:rsidRPr="0019298E" w:rsidRDefault="0019298E" w:rsidP="0019298E">
      <w:pPr>
        <w:spacing w:line="276" w:lineRule="auto"/>
        <w:ind w:firstLine="1701"/>
        <w:jc w:val="both"/>
        <w:rPr>
          <w:rFonts w:ascii="Arial" w:hAnsi="Arial" w:cs="Arial"/>
          <w:sz w:val="22"/>
          <w:szCs w:val="22"/>
          <w:lang w:val="es-ES_tradnl"/>
        </w:rPr>
      </w:pPr>
    </w:p>
    <w:p w:rsidR="00185BD9" w:rsidRPr="006A20D4" w:rsidRDefault="00655FE8" w:rsidP="0019298E">
      <w:pPr>
        <w:spacing w:line="276" w:lineRule="auto"/>
        <w:ind w:right="-234"/>
        <w:jc w:val="right"/>
        <w:rPr>
          <w:rFonts w:ascii="Arial" w:eastAsia="Calibri" w:hAnsi="Arial" w:cs="Arial"/>
          <w:sz w:val="22"/>
          <w:szCs w:val="22"/>
          <w:lang w:val="es-CL" w:eastAsia="es-CL"/>
        </w:rPr>
      </w:pPr>
      <w:r w:rsidRPr="006A20D4">
        <w:rPr>
          <w:rFonts w:ascii="Arial" w:eastAsia="Calibri" w:hAnsi="Arial" w:cs="Arial"/>
          <w:sz w:val="22"/>
          <w:szCs w:val="22"/>
          <w:lang w:val="es-CL" w:eastAsia="es-CL"/>
        </w:rPr>
        <w:t xml:space="preserve">Sala de la Comisión, a </w:t>
      </w:r>
      <w:r w:rsidR="00225851">
        <w:rPr>
          <w:rFonts w:ascii="Arial" w:eastAsia="Calibri" w:hAnsi="Arial" w:cs="Arial"/>
          <w:sz w:val="22"/>
          <w:szCs w:val="22"/>
          <w:lang w:val="es-CL" w:eastAsia="es-CL"/>
        </w:rPr>
        <w:t>7 de septiembre de 2021</w:t>
      </w:r>
    </w:p>
    <w:p w:rsidR="00655FE8" w:rsidRPr="006A20D4" w:rsidRDefault="00655FE8" w:rsidP="0019298E">
      <w:pPr>
        <w:tabs>
          <w:tab w:val="left" w:pos="709"/>
        </w:tabs>
        <w:spacing w:line="276" w:lineRule="auto"/>
        <w:ind w:right="-234" w:firstLine="1701"/>
        <w:rPr>
          <w:rFonts w:ascii="Arial" w:eastAsia="Calibri" w:hAnsi="Arial" w:cs="Arial"/>
          <w:sz w:val="22"/>
          <w:szCs w:val="22"/>
          <w:lang w:val="es-CL" w:eastAsia="es-CL"/>
        </w:rPr>
      </w:pPr>
    </w:p>
    <w:p w:rsidR="00B23756" w:rsidRDefault="00B23756" w:rsidP="00CB1C8E">
      <w:pPr>
        <w:tabs>
          <w:tab w:val="left" w:pos="709"/>
        </w:tabs>
        <w:spacing w:line="276" w:lineRule="auto"/>
        <w:ind w:right="-234" w:firstLine="1701"/>
        <w:jc w:val="center"/>
        <w:rPr>
          <w:rFonts w:ascii="Arial" w:eastAsia="Calibri" w:hAnsi="Arial" w:cs="Arial"/>
          <w:sz w:val="22"/>
          <w:szCs w:val="22"/>
          <w:lang w:val="es-CL" w:eastAsia="es-CL"/>
        </w:rPr>
      </w:pPr>
    </w:p>
    <w:p w:rsidR="00A25137" w:rsidRDefault="00A25137" w:rsidP="00CB1C8E">
      <w:pPr>
        <w:tabs>
          <w:tab w:val="left" w:pos="709"/>
        </w:tabs>
        <w:spacing w:line="276" w:lineRule="auto"/>
        <w:ind w:right="-234" w:firstLine="1701"/>
        <w:jc w:val="center"/>
        <w:rPr>
          <w:rFonts w:ascii="Arial" w:eastAsia="Calibri" w:hAnsi="Arial" w:cs="Arial"/>
          <w:sz w:val="22"/>
          <w:szCs w:val="22"/>
          <w:lang w:val="es-CL" w:eastAsia="es-CL"/>
        </w:rPr>
      </w:pPr>
    </w:p>
    <w:p w:rsidR="00A25137" w:rsidRPr="006A20D4" w:rsidRDefault="00A25137" w:rsidP="00CB1C8E">
      <w:pPr>
        <w:tabs>
          <w:tab w:val="left" w:pos="709"/>
        </w:tabs>
        <w:spacing w:line="276" w:lineRule="auto"/>
        <w:ind w:right="-234" w:firstLine="1701"/>
        <w:jc w:val="center"/>
        <w:rPr>
          <w:rFonts w:ascii="Arial" w:eastAsia="Calibri" w:hAnsi="Arial" w:cs="Arial"/>
          <w:sz w:val="22"/>
          <w:szCs w:val="22"/>
          <w:lang w:val="es-CL" w:eastAsia="es-CL"/>
        </w:rPr>
      </w:pPr>
    </w:p>
    <w:p w:rsidR="00B23756" w:rsidRPr="006A20D4" w:rsidRDefault="00B23756" w:rsidP="00CB1C8E">
      <w:pPr>
        <w:tabs>
          <w:tab w:val="left" w:pos="709"/>
        </w:tabs>
        <w:spacing w:line="276" w:lineRule="auto"/>
        <w:ind w:right="-234" w:firstLine="1701"/>
        <w:jc w:val="center"/>
        <w:rPr>
          <w:rFonts w:ascii="Arial" w:eastAsia="Calibri" w:hAnsi="Arial" w:cs="Arial"/>
          <w:sz w:val="22"/>
          <w:szCs w:val="22"/>
          <w:lang w:val="es-CL" w:eastAsia="es-CL"/>
        </w:rPr>
      </w:pPr>
    </w:p>
    <w:p w:rsidR="00655FE8" w:rsidRPr="00A25137" w:rsidRDefault="00655FE8" w:rsidP="00CB1C8E">
      <w:pPr>
        <w:tabs>
          <w:tab w:val="left" w:pos="709"/>
        </w:tabs>
        <w:spacing w:line="276" w:lineRule="auto"/>
        <w:ind w:right="-234" w:firstLine="1701"/>
        <w:jc w:val="center"/>
        <w:rPr>
          <w:rFonts w:ascii="Arial" w:eastAsia="Calibri" w:hAnsi="Arial" w:cs="Arial"/>
          <w:b/>
          <w:sz w:val="22"/>
          <w:szCs w:val="22"/>
          <w:lang w:val="es-CL" w:eastAsia="es-CL"/>
        </w:rPr>
      </w:pPr>
    </w:p>
    <w:p w:rsidR="00185BD9" w:rsidRPr="00A25137" w:rsidRDefault="0021585A" w:rsidP="00CB1C8E">
      <w:pPr>
        <w:tabs>
          <w:tab w:val="left" w:pos="709"/>
        </w:tabs>
        <w:spacing w:line="276" w:lineRule="auto"/>
        <w:ind w:right="-234"/>
        <w:jc w:val="center"/>
        <w:rPr>
          <w:rFonts w:ascii="Arial" w:eastAsia="Calibri" w:hAnsi="Arial" w:cs="Arial"/>
          <w:b/>
          <w:sz w:val="22"/>
          <w:szCs w:val="22"/>
          <w:lang w:val="es-CL" w:eastAsia="es-CL"/>
        </w:rPr>
      </w:pPr>
      <w:r w:rsidRPr="00A25137">
        <w:rPr>
          <w:rFonts w:ascii="Arial" w:eastAsia="Calibri" w:hAnsi="Arial" w:cs="Arial"/>
          <w:b/>
          <w:sz w:val="22"/>
          <w:szCs w:val="22"/>
          <w:lang w:val="es-CL" w:eastAsia="es-CL"/>
        </w:rPr>
        <w:t>MARÍA EUGENIA SILVA FERRER</w:t>
      </w:r>
    </w:p>
    <w:p w:rsidR="00F746CE" w:rsidRPr="00A25137" w:rsidRDefault="00F746CE" w:rsidP="00CB1C8E">
      <w:pPr>
        <w:tabs>
          <w:tab w:val="left" w:pos="709"/>
        </w:tabs>
        <w:spacing w:line="276" w:lineRule="auto"/>
        <w:ind w:right="-234"/>
        <w:jc w:val="center"/>
        <w:rPr>
          <w:rFonts w:ascii="Arial" w:eastAsia="Calibri" w:hAnsi="Arial" w:cs="Arial"/>
          <w:b/>
          <w:sz w:val="22"/>
          <w:szCs w:val="22"/>
          <w:lang w:val="es-CL" w:eastAsia="es-CL"/>
        </w:rPr>
      </w:pPr>
      <w:r w:rsidRPr="00A25137">
        <w:rPr>
          <w:rFonts w:ascii="Arial" w:eastAsia="Calibri" w:hAnsi="Arial" w:cs="Arial"/>
          <w:b/>
          <w:sz w:val="22"/>
          <w:szCs w:val="22"/>
          <w:lang w:val="es-CL" w:eastAsia="es-CL"/>
        </w:rPr>
        <w:t>Abogad</w:t>
      </w:r>
      <w:r w:rsidR="0021585A" w:rsidRPr="00A25137">
        <w:rPr>
          <w:rFonts w:ascii="Arial" w:eastAsia="Calibri" w:hAnsi="Arial" w:cs="Arial"/>
          <w:b/>
          <w:sz w:val="22"/>
          <w:szCs w:val="22"/>
          <w:lang w:val="es-CL" w:eastAsia="es-CL"/>
        </w:rPr>
        <w:t>o</w:t>
      </w:r>
      <w:r w:rsidRPr="00A25137">
        <w:rPr>
          <w:rFonts w:ascii="Arial" w:eastAsia="Calibri" w:hAnsi="Arial" w:cs="Arial"/>
          <w:b/>
          <w:sz w:val="22"/>
          <w:szCs w:val="22"/>
          <w:lang w:val="es-CL" w:eastAsia="es-CL"/>
        </w:rPr>
        <w:t xml:space="preserve"> Secretaria de Comisiones</w:t>
      </w:r>
    </w:p>
    <w:sectPr w:rsidR="00F746CE" w:rsidRPr="00A25137" w:rsidSect="006803F9">
      <w:headerReference w:type="even" r:id="rId11"/>
      <w:headerReference w:type="default" r:id="rId12"/>
      <w:pgSz w:w="12240" w:h="20160" w:code="5"/>
      <w:pgMar w:top="2269" w:right="1701" w:bottom="2835" w:left="2268"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E33" w:rsidRDefault="00C10E33" w:rsidP="00F746CE">
      <w:pPr>
        <w:pStyle w:val="Textoindependiente"/>
      </w:pPr>
      <w:r>
        <w:separator/>
      </w:r>
    </w:p>
  </w:endnote>
  <w:endnote w:type="continuationSeparator" w:id="0">
    <w:p w:rsidR="00C10E33" w:rsidRDefault="00C10E33" w:rsidP="00F746CE">
      <w:pPr>
        <w:pStyle w:val="Textoindependien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E33" w:rsidRDefault="00C10E33" w:rsidP="00F746CE">
      <w:pPr>
        <w:pStyle w:val="Textoindependiente"/>
      </w:pPr>
      <w:r>
        <w:separator/>
      </w:r>
    </w:p>
  </w:footnote>
  <w:footnote w:type="continuationSeparator" w:id="0">
    <w:p w:rsidR="00C10E33" w:rsidRDefault="00C10E33" w:rsidP="00F746CE">
      <w:pPr>
        <w:pStyle w:val="Textoindependiente"/>
      </w:pPr>
      <w:r>
        <w:continuationSeparator/>
      </w:r>
    </w:p>
  </w:footnote>
  <w:footnote w:id="1">
    <w:p w:rsidR="00CB1C8E" w:rsidRPr="00B15760" w:rsidRDefault="00CB1C8E" w:rsidP="00CB1C8E">
      <w:pPr>
        <w:pStyle w:val="Textoindependiente"/>
        <w:ind w:left="-142"/>
        <w:rPr>
          <w:sz w:val="18"/>
          <w:szCs w:val="18"/>
        </w:rPr>
      </w:pPr>
      <w:r w:rsidRPr="00B15760">
        <w:rPr>
          <w:rStyle w:val="Refdenotaalpie"/>
          <w:sz w:val="18"/>
          <w:szCs w:val="18"/>
        </w:rPr>
        <w:footnoteRef/>
      </w:r>
      <w:r w:rsidRPr="00B15760">
        <w:rPr>
          <w:sz w:val="18"/>
          <w:szCs w:val="18"/>
        </w:rPr>
        <w:t xml:space="preserve"> </w:t>
      </w:r>
      <w:r w:rsidRPr="00B15760">
        <w:rPr>
          <w:b/>
          <w:sz w:val="18"/>
          <w:szCs w:val="18"/>
          <w:lang w:eastAsia="es-CL"/>
        </w:rPr>
        <w:t xml:space="preserve">Fuentes de información </w:t>
      </w:r>
    </w:p>
    <w:p w:rsidR="00CB1C8E" w:rsidRPr="00B15760" w:rsidRDefault="00CB1C8E" w:rsidP="00CB1C8E">
      <w:pPr>
        <w:pStyle w:val="Prrafodelista"/>
        <w:widowControl w:val="0"/>
        <w:autoSpaceDE w:val="0"/>
        <w:autoSpaceDN w:val="0"/>
        <w:adjustRightInd w:val="0"/>
        <w:spacing w:after="0" w:line="240" w:lineRule="auto"/>
        <w:ind w:left="-142"/>
        <w:jc w:val="both"/>
        <w:rPr>
          <w:rFonts w:ascii="Arial" w:hAnsi="Arial" w:cs="Arial"/>
          <w:sz w:val="18"/>
          <w:szCs w:val="18"/>
          <w:lang w:val="es-ES_tradnl"/>
        </w:rPr>
      </w:pPr>
      <w:r w:rsidRPr="00B15760">
        <w:rPr>
          <w:rFonts w:ascii="Arial" w:hAnsi="Arial" w:cs="Arial"/>
          <w:sz w:val="18"/>
          <w:szCs w:val="18"/>
          <w:lang w:val="es-ES_tradnl"/>
        </w:rPr>
        <w:t>Ley N°21.289 de Presupuestos del Sector Público para el año 2021.</w:t>
      </w:r>
    </w:p>
    <w:p w:rsidR="00CB1C8E" w:rsidRPr="00B15760" w:rsidRDefault="00CB1C8E" w:rsidP="00CB1C8E">
      <w:pPr>
        <w:pStyle w:val="Prrafodelista"/>
        <w:widowControl w:val="0"/>
        <w:autoSpaceDE w:val="0"/>
        <w:autoSpaceDN w:val="0"/>
        <w:adjustRightInd w:val="0"/>
        <w:spacing w:after="0" w:line="240" w:lineRule="auto"/>
        <w:ind w:left="-142"/>
        <w:jc w:val="both"/>
        <w:rPr>
          <w:rFonts w:ascii="Arial" w:hAnsi="Arial" w:cs="Arial"/>
          <w:sz w:val="18"/>
          <w:szCs w:val="18"/>
          <w:lang w:val="es-ES_tradnl"/>
        </w:rPr>
      </w:pPr>
      <w:r w:rsidRPr="00B15760">
        <w:rPr>
          <w:rFonts w:ascii="Arial" w:hAnsi="Arial" w:cs="Arial"/>
          <w:sz w:val="18"/>
          <w:szCs w:val="18"/>
          <w:lang w:val="es-ES_tradnl"/>
        </w:rPr>
        <w:t>Ley N°21.306 que</w:t>
      </w:r>
      <w:r w:rsidRPr="00B15760">
        <w:rPr>
          <w:rFonts w:ascii="Arial" w:hAnsi="Arial" w:cs="Arial"/>
          <w:sz w:val="18"/>
          <w:szCs w:val="18"/>
        </w:rPr>
        <w:t xml:space="preserve"> </w:t>
      </w:r>
      <w:r w:rsidRPr="00B15760">
        <w:rPr>
          <w:rFonts w:ascii="Arial" w:hAnsi="Arial" w:cs="Arial"/>
          <w:sz w:val="18"/>
          <w:szCs w:val="18"/>
          <w:lang w:val="es-ES_tradnl"/>
        </w:rPr>
        <w:t>otorga reajuste de remuneraciones a los trabajadores del sector público, concede aguinaldos que señala, concede otros beneficios que indica, y modifica diversos cuerpos legales.</w:t>
      </w:r>
    </w:p>
    <w:p w:rsidR="00CB1C8E" w:rsidRPr="00B15760" w:rsidRDefault="00CB1C8E" w:rsidP="00CB1C8E">
      <w:pPr>
        <w:pStyle w:val="Prrafodelista"/>
        <w:widowControl w:val="0"/>
        <w:autoSpaceDE w:val="0"/>
        <w:autoSpaceDN w:val="0"/>
        <w:adjustRightInd w:val="0"/>
        <w:spacing w:after="0" w:line="240" w:lineRule="auto"/>
        <w:ind w:left="-142"/>
        <w:jc w:val="both"/>
        <w:rPr>
          <w:rFonts w:ascii="Arial" w:hAnsi="Arial" w:cs="Arial"/>
          <w:sz w:val="18"/>
          <w:szCs w:val="18"/>
          <w:lang w:val="es-MX"/>
        </w:rPr>
      </w:pPr>
      <w:r w:rsidRPr="00B15760">
        <w:rPr>
          <w:rFonts w:ascii="Arial" w:hAnsi="Arial" w:cs="Arial"/>
          <w:sz w:val="18"/>
          <w:szCs w:val="18"/>
          <w:lang w:val="es-MX"/>
        </w:rPr>
        <w:t xml:space="preserve">Acta de Protocolo de Acuerdo del </w:t>
      </w:r>
      <w:r w:rsidRPr="00B15760">
        <w:rPr>
          <w:rFonts w:ascii="Arial" w:hAnsi="Arial" w:cs="Arial"/>
          <w:sz w:val="18"/>
          <w:szCs w:val="18"/>
        </w:rPr>
        <w:t>a</w:t>
      </w:r>
      <w:r w:rsidRPr="00B15760">
        <w:rPr>
          <w:rFonts w:ascii="Arial" w:hAnsi="Arial" w:cs="Arial"/>
          <w:sz w:val="18"/>
          <w:szCs w:val="18"/>
          <w:lang w:val="es-MX"/>
        </w:rPr>
        <w:t>rtículo 90 de la ley N° 21.903, Dirección de Presupuestos, 07 de julio 2021.</w:t>
      </w:r>
    </w:p>
    <w:p w:rsidR="00CB1C8E" w:rsidRDefault="00CB1C8E" w:rsidP="00CB1C8E">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3F9" w:rsidRDefault="006803F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803F9" w:rsidRDefault="006803F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3F9" w:rsidRDefault="006803F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A4B7A">
      <w:rPr>
        <w:rStyle w:val="Nmerodepgina"/>
        <w:noProof/>
      </w:rPr>
      <w:t>8</w:t>
    </w:r>
    <w:r>
      <w:rPr>
        <w:rStyle w:val="Nmerodepgina"/>
      </w:rPr>
      <w:fldChar w:fldCharType="end"/>
    </w:r>
  </w:p>
  <w:p w:rsidR="006803F9" w:rsidRDefault="006803F9">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C78CA"/>
    <w:multiLevelType w:val="hybridMultilevel"/>
    <w:tmpl w:val="45FC219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5E3E3328"/>
    <w:multiLevelType w:val="hybridMultilevel"/>
    <w:tmpl w:val="AA7CE8C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5"/>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CD"/>
    <w:rsid w:val="00000667"/>
    <w:rsid w:val="00002A12"/>
    <w:rsid w:val="00003F08"/>
    <w:rsid w:val="00004ACA"/>
    <w:rsid w:val="00005150"/>
    <w:rsid w:val="000057C7"/>
    <w:rsid w:val="0001136E"/>
    <w:rsid w:val="00013711"/>
    <w:rsid w:val="00014E0B"/>
    <w:rsid w:val="000153B5"/>
    <w:rsid w:val="00020981"/>
    <w:rsid w:val="00021311"/>
    <w:rsid w:val="00021CB1"/>
    <w:rsid w:val="00022B6E"/>
    <w:rsid w:val="00023322"/>
    <w:rsid w:val="0002367D"/>
    <w:rsid w:val="0002381C"/>
    <w:rsid w:val="00023C3F"/>
    <w:rsid w:val="000334A6"/>
    <w:rsid w:val="00034AFD"/>
    <w:rsid w:val="0003642C"/>
    <w:rsid w:val="00037879"/>
    <w:rsid w:val="00037E91"/>
    <w:rsid w:val="00040B4B"/>
    <w:rsid w:val="000425F4"/>
    <w:rsid w:val="00043B08"/>
    <w:rsid w:val="0004491C"/>
    <w:rsid w:val="00044D05"/>
    <w:rsid w:val="00051C6D"/>
    <w:rsid w:val="00052706"/>
    <w:rsid w:val="000527BF"/>
    <w:rsid w:val="00054C9D"/>
    <w:rsid w:val="00056AFD"/>
    <w:rsid w:val="00057973"/>
    <w:rsid w:val="00057BCD"/>
    <w:rsid w:val="00060F6E"/>
    <w:rsid w:val="00062504"/>
    <w:rsid w:val="00065AED"/>
    <w:rsid w:val="00067CA1"/>
    <w:rsid w:val="00070E5F"/>
    <w:rsid w:val="0007103D"/>
    <w:rsid w:val="000712D1"/>
    <w:rsid w:val="00072B9B"/>
    <w:rsid w:val="00074B63"/>
    <w:rsid w:val="00076351"/>
    <w:rsid w:val="000771A8"/>
    <w:rsid w:val="000824FA"/>
    <w:rsid w:val="00085DC0"/>
    <w:rsid w:val="00086A01"/>
    <w:rsid w:val="00087447"/>
    <w:rsid w:val="00087A84"/>
    <w:rsid w:val="0009254C"/>
    <w:rsid w:val="0009308D"/>
    <w:rsid w:val="00093CDA"/>
    <w:rsid w:val="000944AB"/>
    <w:rsid w:val="0009559B"/>
    <w:rsid w:val="00096D45"/>
    <w:rsid w:val="0009764F"/>
    <w:rsid w:val="000A0900"/>
    <w:rsid w:val="000A5135"/>
    <w:rsid w:val="000A5DC6"/>
    <w:rsid w:val="000A647D"/>
    <w:rsid w:val="000A6BE6"/>
    <w:rsid w:val="000B00ED"/>
    <w:rsid w:val="000B03DA"/>
    <w:rsid w:val="000B07C2"/>
    <w:rsid w:val="000B238E"/>
    <w:rsid w:val="000B2A99"/>
    <w:rsid w:val="000B5DC5"/>
    <w:rsid w:val="000B6677"/>
    <w:rsid w:val="000B7411"/>
    <w:rsid w:val="000B7D3A"/>
    <w:rsid w:val="000C02CC"/>
    <w:rsid w:val="000C49AE"/>
    <w:rsid w:val="000C5321"/>
    <w:rsid w:val="000C5384"/>
    <w:rsid w:val="000C7124"/>
    <w:rsid w:val="000C7DA1"/>
    <w:rsid w:val="000D0F07"/>
    <w:rsid w:val="000D2B0F"/>
    <w:rsid w:val="000D328C"/>
    <w:rsid w:val="000D493D"/>
    <w:rsid w:val="000D5486"/>
    <w:rsid w:val="000D5A97"/>
    <w:rsid w:val="000D5AB6"/>
    <w:rsid w:val="000D5E8D"/>
    <w:rsid w:val="000D5EB4"/>
    <w:rsid w:val="000D6EF9"/>
    <w:rsid w:val="000D71CB"/>
    <w:rsid w:val="000D729B"/>
    <w:rsid w:val="000D7736"/>
    <w:rsid w:val="000E0CE2"/>
    <w:rsid w:val="000E10B3"/>
    <w:rsid w:val="000E3749"/>
    <w:rsid w:val="000E59C4"/>
    <w:rsid w:val="000E7187"/>
    <w:rsid w:val="000E7FFA"/>
    <w:rsid w:val="000F1654"/>
    <w:rsid w:val="000F1A8E"/>
    <w:rsid w:val="000F2652"/>
    <w:rsid w:val="000F2653"/>
    <w:rsid w:val="000F310F"/>
    <w:rsid w:val="000F5B43"/>
    <w:rsid w:val="00103562"/>
    <w:rsid w:val="00103603"/>
    <w:rsid w:val="00106E74"/>
    <w:rsid w:val="00113501"/>
    <w:rsid w:val="0011525A"/>
    <w:rsid w:val="00115CE8"/>
    <w:rsid w:val="001162CB"/>
    <w:rsid w:val="00117C57"/>
    <w:rsid w:val="00122B84"/>
    <w:rsid w:val="00123E2D"/>
    <w:rsid w:val="001254D4"/>
    <w:rsid w:val="00126F20"/>
    <w:rsid w:val="00130912"/>
    <w:rsid w:val="00131010"/>
    <w:rsid w:val="00133938"/>
    <w:rsid w:val="00133B3F"/>
    <w:rsid w:val="00135755"/>
    <w:rsid w:val="00135A7C"/>
    <w:rsid w:val="00136DDF"/>
    <w:rsid w:val="001379A5"/>
    <w:rsid w:val="00140378"/>
    <w:rsid w:val="00142275"/>
    <w:rsid w:val="001425DF"/>
    <w:rsid w:val="00142DED"/>
    <w:rsid w:val="00145514"/>
    <w:rsid w:val="00147EE7"/>
    <w:rsid w:val="00150D25"/>
    <w:rsid w:val="001510C0"/>
    <w:rsid w:val="0015307F"/>
    <w:rsid w:val="00156A56"/>
    <w:rsid w:val="00156A9B"/>
    <w:rsid w:val="001630F8"/>
    <w:rsid w:val="00163229"/>
    <w:rsid w:val="00166E12"/>
    <w:rsid w:val="00170EE5"/>
    <w:rsid w:val="00172075"/>
    <w:rsid w:val="001741FF"/>
    <w:rsid w:val="00174B4E"/>
    <w:rsid w:val="00174C5D"/>
    <w:rsid w:val="001756E7"/>
    <w:rsid w:val="001764BA"/>
    <w:rsid w:val="0017668F"/>
    <w:rsid w:val="001766C6"/>
    <w:rsid w:val="00176D05"/>
    <w:rsid w:val="001800B6"/>
    <w:rsid w:val="001818DD"/>
    <w:rsid w:val="00183FBF"/>
    <w:rsid w:val="00185BD9"/>
    <w:rsid w:val="0018702E"/>
    <w:rsid w:val="00191A4A"/>
    <w:rsid w:val="0019298E"/>
    <w:rsid w:val="00193E90"/>
    <w:rsid w:val="0019447D"/>
    <w:rsid w:val="001955B6"/>
    <w:rsid w:val="00195F9A"/>
    <w:rsid w:val="0019686D"/>
    <w:rsid w:val="0019720E"/>
    <w:rsid w:val="00197271"/>
    <w:rsid w:val="00197757"/>
    <w:rsid w:val="00197B10"/>
    <w:rsid w:val="001A0810"/>
    <w:rsid w:val="001A1D0A"/>
    <w:rsid w:val="001A2456"/>
    <w:rsid w:val="001A35F9"/>
    <w:rsid w:val="001A62A7"/>
    <w:rsid w:val="001B1271"/>
    <w:rsid w:val="001B3AF4"/>
    <w:rsid w:val="001B40C7"/>
    <w:rsid w:val="001B4C09"/>
    <w:rsid w:val="001C07A9"/>
    <w:rsid w:val="001C2164"/>
    <w:rsid w:val="001C4F95"/>
    <w:rsid w:val="001C6EB2"/>
    <w:rsid w:val="001D0053"/>
    <w:rsid w:val="001D36A4"/>
    <w:rsid w:val="001D64F7"/>
    <w:rsid w:val="001D6523"/>
    <w:rsid w:val="001D6A3B"/>
    <w:rsid w:val="001D7DFE"/>
    <w:rsid w:val="001E05A1"/>
    <w:rsid w:val="001E17F6"/>
    <w:rsid w:val="001E27B5"/>
    <w:rsid w:val="001E62B2"/>
    <w:rsid w:val="001E63F2"/>
    <w:rsid w:val="001F072B"/>
    <w:rsid w:val="001F2947"/>
    <w:rsid w:val="001F420D"/>
    <w:rsid w:val="001F446D"/>
    <w:rsid w:val="001F5028"/>
    <w:rsid w:val="00200FED"/>
    <w:rsid w:val="002020D3"/>
    <w:rsid w:val="002027C8"/>
    <w:rsid w:val="00205C20"/>
    <w:rsid w:val="00205E76"/>
    <w:rsid w:val="00206486"/>
    <w:rsid w:val="0020792F"/>
    <w:rsid w:val="00210B74"/>
    <w:rsid w:val="00212FE8"/>
    <w:rsid w:val="002156B1"/>
    <w:rsid w:val="0021585A"/>
    <w:rsid w:val="002172E8"/>
    <w:rsid w:val="0021762B"/>
    <w:rsid w:val="00217A99"/>
    <w:rsid w:val="00217E87"/>
    <w:rsid w:val="002222F4"/>
    <w:rsid w:val="00225851"/>
    <w:rsid w:val="00227253"/>
    <w:rsid w:val="0023092F"/>
    <w:rsid w:val="002319D2"/>
    <w:rsid w:val="00231A63"/>
    <w:rsid w:val="002321BC"/>
    <w:rsid w:val="002325F5"/>
    <w:rsid w:val="00236446"/>
    <w:rsid w:val="00240210"/>
    <w:rsid w:val="0024126E"/>
    <w:rsid w:val="002415B5"/>
    <w:rsid w:val="00242CD2"/>
    <w:rsid w:val="00243460"/>
    <w:rsid w:val="00245955"/>
    <w:rsid w:val="00247999"/>
    <w:rsid w:val="002511A8"/>
    <w:rsid w:val="00251CF8"/>
    <w:rsid w:val="002520B9"/>
    <w:rsid w:val="0025620D"/>
    <w:rsid w:val="00257EC9"/>
    <w:rsid w:val="00261122"/>
    <w:rsid w:val="00261B29"/>
    <w:rsid w:val="00265791"/>
    <w:rsid w:val="002670AE"/>
    <w:rsid w:val="002703BC"/>
    <w:rsid w:val="002722BE"/>
    <w:rsid w:val="00272722"/>
    <w:rsid w:val="00276990"/>
    <w:rsid w:val="00276C1C"/>
    <w:rsid w:val="0027796B"/>
    <w:rsid w:val="002814BB"/>
    <w:rsid w:val="00283421"/>
    <w:rsid w:val="0028359B"/>
    <w:rsid w:val="00283BC3"/>
    <w:rsid w:val="0028599E"/>
    <w:rsid w:val="00285FA7"/>
    <w:rsid w:val="00286F32"/>
    <w:rsid w:val="0029023F"/>
    <w:rsid w:val="002925E8"/>
    <w:rsid w:val="00293899"/>
    <w:rsid w:val="002939E4"/>
    <w:rsid w:val="00294656"/>
    <w:rsid w:val="00296E86"/>
    <w:rsid w:val="0029796F"/>
    <w:rsid w:val="002A03AC"/>
    <w:rsid w:val="002A132B"/>
    <w:rsid w:val="002A3102"/>
    <w:rsid w:val="002A5F9C"/>
    <w:rsid w:val="002A634E"/>
    <w:rsid w:val="002A7DB6"/>
    <w:rsid w:val="002B2FFB"/>
    <w:rsid w:val="002B4569"/>
    <w:rsid w:val="002B7F9A"/>
    <w:rsid w:val="002C03C8"/>
    <w:rsid w:val="002C059F"/>
    <w:rsid w:val="002C1207"/>
    <w:rsid w:val="002C16F3"/>
    <w:rsid w:val="002C21CC"/>
    <w:rsid w:val="002C38CB"/>
    <w:rsid w:val="002C5025"/>
    <w:rsid w:val="002C507A"/>
    <w:rsid w:val="002C557D"/>
    <w:rsid w:val="002C6BAE"/>
    <w:rsid w:val="002D083B"/>
    <w:rsid w:val="002D2706"/>
    <w:rsid w:val="002D2F59"/>
    <w:rsid w:val="002D2FB0"/>
    <w:rsid w:val="002D38EC"/>
    <w:rsid w:val="002D3CF0"/>
    <w:rsid w:val="002D60B9"/>
    <w:rsid w:val="002D73C5"/>
    <w:rsid w:val="002D76DE"/>
    <w:rsid w:val="002E0AA5"/>
    <w:rsid w:val="002E1C21"/>
    <w:rsid w:val="002E252E"/>
    <w:rsid w:val="002E498A"/>
    <w:rsid w:val="002E673A"/>
    <w:rsid w:val="002E6F9E"/>
    <w:rsid w:val="002F18F5"/>
    <w:rsid w:val="002F2366"/>
    <w:rsid w:val="002F50CC"/>
    <w:rsid w:val="002F52B8"/>
    <w:rsid w:val="002F6037"/>
    <w:rsid w:val="0030688A"/>
    <w:rsid w:val="0031045B"/>
    <w:rsid w:val="00314C84"/>
    <w:rsid w:val="00315124"/>
    <w:rsid w:val="0031780F"/>
    <w:rsid w:val="00320914"/>
    <w:rsid w:val="00320B85"/>
    <w:rsid w:val="00322646"/>
    <w:rsid w:val="003226FE"/>
    <w:rsid w:val="003248FA"/>
    <w:rsid w:val="00330B0E"/>
    <w:rsid w:val="003322B1"/>
    <w:rsid w:val="00334763"/>
    <w:rsid w:val="00334D2C"/>
    <w:rsid w:val="00337C85"/>
    <w:rsid w:val="00340E7A"/>
    <w:rsid w:val="003424CA"/>
    <w:rsid w:val="00342B3D"/>
    <w:rsid w:val="00344B7E"/>
    <w:rsid w:val="00344EAF"/>
    <w:rsid w:val="003453E3"/>
    <w:rsid w:val="003501A5"/>
    <w:rsid w:val="003506D8"/>
    <w:rsid w:val="003507F5"/>
    <w:rsid w:val="00352A93"/>
    <w:rsid w:val="00353FC5"/>
    <w:rsid w:val="00354467"/>
    <w:rsid w:val="00354BE3"/>
    <w:rsid w:val="00356922"/>
    <w:rsid w:val="003574BE"/>
    <w:rsid w:val="0036027A"/>
    <w:rsid w:val="00361DD5"/>
    <w:rsid w:val="0036274E"/>
    <w:rsid w:val="00363563"/>
    <w:rsid w:val="00364A4A"/>
    <w:rsid w:val="003652BB"/>
    <w:rsid w:val="003667A2"/>
    <w:rsid w:val="00366AD3"/>
    <w:rsid w:val="00366BE4"/>
    <w:rsid w:val="00366E50"/>
    <w:rsid w:val="0036721B"/>
    <w:rsid w:val="003711D1"/>
    <w:rsid w:val="003729F7"/>
    <w:rsid w:val="00375DBA"/>
    <w:rsid w:val="0037775C"/>
    <w:rsid w:val="00385CBE"/>
    <w:rsid w:val="0038717B"/>
    <w:rsid w:val="00387BF8"/>
    <w:rsid w:val="00391353"/>
    <w:rsid w:val="003933C1"/>
    <w:rsid w:val="003960D2"/>
    <w:rsid w:val="00396203"/>
    <w:rsid w:val="00397DE1"/>
    <w:rsid w:val="003A03CB"/>
    <w:rsid w:val="003A1FA1"/>
    <w:rsid w:val="003A3009"/>
    <w:rsid w:val="003A3749"/>
    <w:rsid w:val="003A3C3B"/>
    <w:rsid w:val="003A4995"/>
    <w:rsid w:val="003A5E67"/>
    <w:rsid w:val="003A634D"/>
    <w:rsid w:val="003A7D32"/>
    <w:rsid w:val="003B0A14"/>
    <w:rsid w:val="003B1A60"/>
    <w:rsid w:val="003B407B"/>
    <w:rsid w:val="003B4616"/>
    <w:rsid w:val="003B48E5"/>
    <w:rsid w:val="003B4A12"/>
    <w:rsid w:val="003B5A31"/>
    <w:rsid w:val="003B631D"/>
    <w:rsid w:val="003B7303"/>
    <w:rsid w:val="003B7D73"/>
    <w:rsid w:val="003B7E40"/>
    <w:rsid w:val="003C0181"/>
    <w:rsid w:val="003C1A73"/>
    <w:rsid w:val="003C2132"/>
    <w:rsid w:val="003C2961"/>
    <w:rsid w:val="003C56FB"/>
    <w:rsid w:val="003C7200"/>
    <w:rsid w:val="003C7A2B"/>
    <w:rsid w:val="003D07E5"/>
    <w:rsid w:val="003D2B02"/>
    <w:rsid w:val="003D5B17"/>
    <w:rsid w:val="003D6165"/>
    <w:rsid w:val="003D6425"/>
    <w:rsid w:val="003E1005"/>
    <w:rsid w:val="003E16FA"/>
    <w:rsid w:val="003E5B38"/>
    <w:rsid w:val="003E5BD8"/>
    <w:rsid w:val="003E745C"/>
    <w:rsid w:val="003E7F43"/>
    <w:rsid w:val="003F1442"/>
    <w:rsid w:val="003F2661"/>
    <w:rsid w:val="003F4A87"/>
    <w:rsid w:val="003F4B10"/>
    <w:rsid w:val="00404303"/>
    <w:rsid w:val="00405927"/>
    <w:rsid w:val="004073B3"/>
    <w:rsid w:val="00407A6E"/>
    <w:rsid w:val="00407B38"/>
    <w:rsid w:val="00410683"/>
    <w:rsid w:val="004106D8"/>
    <w:rsid w:val="00411AF1"/>
    <w:rsid w:val="00411C23"/>
    <w:rsid w:val="00411CAC"/>
    <w:rsid w:val="00414F0F"/>
    <w:rsid w:val="00417C31"/>
    <w:rsid w:val="00417DCD"/>
    <w:rsid w:val="00417E5D"/>
    <w:rsid w:val="00421A62"/>
    <w:rsid w:val="004223CC"/>
    <w:rsid w:val="00423638"/>
    <w:rsid w:val="004237F2"/>
    <w:rsid w:val="00426DE8"/>
    <w:rsid w:val="004309E0"/>
    <w:rsid w:val="00431397"/>
    <w:rsid w:val="00431EF2"/>
    <w:rsid w:val="004322E7"/>
    <w:rsid w:val="00432383"/>
    <w:rsid w:val="00432821"/>
    <w:rsid w:val="00432C6A"/>
    <w:rsid w:val="00441417"/>
    <w:rsid w:val="00444F6D"/>
    <w:rsid w:val="004452F6"/>
    <w:rsid w:val="004458C4"/>
    <w:rsid w:val="00446C3C"/>
    <w:rsid w:val="00451396"/>
    <w:rsid w:val="00451B87"/>
    <w:rsid w:val="00454FDF"/>
    <w:rsid w:val="00460070"/>
    <w:rsid w:val="00460668"/>
    <w:rsid w:val="00460733"/>
    <w:rsid w:val="00460D93"/>
    <w:rsid w:val="00460E3A"/>
    <w:rsid w:val="00461306"/>
    <w:rsid w:val="00461F0A"/>
    <w:rsid w:val="004627A9"/>
    <w:rsid w:val="00462934"/>
    <w:rsid w:val="0046483F"/>
    <w:rsid w:val="00464D9C"/>
    <w:rsid w:val="00465E04"/>
    <w:rsid w:val="00466662"/>
    <w:rsid w:val="00466988"/>
    <w:rsid w:val="0047138E"/>
    <w:rsid w:val="00471A0C"/>
    <w:rsid w:val="00472AB9"/>
    <w:rsid w:val="0047394D"/>
    <w:rsid w:val="00473DA8"/>
    <w:rsid w:val="0047570A"/>
    <w:rsid w:val="00477155"/>
    <w:rsid w:val="0047775E"/>
    <w:rsid w:val="00482528"/>
    <w:rsid w:val="00482B19"/>
    <w:rsid w:val="004833DA"/>
    <w:rsid w:val="00484795"/>
    <w:rsid w:val="00484B19"/>
    <w:rsid w:val="00486452"/>
    <w:rsid w:val="004868A9"/>
    <w:rsid w:val="00486E2A"/>
    <w:rsid w:val="00493AA1"/>
    <w:rsid w:val="00497551"/>
    <w:rsid w:val="00497598"/>
    <w:rsid w:val="004A087A"/>
    <w:rsid w:val="004A1A16"/>
    <w:rsid w:val="004A31D5"/>
    <w:rsid w:val="004A39A8"/>
    <w:rsid w:val="004A3E5F"/>
    <w:rsid w:val="004A4107"/>
    <w:rsid w:val="004A4908"/>
    <w:rsid w:val="004A494F"/>
    <w:rsid w:val="004A7E0A"/>
    <w:rsid w:val="004B22D6"/>
    <w:rsid w:val="004B2DF6"/>
    <w:rsid w:val="004B3039"/>
    <w:rsid w:val="004B3193"/>
    <w:rsid w:val="004B5216"/>
    <w:rsid w:val="004B53F6"/>
    <w:rsid w:val="004C038A"/>
    <w:rsid w:val="004C2D2C"/>
    <w:rsid w:val="004C7038"/>
    <w:rsid w:val="004C74AF"/>
    <w:rsid w:val="004C7B1E"/>
    <w:rsid w:val="004D254B"/>
    <w:rsid w:val="004D2EBC"/>
    <w:rsid w:val="004D4A43"/>
    <w:rsid w:val="004D5055"/>
    <w:rsid w:val="004D62AA"/>
    <w:rsid w:val="004D6F50"/>
    <w:rsid w:val="004E032B"/>
    <w:rsid w:val="004E03D9"/>
    <w:rsid w:val="004E0A08"/>
    <w:rsid w:val="004E35D3"/>
    <w:rsid w:val="004E4C5D"/>
    <w:rsid w:val="004E67D0"/>
    <w:rsid w:val="004F28BA"/>
    <w:rsid w:val="004F2F56"/>
    <w:rsid w:val="004F3F60"/>
    <w:rsid w:val="004F440B"/>
    <w:rsid w:val="004F5A13"/>
    <w:rsid w:val="004F63CF"/>
    <w:rsid w:val="00502BE1"/>
    <w:rsid w:val="00505C66"/>
    <w:rsid w:val="00507094"/>
    <w:rsid w:val="00512FF9"/>
    <w:rsid w:val="0051423F"/>
    <w:rsid w:val="00514306"/>
    <w:rsid w:val="00517A05"/>
    <w:rsid w:val="005206BC"/>
    <w:rsid w:val="0052111C"/>
    <w:rsid w:val="005217C0"/>
    <w:rsid w:val="00523189"/>
    <w:rsid w:val="00524880"/>
    <w:rsid w:val="00526478"/>
    <w:rsid w:val="00527454"/>
    <w:rsid w:val="00527D2B"/>
    <w:rsid w:val="00530065"/>
    <w:rsid w:val="00530AC5"/>
    <w:rsid w:val="0053293C"/>
    <w:rsid w:val="00535006"/>
    <w:rsid w:val="005359D9"/>
    <w:rsid w:val="00535DD9"/>
    <w:rsid w:val="005360D8"/>
    <w:rsid w:val="00536214"/>
    <w:rsid w:val="005368B1"/>
    <w:rsid w:val="005369A1"/>
    <w:rsid w:val="00536C07"/>
    <w:rsid w:val="005376BC"/>
    <w:rsid w:val="00540756"/>
    <w:rsid w:val="005446CC"/>
    <w:rsid w:val="00545300"/>
    <w:rsid w:val="0055097C"/>
    <w:rsid w:val="00551D17"/>
    <w:rsid w:val="00553329"/>
    <w:rsid w:val="005538BC"/>
    <w:rsid w:val="00554036"/>
    <w:rsid w:val="005550FD"/>
    <w:rsid w:val="00555519"/>
    <w:rsid w:val="005570A4"/>
    <w:rsid w:val="0055724A"/>
    <w:rsid w:val="005600FF"/>
    <w:rsid w:val="005611BC"/>
    <w:rsid w:val="0056196E"/>
    <w:rsid w:val="00561B9C"/>
    <w:rsid w:val="00563775"/>
    <w:rsid w:val="00565BAF"/>
    <w:rsid w:val="00567E9D"/>
    <w:rsid w:val="0057087C"/>
    <w:rsid w:val="00570AEA"/>
    <w:rsid w:val="0057192B"/>
    <w:rsid w:val="00572909"/>
    <w:rsid w:val="00572B10"/>
    <w:rsid w:val="00573856"/>
    <w:rsid w:val="00580926"/>
    <w:rsid w:val="00581815"/>
    <w:rsid w:val="00581942"/>
    <w:rsid w:val="00581A68"/>
    <w:rsid w:val="005826A5"/>
    <w:rsid w:val="005832F1"/>
    <w:rsid w:val="005850D1"/>
    <w:rsid w:val="0058566E"/>
    <w:rsid w:val="00586A31"/>
    <w:rsid w:val="00586A7B"/>
    <w:rsid w:val="005874FD"/>
    <w:rsid w:val="005906C9"/>
    <w:rsid w:val="005908AD"/>
    <w:rsid w:val="00590B65"/>
    <w:rsid w:val="00591A3C"/>
    <w:rsid w:val="00592C02"/>
    <w:rsid w:val="00595F79"/>
    <w:rsid w:val="005A1AF8"/>
    <w:rsid w:val="005A26B2"/>
    <w:rsid w:val="005A5450"/>
    <w:rsid w:val="005A5781"/>
    <w:rsid w:val="005A57E9"/>
    <w:rsid w:val="005A7749"/>
    <w:rsid w:val="005B12A7"/>
    <w:rsid w:val="005B32FB"/>
    <w:rsid w:val="005B4839"/>
    <w:rsid w:val="005B5078"/>
    <w:rsid w:val="005B542B"/>
    <w:rsid w:val="005C05A7"/>
    <w:rsid w:val="005C2765"/>
    <w:rsid w:val="005C314A"/>
    <w:rsid w:val="005C3AB5"/>
    <w:rsid w:val="005C4B4A"/>
    <w:rsid w:val="005C55AC"/>
    <w:rsid w:val="005C6897"/>
    <w:rsid w:val="005C7726"/>
    <w:rsid w:val="005D00D8"/>
    <w:rsid w:val="005D1153"/>
    <w:rsid w:val="005D2FDB"/>
    <w:rsid w:val="005D78C7"/>
    <w:rsid w:val="005E1812"/>
    <w:rsid w:val="005E4997"/>
    <w:rsid w:val="005E538A"/>
    <w:rsid w:val="005E7D6F"/>
    <w:rsid w:val="005F1CD0"/>
    <w:rsid w:val="005F411B"/>
    <w:rsid w:val="005F572F"/>
    <w:rsid w:val="0060077B"/>
    <w:rsid w:val="00601B98"/>
    <w:rsid w:val="00601FDF"/>
    <w:rsid w:val="006021D1"/>
    <w:rsid w:val="00603760"/>
    <w:rsid w:val="006074A5"/>
    <w:rsid w:val="006104F1"/>
    <w:rsid w:val="006107AF"/>
    <w:rsid w:val="00610C78"/>
    <w:rsid w:val="00610FF1"/>
    <w:rsid w:val="00611E50"/>
    <w:rsid w:val="00614B78"/>
    <w:rsid w:val="00614C93"/>
    <w:rsid w:val="00617046"/>
    <w:rsid w:val="00617329"/>
    <w:rsid w:val="00621954"/>
    <w:rsid w:val="00622575"/>
    <w:rsid w:val="00622D58"/>
    <w:rsid w:val="006256D3"/>
    <w:rsid w:val="00631A76"/>
    <w:rsid w:val="006326DA"/>
    <w:rsid w:val="00633B05"/>
    <w:rsid w:val="006347C5"/>
    <w:rsid w:val="00634B44"/>
    <w:rsid w:val="006361AF"/>
    <w:rsid w:val="00642A6D"/>
    <w:rsid w:val="00645565"/>
    <w:rsid w:val="006457C8"/>
    <w:rsid w:val="00646EC1"/>
    <w:rsid w:val="00650B49"/>
    <w:rsid w:val="00651083"/>
    <w:rsid w:val="00653153"/>
    <w:rsid w:val="00655FE8"/>
    <w:rsid w:val="006613CA"/>
    <w:rsid w:val="00662036"/>
    <w:rsid w:val="0066351B"/>
    <w:rsid w:val="00664E07"/>
    <w:rsid w:val="00665237"/>
    <w:rsid w:val="00665BF6"/>
    <w:rsid w:val="006667D2"/>
    <w:rsid w:val="00667201"/>
    <w:rsid w:val="00670C06"/>
    <w:rsid w:val="00670D5F"/>
    <w:rsid w:val="00673CEA"/>
    <w:rsid w:val="006744EF"/>
    <w:rsid w:val="00674689"/>
    <w:rsid w:val="006746C7"/>
    <w:rsid w:val="006769E9"/>
    <w:rsid w:val="00680282"/>
    <w:rsid w:val="0068031E"/>
    <w:rsid w:val="006803F9"/>
    <w:rsid w:val="00681D60"/>
    <w:rsid w:val="00682814"/>
    <w:rsid w:val="006853A8"/>
    <w:rsid w:val="0068552B"/>
    <w:rsid w:val="00686FBD"/>
    <w:rsid w:val="0068754E"/>
    <w:rsid w:val="00687797"/>
    <w:rsid w:val="006900D5"/>
    <w:rsid w:val="00691436"/>
    <w:rsid w:val="00691850"/>
    <w:rsid w:val="0069284C"/>
    <w:rsid w:val="0069445D"/>
    <w:rsid w:val="00695DF8"/>
    <w:rsid w:val="00696BA9"/>
    <w:rsid w:val="00697070"/>
    <w:rsid w:val="0069727E"/>
    <w:rsid w:val="006A20D4"/>
    <w:rsid w:val="006A31BB"/>
    <w:rsid w:val="006A368B"/>
    <w:rsid w:val="006A4B6F"/>
    <w:rsid w:val="006A621A"/>
    <w:rsid w:val="006B05B0"/>
    <w:rsid w:val="006B09F3"/>
    <w:rsid w:val="006B1B44"/>
    <w:rsid w:val="006B1BE3"/>
    <w:rsid w:val="006B5201"/>
    <w:rsid w:val="006C0797"/>
    <w:rsid w:val="006C1599"/>
    <w:rsid w:val="006C380F"/>
    <w:rsid w:val="006C4DCD"/>
    <w:rsid w:val="006C5766"/>
    <w:rsid w:val="006C7E30"/>
    <w:rsid w:val="006D0D8D"/>
    <w:rsid w:val="006D1D20"/>
    <w:rsid w:val="006D261B"/>
    <w:rsid w:val="006D26E2"/>
    <w:rsid w:val="006D2C3F"/>
    <w:rsid w:val="006D4989"/>
    <w:rsid w:val="006E384F"/>
    <w:rsid w:val="006F10C1"/>
    <w:rsid w:val="006F3266"/>
    <w:rsid w:val="006F3CD2"/>
    <w:rsid w:val="006F761F"/>
    <w:rsid w:val="006F7847"/>
    <w:rsid w:val="007001DA"/>
    <w:rsid w:val="00702D98"/>
    <w:rsid w:val="00703F04"/>
    <w:rsid w:val="007048F0"/>
    <w:rsid w:val="00706835"/>
    <w:rsid w:val="00707137"/>
    <w:rsid w:val="00711B6A"/>
    <w:rsid w:val="00712D21"/>
    <w:rsid w:val="00715C2E"/>
    <w:rsid w:val="00716036"/>
    <w:rsid w:val="00717623"/>
    <w:rsid w:val="007204C9"/>
    <w:rsid w:val="00721826"/>
    <w:rsid w:val="00721E00"/>
    <w:rsid w:val="00722373"/>
    <w:rsid w:val="00722697"/>
    <w:rsid w:val="00726C1B"/>
    <w:rsid w:val="00727E21"/>
    <w:rsid w:val="00727F4A"/>
    <w:rsid w:val="00734D7C"/>
    <w:rsid w:val="0073753A"/>
    <w:rsid w:val="007412E9"/>
    <w:rsid w:val="007431A9"/>
    <w:rsid w:val="007435BF"/>
    <w:rsid w:val="00744D28"/>
    <w:rsid w:val="007455C7"/>
    <w:rsid w:val="007532D2"/>
    <w:rsid w:val="0075353B"/>
    <w:rsid w:val="00754543"/>
    <w:rsid w:val="00754700"/>
    <w:rsid w:val="0075513F"/>
    <w:rsid w:val="00755FA2"/>
    <w:rsid w:val="0075770F"/>
    <w:rsid w:val="007636C0"/>
    <w:rsid w:val="0076494F"/>
    <w:rsid w:val="0076557E"/>
    <w:rsid w:val="0076607D"/>
    <w:rsid w:val="00774A5E"/>
    <w:rsid w:val="00774B69"/>
    <w:rsid w:val="007754C0"/>
    <w:rsid w:val="00780648"/>
    <w:rsid w:val="00780E73"/>
    <w:rsid w:val="00781E83"/>
    <w:rsid w:val="0078231A"/>
    <w:rsid w:val="00783482"/>
    <w:rsid w:val="0078399D"/>
    <w:rsid w:val="00784491"/>
    <w:rsid w:val="00787E08"/>
    <w:rsid w:val="007901EB"/>
    <w:rsid w:val="00791656"/>
    <w:rsid w:val="00792BD4"/>
    <w:rsid w:val="0079366F"/>
    <w:rsid w:val="00793941"/>
    <w:rsid w:val="0079399F"/>
    <w:rsid w:val="00793F4A"/>
    <w:rsid w:val="007A0588"/>
    <w:rsid w:val="007A148D"/>
    <w:rsid w:val="007A21F2"/>
    <w:rsid w:val="007A3D3D"/>
    <w:rsid w:val="007A50BE"/>
    <w:rsid w:val="007A5887"/>
    <w:rsid w:val="007A5CB7"/>
    <w:rsid w:val="007A7287"/>
    <w:rsid w:val="007B2007"/>
    <w:rsid w:val="007B21F1"/>
    <w:rsid w:val="007B29EB"/>
    <w:rsid w:val="007B3DB3"/>
    <w:rsid w:val="007B4B0C"/>
    <w:rsid w:val="007B516B"/>
    <w:rsid w:val="007B5218"/>
    <w:rsid w:val="007B5CE6"/>
    <w:rsid w:val="007B6200"/>
    <w:rsid w:val="007B7236"/>
    <w:rsid w:val="007C03D4"/>
    <w:rsid w:val="007C201F"/>
    <w:rsid w:val="007C53AA"/>
    <w:rsid w:val="007C7EF4"/>
    <w:rsid w:val="007D04B3"/>
    <w:rsid w:val="007D0FBB"/>
    <w:rsid w:val="007D38F9"/>
    <w:rsid w:val="007D412B"/>
    <w:rsid w:val="007D487C"/>
    <w:rsid w:val="007D4DFA"/>
    <w:rsid w:val="007D5CF6"/>
    <w:rsid w:val="007D65CB"/>
    <w:rsid w:val="007D6A0A"/>
    <w:rsid w:val="007E3323"/>
    <w:rsid w:val="007E3703"/>
    <w:rsid w:val="007E4148"/>
    <w:rsid w:val="007E513D"/>
    <w:rsid w:val="007E5DD6"/>
    <w:rsid w:val="007E651A"/>
    <w:rsid w:val="007F0318"/>
    <w:rsid w:val="007F045D"/>
    <w:rsid w:val="007F1FD8"/>
    <w:rsid w:val="007F3307"/>
    <w:rsid w:val="007F5E85"/>
    <w:rsid w:val="007F63E3"/>
    <w:rsid w:val="007F7CAA"/>
    <w:rsid w:val="00801091"/>
    <w:rsid w:val="00801D08"/>
    <w:rsid w:val="00803B0E"/>
    <w:rsid w:val="00803D1E"/>
    <w:rsid w:val="00806056"/>
    <w:rsid w:val="0080745F"/>
    <w:rsid w:val="0081083C"/>
    <w:rsid w:val="00810848"/>
    <w:rsid w:val="0081250A"/>
    <w:rsid w:val="00812B41"/>
    <w:rsid w:val="00817E22"/>
    <w:rsid w:val="008208CF"/>
    <w:rsid w:val="00820AED"/>
    <w:rsid w:val="008217ED"/>
    <w:rsid w:val="00822591"/>
    <w:rsid w:val="0082319F"/>
    <w:rsid w:val="0082789C"/>
    <w:rsid w:val="008332A4"/>
    <w:rsid w:val="0083450B"/>
    <w:rsid w:val="00834FF3"/>
    <w:rsid w:val="00835678"/>
    <w:rsid w:val="00835B9F"/>
    <w:rsid w:val="0083732E"/>
    <w:rsid w:val="0084054A"/>
    <w:rsid w:val="00840AF5"/>
    <w:rsid w:val="008422D0"/>
    <w:rsid w:val="00843E66"/>
    <w:rsid w:val="008469CA"/>
    <w:rsid w:val="00847FF2"/>
    <w:rsid w:val="00850133"/>
    <w:rsid w:val="00850816"/>
    <w:rsid w:val="00854849"/>
    <w:rsid w:val="008574F8"/>
    <w:rsid w:val="008607AC"/>
    <w:rsid w:val="00861352"/>
    <w:rsid w:val="00861526"/>
    <w:rsid w:val="00861ED4"/>
    <w:rsid w:val="00862A5B"/>
    <w:rsid w:val="00862BDF"/>
    <w:rsid w:val="0086410A"/>
    <w:rsid w:val="00864282"/>
    <w:rsid w:val="008651BB"/>
    <w:rsid w:val="00865CC7"/>
    <w:rsid w:val="00872099"/>
    <w:rsid w:val="008734BB"/>
    <w:rsid w:val="00873C3B"/>
    <w:rsid w:val="00874582"/>
    <w:rsid w:val="00874C1D"/>
    <w:rsid w:val="00875177"/>
    <w:rsid w:val="00875474"/>
    <w:rsid w:val="0087612B"/>
    <w:rsid w:val="00880EFC"/>
    <w:rsid w:val="00881570"/>
    <w:rsid w:val="0088381F"/>
    <w:rsid w:val="00886ABD"/>
    <w:rsid w:val="00886D42"/>
    <w:rsid w:val="008922B4"/>
    <w:rsid w:val="00892F57"/>
    <w:rsid w:val="00894AD7"/>
    <w:rsid w:val="00896AD9"/>
    <w:rsid w:val="00896AF1"/>
    <w:rsid w:val="00896BF5"/>
    <w:rsid w:val="008979E9"/>
    <w:rsid w:val="008A0F9D"/>
    <w:rsid w:val="008A669E"/>
    <w:rsid w:val="008B27A9"/>
    <w:rsid w:val="008B28A9"/>
    <w:rsid w:val="008B30D0"/>
    <w:rsid w:val="008B32E0"/>
    <w:rsid w:val="008C12C5"/>
    <w:rsid w:val="008C141B"/>
    <w:rsid w:val="008C4611"/>
    <w:rsid w:val="008C5B5D"/>
    <w:rsid w:val="008C6683"/>
    <w:rsid w:val="008C6E8B"/>
    <w:rsid w:val="008D086B"/>
    <w:rsid w:val="008D1331"/>
    <w:rsid w:val="008D17E6"/>
    <w:rsid w:val="008D2079"/>
    <w:rsid w:val="008D2B10"/>
    <w:rsid w:val="008D5703"/>
    <w:rsid w:val="008E3337"/>
    <w:rsid w:val="008E4880"/>
    <w:rsid w:val="008E6B23"/>
    <w:rsid w:val="008F06A4"/>
    <w:rsid w:val="008F0F98"/>
    <w:rsid w:val="008F26BF"/>
    <w:rsid w:val="008F29D2"/>
    <w:rsid w:val="008F2D7F"/>
    <w:rsid w:val="008F4EB8"/>
    <w:rsid w:val="008F5A2A"/>
    <w:rsid w:val="008F6887"/>
    <w:rsid w:val="008F7203"/>
    <w:rsid w:val="009019FD"/>
    <w:rsid w:val="00902F4C"/>
    <w:rsid w:val="00903BEF"/>
    <w:rsid w:val="00904DD6"/>
    <w:rsid w:val="00904EB4"/>
    <w:rsid w:val="009060E9"/>
    <w:rsid w:val="00907E34"/>
    <w:rsid w:val="00910DC3"/>
    <w:rsid w:val="009116B0"/>
    <w:rsid w:val="00913241"/>
    <w:rsid w:val="00914472"/>
    <w:rsid w:val="009175B1"/>
    <w:rsid w:val="00920294"/>
    <w:rsid w:val="00920CC9"/>
    <w:rsid w:val="009216E0"/>
    <w:rsid w:val="009224F5"/>
    <w:rsid w:val="009230A4"/>
    <w:rsid w:val="00923108"/>
    <w:rsid w:val="00925BB9"/>
    <w:rsid w:val="00925E0E"/>
    <w:rsid w:val="00927B3A"/>
    <w:rsid w:val="00932040"/>
    <w:rsid w:val="00935D51"/>
    <w:rsid w:val="0093711C"/>
    <w:rsid w:val="0093750E"/>
    <w:rsid w:val="009378FE"/>
    <w:rsid w:val="009404FC"/>
    <w:rsid w:val="0094361B"/>
    <w:rsid w:val="0094438E"/>
    <w:rsid w:val="00945618"/>
    <w:rsid w:val="009462C3"/>
    <w:rsid w:val="009502DF"/>
    <w:rsid w:val="0095032A"/>
    <w:rsid w:val="00950B33"/>
    <w:rsid w:val="009510F6"/>
    <w:rsid w:val="00951291"/>
    <w:rsid w:val="00951BE1"/>
    <w:rsid w:val="009539C8"/>
    <w:rsid w:val="0095763E"/>
    <w:rsid w:val="00963685"/>
    <w:rsid w:val="00966298"/>
    <w:rsid w:val="00966DE6"/>
    <w:rsid w:val="00967A71"/>
    <w:rsid w:val="009707C7"/>
    <w:rsid w:val="009729F7"/>
    <w:rsid w:val="009739E6"/>
    <w:rsid w:val="009743D2"/>
    <w:rsid w:val="00974678"/>
    <w:rsid w:val="0097508F"/>
    <w:rsid w:val="00982677"/>
    <w:rsid w:val="009833E5"/>
    <w:rsid w:val="00985AA6"/>
    <w:rsid w:val="009871A3"/>
    <w:rsid w:val="00990032"/>
    <w:rsid w:val="00991113"/>
    <w:rsid w:val="0099611F"/>
    <w:rsid w:val="00996D31"/>
    <w:rsid w:val="009A01F4"/>
    <w:rsid w:val="009A068A"/>
    <w:rsid w:val="009A2022"/>
    <w:rsid w:val="009A2ECA"/>
    <w:rsid w:val="009A4FCA"/>
    <w:rsid w:val="009A7FB2"/>
    <w:rsid w:val="009B1312"/>
    <w:rsid w:val="009B2512"/>
    <w:rsid w:val="009B3250"/>
    <w:rsid w:val="009B3894"/>
    <w:rsid w:val="009B437C"/>
    <w:rsid w:val="009B48D6"/>
    <w:rsid w:val="009B4B74"/>
    <w:rsid w:val="009B5455"/>
    <w:rsid w:val="009B7A68"/>
    <w:rsid w:val="009C5F37"/>
    <w:rsid w:val="009C5FF0"/>
    <w:rsid w:val="009C6D7F"/>
    <w:rsid w:val="009C6F8C"/>
    <w:rsid w:val="009C76EC"/>
    <w:rsid w:val="009D1F64"/>
    <w:rsid w:val="009D2957"/>
    <w:rsid w:val="009D3805"/>
    <w:rsid w:val="009D384C"/>
    <w:rsid w:val="009D43DB"/>
    <w:rsid w:val="009D53B4"/>
    <w:rsid w:val="009D651C"/>
    <w:rsid w:val="009D7161"/>
    <w:rsid w:val="009D7591"/>
    <w:rsid w:val="009D76BD"/>
    <w:rsid w:val="009E01D5"/>
    <w:rsid w:val="009E2236"/>
    <w:rsid w:val="009E2361"/>
    <w:rsid w:val="009E2DB2"/>
    <w:rsid w:val="009E339E"/>
    <w:rsid w:val="009E59A7"/>
    <w:rsid w:val="009E6DA0"/>
    <w:rsid w:val="009F0437"/>
    <w:rsid w:val="009F07BF"/>
    <w:rsid w:val="009F17A7"/>
    <w:rsid w:val="009F214B"/>
    <w:rsid w:val="009F262D"/>
    <w:rsid w:val="009F342F"/>
    <w:rsid w:val="009F3C50"/>
    <w:rsid w:val="009F4242"/>
    <w:rsid w:val="009F4276"/>
    <w:rsid w:val="009F5F0C"/>
    <w:rsid w:val="009F6DDE"/>
    <w:rsid w:val="00A00210"/>
    <w:rsid w:val="00A02383"/>
    <w:rsid w:val="00A026AA"/>
    <w:rsid w:val="00A0291C"/>
    <w:rsid w:val="00A02D05"/>
    <w:rsid w:val="00A02DAC"/>
    <w:rsid w:val="00A04F77"/>
    <w:rsid w:val="00A05512"/>
    <w:rsid w:val="00A075D3"/>
    <w:rsid w:val="00A10714"/>
    <w:rsid w:val="00A10F2F"/>
    <w:rsid w:val="00A12F07"/>
    <w:rsid w:val="00A130E0"/>
    <w:rsid w:val="00A134E6"/>
    <w:rsid w:val="00A161CF"/>
    <w:rsid w:val="00A20D5A"/>
    <w:rsid w:val="00A21209"/>
    <w:rsid w:val="00A2198E"/>
    <w:rsid w:val="00A227D9"/>
    <w:rsid w:val="00A25137"/>
    <w:rsid w:val="00A25198"/>
    <w:rsid w:val="00A25CC8"/>
    <w:rsid w:val="00A26131"/>
    <w:rsid w:val="00A26165"/>
    <w:rsid w:val="00A2674E"/>
    <w:rsid w:val="00A26BA7"/>
    <w:rsid w:val="00A271BD"/>
    <w:rsid w:val="00A322EB"/>
    <w:rsid w:val="00A345A9"/>
    <w:rsid w:val="00A35622"/>
    <w:rsid w:val="00A35EE7"/>
    <w:rsid w:val="00A37127"/>
    <w:rsid w:val="00A37F87"/>
    <w:rsid w:val="00A407DA"/>
    <w:rsid w:val="00A40C70"/>
    <w:rsid w:val="00A428DD"/>
    <w:rsid w:val="00A44341"/>
    <w:rsid w:val="00A4435B"/>
    <w:rsid w:val="00A4437E"/>
    <w:rsid w:val="00A44F43"/>
    <w:rsid w:val="00A466CF"/>
    <w:rsid w:val="00A51684"/>
    <w:rsid w:val="00A52BDA"/>
    <w:rsid w:val="00A54711"/>
    <w:rsid w:val="00A54D26"/>
    <w:rsid w:val="00A552AD"/>
    <w:rsid w:val="00A57BDB"/>
    <w:rsid w:val="00A6152F"/>
    <w:rsid w:val="00A62BAD"/>
    <w:rsid w:val="00A631D8"/>
    <w:rsid w:val="00A63545"/>
    <w:rsid w:val="00A64ABF"/>
    <w:rsid w:val="00A64D19"/>
    <w:rsid w:val="00A6745B"/>
    <w:rsid w:val="00A71242"/>
    <w:rsid w:val="00A7271C"/>
    <w:rsid w:val="00A73CAA"/>
    <w:rsid w:val="00A73FDC"/>
    <w:rsid w:val="00A74C0D"/>
    <w:rsid w:val="00A75010"/>
    <w:rsid w:val="00A77079"/>
    <w:rsid w:val="00A80D80"/>
    <w:rsid w:val="00A81239"/>
    <w:rsid w:val="00A84E53"/>
    <w:rsid w:val="00A84E92"/>
    <w:rsid w:val="00A8552F"/>
    <w:rsid w:val="00A8596F"/>
    <w:rsid w:val="00A86178"/>
    <w:rsid w:val="00A864CD"/>
    <w:rsid w:val="00A870E7"/>
    <w:rsid w:val="00A90158"/>
    <w:rsid w:val="00A913B2"/>
    <w:rsid w:val="00A925BC"/>
    <w:rsid w:val="00A925CA"/>
    <w:rsid w:val="00A9273C"/>
    <w:rsid w:val="00A92EBC"/>
    <w:rsid w:val="00A944D9"/>
    <w:rsid w:val="00AA1330"/>
    <w:rsid w:val="00AA200F"/>
    <w:rsid w:val="00AA2FAF"/>
    <w:rsid w:val="00AA4B7A"/>
    <w:rsid w:val="00AA55FD"/>
    <w:rsid w:val="00AA5C5F"/>
    <w:rsid w:val="00AA7525"/>
    <w:rsid w:val="00AB0793"/>
    <w:rsid w:val="00AB1053"/>
    <w:rsid w:val="00AB1C2C"/>
    <w:rsid w:val="00AB2663"/>
    <w:rsid w:val="00AB4390"/>
    <w:rsid w:val="00AB4814"/>
    <w:rsid w:val="00AB548A"/>
    <w:rsid w:val="00AB6C1A"/>
    <w:rsid w:val="00AC05C3"/>
    <w:rsid w:val="00AC2A39"/>
    <w:rsid w:val="00AC3FA0"/>
    <w:rsid w:val="00AC4270"/>
    <w:rsid w:val="00AC5003"/>
    <w:rsid w:val="00AC6040"/>
    <w:rsid w:val="00AC60AE"/>
    <w:rsid w:val="00AD12D2"/>
    <w:rsid w:val="00AD2429"/>
    <w:rsid w:val="00AD41B0"/>
    <w:rsid w:val="00AD475C"/>
    <w:rsid w:val="00AD54A9"/>
    <w:rsid w:val="00AD7961"/>
    <w:rsid w:val="00AD7CCA"/>
    <w:rsid w:val="00AE0A5D"/>
    <w:rsid w:val="00AE1661"/>
    <w:rsid w:val="00AE42E4"/>
    <w:rsid w:val="00AF0616"/>
    <w:rsid w:val="00AF27F3"/>
    <w:rsid w:val="00AF2DFD"/>
    <w:rsid w:val="00AF65CE"/>
    <w:rsid w:val="00AF79DA"/>
    <w:rsid w:val="00B00756"/>
    <w:rsid w:val="00B022E6"/>
    <w:rsid w:val="00B06AAA"/>
    <w:rsid w:val="00B0771D"/>
    <w:rsid w:val="00B07E08"/>
    <w:rsid w:val="00B109A4"/>
    <w:rsid w:val="00B12874"/>
    <w:rsid w:val="00B13B0E"/>
    <w:rsid w:val="00B15043"/>
    <w:rsid w:val="00B155EB"/>
    <w:rsid w:val="00B2058A"/>
    <w:rsid w:val="00B210B1"/>
    <w:rsid w:val="00B21CB2"/>
    <w:rsid w:val="00B225DE"/>
    <w:rsid w:val="00B22AD4"/>
    <w:rsid w:val="00B22F96"/>
    <w:rsid w:val="00B23426"/>
    <w:rsid w:val="00B23756"/>
    <w:rsid w:val="00B244BA"/>
    <w:rsid w:val="00B24AE2"/>
    <w:rsid w:val="00B25AD0"/>
    <w:rsid w:val="00B30D0A"/>
    <w:rsid w:val="00B34E32"/>
    <w:rsid w:val="00B361E0"/>
    <w:rsid w:val="00B411D3"/>
    <w:rsid w:val="00B4253B"/>
    <w:rsid w:val="00B43A82"/>
    <w:rsid w:val="00B4464D"/>
    <w:rsid w:val="00B46404"/>
    <w:rsid w:val="00B50361"/>
    <w:rsid w:val="00B509DC"/>
    <w:rsid w:val="00B53372"/>
    <w:rsid w:val="00B539E6"/>
    <w:rsid w:val="00B53BF5"/>
    <w:rsid w:val="00B55152"/>
    <w:rsid w:val="00B552FA"/>
    <w:rsid w:val="00B579B2"/>
    <w:rsid w:val="00B602F0"/>
    <w:rsid w:val="00B615B4"/>
    <w:rsid w:val="00B63F66"/>
    <w:rsid w:val="00B64A67"/>
    <w:rsid w:val="00B72CC8"/>
    <w:rsid w:val="00B74DF0"/>
    <w:rsid w:val="00B7799E"/>
    <w:rsid w:val="00B77E4B"/>
    <w:rsid w:val="00B81771"/>
    <w:rsid w:val="00B8196C"/>
    <w:rsid w:val="00B82996"/>
    <w:rsid w:val="00B82E64"/>
    <w:rsid w:val="00B83815"/>
    <w:rsid w:val="00B83C22"/>
    <w:rsid w:val="00B850A4"/>
    <w:rsid w:val="00B86296"/>
    <w:rsid w:val="00B87357"/>
    <w:rsid w:val="00B90101"/>
    <w:rsid w:val="00B91050"/>
    <w:rsid w:val="00B9125E"/>
    <w:rsid w:val="00B9663B"/>
    <w:rsid w:val="00BA2C86"/>
    <w:rsid w:val="00BA32C7"/>
    <w:rsid w:val="00BA76BB"/>
    <w:rsid w:val="00BB2930"/>
    <w:rsid w:val="00BB3F37"/>
    <w:rsid w:val="00BB5C4E"/>
    <w:rsid w:val="00BC04AB"/>
    <w:rsid w:val="00BC075F"/>
    <w:rsid w:val="00BC1F9B"/>
    <w:rsid w:val="00BC3B63"/>
    <w:rsid w:val="00BD18AC"/>
    <w:rsid w:val="00BD21B4"/>
    <w:rsid w:val="00BD2882"/>
    <w:rsid w:val="00BD2A95"/>
    <w:rsid w:val="00BD4B5F"/>
    <w:rsid w:val="00BE02F8"/>
    <w:rsid w:val="00BE03A7"/>
    <w:rsid w:val="00BF1C03"/>
    <w:rsid w:val="00BF2847"/>
    <w:rsid w:val="00BF3123"/>
    <w:rsid w:val="00BF5BFF"/>
    <w:rsid w:val="00BF6768"/>
    <w:rsid w:val="00BF6776"/>
    <w:rsid w:val="00C00E6D"/>
    <w:rsid w:val="00C0103D"/>
    <w:rsid w:val="00C01191"/>
    <w:rsid w:val="00C01C47"/>
    <w:rsid w:val="00C02BAE"/>
    <w:rsid w:val="00C03602"/>
    <w:rsid w:val="00C05392"/>
    <w:rsid w:val="00C066E1"/>
    <w:rsid w:val="00C10E33"/>
    <w:rsid w:val="00C1117C"/>
    <w:rsid w:val="00C12F24"/>
    <w:rsid w:val="00C13337"/>
    <w:rsid w:val="00C13CFF"/>
    <w:rsid w:val="00C14C2F"/>
    <w:rsid w:val="00C200EE"/>
    <w:rsid w:val="00C20A22"/>
    <w:rsid w:val="00C20B79"/>
    <w:rsid w:val="00C211C2"/>
    <w:rsid w:val="00C21EB5"/>
    <w:rsid w:val="00C24D16"/>
    <w:rsid w:val="00C25621"/>
    <w:rsid w:val="00C26BA8"/>
    <w:rsid w:val="00C26BBD"/>
    <w:rsid w:val="00C31126"/>
    <w:rsid w:val="00C31CFB"/>
    <w:rsid w:val="00C32691"/>
    <w:rsid w:val="00C32A16"/>
    <w:rsid w:val="00C32CD7"/>
    <w:rsid w:val="00C33BB8"/>
    <w:rsid w:val="00C34B87"/>
    <w:rsid w:val="00C35319"/>
    <w:rsid w:val="00C3632F"/>
    <w:rsid w:val="00C372DF"/>
    <w:rsid w:val="00C4054D"/>
    <w:rsid w:val="00C40EBB"/>
    <w:rsid w:val="00C42604"/>
    <w:rsid w:val="00C452EE"/>
    <w:rsid w:val="00C47268"/>
    <w:rsid w:val="00C5100F"/>
    <w:rsid w:val="00C53588"/>
    <w:rsid w:val="00C55C00"/>
    <w:rsid w:val="00C56C2D"/>
    <w:rsid w:val="00C62521"/>
    <w:rsid w:val="00C628AC"/>
    <w:rsid w:val="00C62B0A"/>
    <w:rsid w:val="00C64A13"/>
    <w:rsid w:val="00C72EE2"/>
    <w:rsid w:val="00C73773"/>
    <w:rsid w:val="00C74050"/>
    <w:rsid w:val="00C75930"/>
    <w:rsid w:val="00C769A6"/>
    <w:rsid w:val="00C80812"/>
    <w:rsid w:val="00C82223"/>
    <w:rsid w:val="00C833F4"/>
    <w:rsid w:val="00C83C47"/>
    <w:rsid w:val="00C83D90"/>
    <w:rsid w:val="00C84740"/>
    <w:rsid w:val="00C8610E"/>
    <w:rsid w:val="00C901AD"/>
    <w:rsid w:val="00C90C06"/>
    <w:rsid w:val="00C95822"/>
    <w:rsid w:val="00C96C31"/>
    <w:rsid w:val="00C973E0"/>
    <w:rsid w:val="00CA01E7"/>
    <w:rsid w:val="00CA09CE"/>
    <w:rsid w:val="00CA0BC4"/>
    <w:rsid w:val="00CA0C45"/>
    <w:rsid w:val="00CA3B80"/>
    <w:rsid w:val="00CA4272"/>
    <w:rsid w:val="00CA4A34"/>
    <w:rsid w:val="00CA78A1"/>
    <w:rsid w:val="00CA7B4B"/>
    <w:rsid w:val="00CB1C8E"/>
    <w:rsid w:val="00CB38A6"/>
    <w:rsid w:val="00CB547D"/>
    <w:rsid w:val="00CB60BF"/>
    <w:rsid w:val="00CB61AF"/>
    <w:rsid w:val="00CB75A7"/>
    <w:rsid w:val="00CC37B8"/>
    <w:rsid w:val="00CC3F79"/>
    <w:rsid w:val="00CC4A57"/>
    <w:rsid w:val="00CC6112"/>
    <w:rsid w:val="00CD1CA4"/>
    <w:rsid w:val="00CD1D91"/>
    <w:rsid w:val="00CD23F5"/>
    <w:rsid w:val="00CD4F7B"/>
    <w:rsid w:val="00CD619B"/>
    <w:rsid w:val="00CD6C68"/>
    <w:rsid w:val="00CD700B"/>
    <w:rsid w:val="00CE170D"/>
    <w:rsid w:val="00CE1ADF"/>
    <w:rsid w:val="00CE66D2"/>
    <w:rsid w:val="00CE7C59"/>
    <w:rsid w:val="00CE7E32"/>
    <w:rsid w:val="00CF0768"/>
    <w:rsid w:val="00CF1169"/>
    <w:rsid w:val="00CF3F3A"/>
    <w:rsid w:val="00CF44D5"/>
    <w:rsid w:val="00CF4988"/>
    <w:rsid w:val="00CF71F0"/>
    <w:rsid w:val="00D0090B"/>
    <w:rsid w:val="00D014B4"/>
    <w:rsid w:val="00D01908"/>
    <w:rsid w:val="00D02E24"/>
    <w:rsid w:val="00D02EB4"/>
    <w:rsid w:val="00D05808"/>
    <w:rsid w:val="00D05A26"/>
    <w:rsid w:val="00D1140F"/>
    <w:rsid w:val="00D1299C"/>
    <w:rsid w:val="00D15DFD"/>
    <w:rsid w:val="00D21A0E"/>
    <w:rsid w:val="00D227DA"/>
    <w:rsid w:val="00D23360"/>
    <w:rsid w:val="00D2393C"/>
    <w:rsid w:val="00D24F72"/>
    <w:rsid w:val="00D271D2"/>
    <w:rsid w:val="00D27269"/>
    <w:rsid w:val="00D27561"/>
    <w:rsid w:val="00D30C14"/>
    <w:rsid w:val="00D325FA"/>
    <w:rsid w:val="00D32F62"/>
    <w:rsid w:val="00D33B29"/>
    <w:rsid w:val="00D354C5"/>
    <w:rsid w:val="00D3681C"/>
    <w:rsid w:val="00D40209"/>
    <w:rsid w:val="00D4053C"/>
    <w:rsid w:val="00D4361B"/>
    <w:rsid w:val="00D46147"/>
    <w:rsid w:val="00D4625E"/>
    <w:rsid w:val="00D46E36"/>
    <w:rsid w:val="00D531E0"/>
    <w:rsid w:val="00D53B85"/>
    <w:rsid w:val="00D567D3"/>
    <w:rsid w:val="00D63311"/>
    <w:rsid w:val="00D64482"/>
    <w:rsid w:val="00D649CF"/>
    <w:rsid w:val="00D65076"/>
    <w:rsid w:val="00D65BF1"/>
    <w:rsid w:val="00D664C9"/>
    <w:rsid w:val="00D66C79"/>
    <w:rsid w:val="00D67437"/>
    <w:rsid w:val="00D7025B"/>
    <w:rsid w:val="00D71A37"/>
    <w:rsid w:val="00D71CBB"/>
    <w:rsid w:val="00D72D2A"/>
    <w:rsid w:val="00D73E8D"/>
    <w:rsid w:val="00D76B65"/>
    <w:rsid w:val="00D775D3"/>
    <w:rsid w:val="00D8061D"/>
    <w:rsid w:val="00D8097F"/>
    <w:rsid w:val="00D8158D"/>
    <w:rsid w:val="00D8202B"/>
    <w:rsid w:val="00D826F1"/>
    <w:rsid w:val="00D83F21"/>
    <w:rsid w:val="00D8429E"/>
    <w:rsid w:val="00D84566"/>
    <w:rsid w:val="00D85381"/>
    <w:rsid w:val="00D86CA2"/>
    <w:rsid w:val="00D92161"/>
    <w:rsid w:val="00D93EA7"/>
    <w:rsid w:val="00D946C0"/>
    <w:rsid w:val="00D9485A"/>
    <w:rsid w:val="00D94C27"/>
    <w:rsid w:val="00D953F1"/>
    <w:rsid w:val="00D9571D"/>
    <w:rsid w:val="00D9637E"/>
    <w:rsid w:val="00D974CE"/>
    <w:rsid w:val="00DA19B9"/>
    <w:rsid w:val="00DA3111"/>
    <w:rsid w:val="00DA3554"/>
    <w:rsid w:val="00DA4112"/>
    <w:rsid w:val="00DA4D70"/>
    <w:rsid w:val="00DA6270"/>
    <w:rsid w:val="00DA7735"/>
    <w:rsid w:val="00DA7E05"/>
    <w:rsid w:val="00DB22BB"/>
    <w:rsid w:val="00DB25D0"/>
    <w:rsid w:val="00DB2812"/>
    <w:rsid w:val="00DB2F8F"/>
    <w:rsid w:val="00DB4480"/>
    <w:rsid w:val="00DB6BC9"/>
    <w:rsid w:val="00DC3A3E"/>
    <w:rsid w:val="00DC3C9C"/>
    <w:rsid w:val="00DC6925"/>
    <w:rsid w:val="00DC6965"/>
    <w:rsid w:val="00DC76D6"/>
    <w:rsid w:val="00DD137E"/>
    <w:rsid w:val="00DD3D6E"/>
    <w:rsid w:val="00DD5B72"/>
    <w:rsid w:val="00DD5FB0"/>
    <w:rsid w:val="00DD7D5D"/>
    <w:rsid w:val="00DE005B"/>
    <w:rsid w:val="00DE0FB1"/>
    <w:rsid w:val="00DE3B7E"/>
    <w:rsid w:val="00DE4E3F"/>
    <w:rsid w:val="00DE4E5D"/>
    <w:rsid w:val="00DE4FAB"/>
    <w:rsid w:val="00DE6596"/>
    <w:rsid w:val="00DF08C8"/>
    <w:rsid w:val="00DF3C94"/>
    <w:rsid w:val="00DF4AC4"/>
    <w:rsid w:val="00DF6724"/>
    <w:rsid w:val="00DF6762"/>
    <w:rsid w:val="00DF67FB"/>
    <w:rsid w:val="00E01546"/>
    <w:rsid w:val="00E02F9D"/>
    <w:rsid w:val="00E03953"/>
    <w:rsid w:val="00E055EB"/>
    <w:rsid w:val="00E05D91"/>
    <w:rsid w:val="00E07776"/>
    <w:rsid w:val="00E112A1"/>
    <w:rsid w:val="00E13A36"/>
    <w:rsid w:val="00E13D21"/>
    <w:rsid w:val="00E14158"/>
    <w:rsid w:val="00E14FDA"/>
    <w:rsid w:val="00E1658D"/>
    <w:rsid w:val="00E165D4"/>
    <w:rsid w:val="00E16A64"/>
    <w:rsid w:val="00E208DF"/>
    <w:rsid w:val="00E2175E"/>
    <w:rsid w:val="00E21859"/>
    <w:rsid w:val="00E226D2"/>
    <w:rsid w:val="00E23EE3"/>
    <w:rsid w:val="00E24A0C"/>
    <w:rsid w:val="00E25E15"/>
    <w:rsid w:val="00E269BD"/>
    <w:rsid w:val="00E3211A"/>
    <w:rsid w:val="00E32FC6"/>
    <w:rsid w:val="00E4060A"/>
    <w:rsid w:val="00E41848"/>
    <w:rsid w:val="00E41BBA"/>
    <w:rsid w:val="00E439F6"/>
    <w:rsid w:val="00E44C66"/>
    <w:rsid w:val="00E46146"/>
    <w:rsid w:val="00E46A2B"/>
    <w:rsid w:val="00E50655"/>
    <w:rsid w:val="00E548E7"/>
    <w:rsid w:val="00E55532"/>
    <w:rsid w:val="00E6773B"/>
    <w:rsid w:val="00E70B7E"/>
    <w:rsid w:val="00E71937"/>
    <w:rsid w:val="00E7609F"/>
    <w:rsid w:val="00E77C0F"/>
    <w:rsid w:val="00E804DD"/>
    <w:rsid w:val="00E81FE7"/>
    <w:rsid w:val="00E82BD6"/>
    <w:rsid w:val="00E830A1"/>
    <w:rsid w:val="00E83D0F"/>
    <w:rsid w:val="00E848EC"/>
    <w:rsid w:val="00E84C1F"/>
    <w:rsid w:val="00E852D5"/>
    <w:rsid w:val="00E8656A"/>
    <w:rsid w:val="00E9137E"/>
    <w:rsid w:val="00E92658"/>
    <w:rsid w:val="00E958B9"/>
    <w:rsid w:val="00E95BEA"/>
    <w:rsid w:val="00E96C46"/>
    <w:rsid w:val="00E97DCF"/>
    <w:rsid w:val="00EA1721"/>
    <w:rsid w:val="00EA177C"/>
    <w:rsid w:val="00EA1C6F"/>
    <w:rsid w:val="00EA3F32"/>
    <w:rsid w:val="00EA43BC"/>
    <w:rsid w:val="00EA55C6"/>
    <w:rsid w:val="00EA780A"/>
    <w:rsid w:val="00EA7FD0"/>
    <w:rsid w:val="00EB1452"/>
    <w:rsid w:val="00EB1A58"/>
    <w:rsid w:val="00EB2DE1"/>
    <w:rsid w:val="00EB3671"/>
    <w:rsid w:val="00EB4FE9"/>
    <w:rsid w:val="00EB51E4"/>
    <w:rsid w:val="00EB7618"/>
    <w:rsid w:val="00EC0675"/>
    <w:rsid w:val="00EC0F74"/>
    <w:rsid w:val="00EC4402"/>
    <w:rsid w:val="00EC45B9"/>
    <w:rsid w:val="00EC4BE8"/>
    <w:rsid w:val="00EC643E"/>
    <w:rsid w:val="00EC6D4A"/>
    <w:rsid w:val="00EC7425"/>
    <w:rsid w:val="00ED48D4"/>
    <w:rsid w:val="00ED5267"/>
    <w:rsid w:val="00ED6A02"/>
    <w:rsid w:val="00ED7FD1"/>
    <w:rsid w:val="00EE00CA"/>
    <w:rsid w:val="00EE2113"/>
    <w:rsid w:val="00EE508D"/>
    <w:rsid w:val="00EE6C37"/>
    <w:rsid w:val="00EF1833"/>
    <w:rsid w:val="00EF39B3"/>
    <w:rsid w:val="00EF6333"/>
    <w:rsid w:val="00EF69E9"/>
    <w:rsid w:val="00EF6CAF"/>
    <w:rsid w:val="00EF6D9B"/>
    <w:rsid w:val="00EF6F5C"/>
    <w:rsid w:val="00EF74B1"/>
    <w:rsid w:val="00EF7818"/>
    <w:rsid w:val="00F00EF0"/>
    <w:rsid w:val="00F02B64"/>
    <w:rsid w:val="00F02CD8"/>
    <w:rsid w:val="00F04D23"/>
    <w:rsid w:val="00F11033"/>
    <w:rsid w:val="00F11D7C"/>
    <w:rsid w:val="00F13A53"/>
    <w:rsid w:val="00F1613F"/>
    <w:rsid w:val="00F16FD1"/>
    <w:rsid w:val="00F17C1F"/>
    <w:rsid w:val="00F20540"/>
    <w:rsid w:val="00F20AF2"/>
    <w:rsid w:val="00F21038"/>
    <w:rsid w:val="00F22BFF"/>
    <w:rsid w:val="00F24F6E"/>
    <w:rsid w:val="00F2541F"/>
    <w:rsid w:val="00F27980"/>
    <w:rsid w:val="00F3118C"/>
    <w:rsid w:val="00F312CF"/>
    <w:rsid w:val="00F3230D"/>
    <w:rsid w:val="00F32357"/>
    <w:rsid w:val="00F33330"/>
    <w:rsid w:val="00F34D21"/>
    <w:rsid w:val="00F40914"/>
    <w:rsid w:val="00F41AA2"/>
    <w:rsid w:val="00F42F8C"/>
    <w:rsid w:val="00F4364E"/>
    <w:rsid w:val="00F454A9"/>
    <w:rsid w:val="00F459E6"/>
    <w:rsid w:val="00F52734"/>
    <w:rsid w:val="00F53880"/>
    <w:rsid w:val="00F551CE"/>
    <w:rsid w:val="00F5626E"/>
    <w:rsid w:val="00F60C1A"/>
    <w:rsid w:val="00F641FB"/>
    <w:rsid w:val="00F660DB"/>
    <w:rsid w:val="00F661DD"/>
    <w:rsid w:val="00F662B5"/>
    <w:rsid w:val="00F665A4"/>
    <w:rsid w:val="00F6694B"/>
    <w:rsid w:val="00F70146"/>
    <w:rsid w:val="00F708B9"/>
    <w:rsid w:val="00F70F99"/>
    <w:rsid w:val="00F719C9"/>
    <w:rsid w:val="00F72170"/>
    <w:rsid w:val="00F730AB"/>
    <w:rsid w:val="00F7315A"/>
    <w:rsid w:val="00F73812"/>
    <w:rsid w:val="00F746CE"/>
    <w:rsid w:val="00F831DB"/>
    <w:rsid w:val="00F84B2C"/>
    <w:rsid w:val="00F84F17"/>
    <w:rsid w:val="00F8629D"/>
    <w:rsid w:val="00F86FEF"/>
    <w:rsid w:val="00F874D8"/>
    <w:rsid w:val="00F87654"/>
    <w:rsid w:val="00F917FA"/>
    <w:rsid w:val="00F928CD"/>
    <w:rsid w:val="00F966E5"/>
    <w:rsid w:val="00FA04C5"/>
    <w:rsid w:val="00FA1171"/>
    <w:rsid w:val="00FA1CA2"/>
    <w:rsid w:val="00FA467E"/>
    <w:rsid w:val="00FA5DF5"/>
    <w:rsid w:val="00FA6D15"/>
    <w:rsid w:val="00FA6DB0"/>
    <w:rsid w:val="00FA6E7C"/>
    <w:rsid w:val="00FA7B3B"/>
    <w:rsid w:val="00FB1BA0"/>
    <w:rsid w:val="00FB53A3"/>
    <w:rsid w:val="00FB5A76"/>
    <w:rsid w:val="00FB5C42"/>
    <w:rsid w:val="00FB7E26"/>
    <w:rsid w:val="00FC2481"/>
    <w:rsid w:val="00FC5CB7"/>
    <w:rsid w:val="00FD045B"/>
    <w:rsid w:val="00FD0BD2"/>
    <w:rsid w:val="00FD2789"/>
    <w:rsid w:val="00FD594A"/>
    <w:rsid w:val="00FE121B"/>
    <w:rsid w:val="00FE14B3"/>
    <w:rsid w:val="00FE3BC4"/>
    <w:rsid w:val="00FE4DA3"/>
    <w:rsid w:val="00FE50BD"/>
    <w:rsid w:val="00FF0DB5"/>
    <w:rsid w:val="00FF319B"/>
    <w:rsid w:val="00FF39F8"/>
    <w:rsid w:val="00FF3E2B"/>
    <w:rsid w:val="00FF49C7"/>
    <w:rsid w:val="00FF670A"/>
    <w:rsid w:val="00FF70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01D998-F7D8-4C13-B16E-6C20D36A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148"/>
    <w:rPr>
      <w:sz w:val="24"/>
      <w:szCs w:val="24"/>
      <w:lang w:val="es-ES" w:eastAsia="es-ES"/>
    </w:rPr>
  </w:style>
  <w:style w:type="paragraph" w:styleId="Ttulo1">
    <w:name w:val="heading 1"/>
    <w:basedOn w:val="Normal"/>
    <w:next w:val="Normal"/>
    <w:link w:val="Ttulo1Car"/>
    <w:qFormat/>
    <w:rsid w:val="004A494F"/>
    <w:pPr>
      <w:keepNext/>
      <w:spacing w:before="360"/>
      <w:jc w:val="right"/>
      <w:outlineLvl w:val="0"/>
    </w:pPr>
    <w:rPr>
      <w:rFonts w:ascii="Arial" w:hAnsi="Arial" w:cs="Arial"/>
      <w:b/>
      <w:bCs/>
    </w:rPr>
  </w:style>
  <w:style w:type="paragraph" w:styleId="Ttulo2">
    <w:name w:val="heading 2"/>
    <w:basedOn w:val="Normal"/>
    <w:next w:val="Normal"/>
    <w:qFormat/>
    <w:rsid w:val="00B509DC"/>
    <w:pPr>
      <w:keepNext/>
      <w:spacing w:before="360"/>
      <w:jc w:val="both"/>
      <w:outlineLvl w:val="1"/>
    </w:pPr>
    <w:rPr>
      <w:rFonts w:ascii="Arial" w:hAnsi="Arial"/>
      <w:i/>
      <w:szCs w:val="20"/>
    </w:rPr>
  </w:style>
  <w:style w:type="paragraph" w:styleId="Ttulo3">
    <w:name w:val="heading 3"/>
    <w:basedOn w:val="Normal"/>
    <w:next w:val="Normal"/>
    <w:link w:val="Ttulo3Car"/>
    <w:qFormat/>
    <w:rsid w:val="00B509DC"/>
    <w:pPr>
      <w:keepNext/>
      <w:spacing w:before="240"/>
      <w:jc w:val="both"/>
      <w:outlineLvl w:val="2"/>
    </w:pPr>
    <w:rPr>
      <w:b/>
      <w:szCs w:val="20"/>
    </w:rPr>
  </w:style>
  <w:style w:type="paragraph" w:styleId="Ttulo4">
    <w:name w:val="heading 4"/>
    <w:basedOn w:val="Normal"/>
    <w:next w:val="Normal"/>
    <w:qFormat/>
    <w:rsid w:val="001D6523"/>
    <w:pPr>
      <w:keepNext/>
      <w:outlineLvl w:val="3"/>
    </w:pPr>
    <w:rPr>
      <w:rFonts w:ascii="Arial Narrow" w:hAnsi="Arial Narrow"/>
      <w:szCs w:val="20"/>
    </w:rPr>
  </w:style>
  <w:style w:type="paragraph" w:styleId="Ttulo5">
    <w:name w:val="heading 5"/>
    <w:basedOn w:val="Normal"/>
    <w:next w:val="Normal"/>
    <w:qFormat/>
    <w:rsid w:val="001D6523"/>
    <w:pPr>
      <w:keepNext/>
      <w:outlineLvl w:val="4"/>
    </w:pPr>
    <w:rPr>
      <w:rFonts w:ascii="Arial Narrow" w:hAnsi="Arial Narrow"/>
      <w:b/>
      <w:szCs w:val="20"/>
    </w:rPr>
  </w:style>
  <w:style w:type="paragraph" w:styleId="Ttulo6">
    <w:name w:val="heading 6"/>
    <w:basedOn w:val="Normal"/>
    <w:next w:val="Normal"/>
    <w:qFormat/>
    <w:rsid w:val="001D6523"/>
    <w:pPr>
      <w:keepNext/>
      <w:spacing w:line="360" w:lineRule="auto"/>
      <w:jc w:val="both"/>
      <w:outlineLvl w:val="5"/>
    </w:pPr>
    <w:rPr>
      <w:rFonts w:ascii="Arial" w:hAnsi="Arial" w:cs="Arial"/>
      <w:b/>
      <w:sz w:val="22"/>
    </w:rPr>
  </w:style>
  <w:style w:type="paragraph" w:styleId="Ttulo7">
    <w:name w:val="heading 7"/>
    <w:basedOn w:val="Normal"/>
    <w:next w:val="Normal"/>
    <w:qFormat/>
    <w:rsid w:val="001D6523"/>
    <w:pPr>
      <w:keepNext/>
      <w:jc w:val="center"/>
      <w:outlineLvl w:val="6"/>
    </w:pPr>
    <w:rPr>
      <w:rFonts w:ascii="Arial" w:hAnsi="Arial" w:cs="Arial"/>
      <w:b/>
      <w:bCs/>
      <w:snapToGrid w:val="0"/>
      <w:sz w:val="22"/>
    </w:rPr>
  </w:style>
  <w:style w:type="paragraph" w:styleId="Ttulo8">
    <w:name w:val="heading 8"/>
    <w:basedOn w:val="Normal"/>
    <w:next w:val="Normal"/>
    <w:qFormat/>
    <w:rsid w:val="001D6523"/>
    <w:pPr>
      <w:keepNext/>
      <w:spacing w:line="360" w:lineRule="auto"/>
      <w:ind w:firstLine="2268"/>
      <w:jc w:val="both"/>
      <w:outlineLvl w:val="7"/>
    </w:pPr>
    <w:rPr>
      <w:rFonts w:ascii="Arial" w:hAnsi="Arial" w:cs="Arial"/>
      <w:snapToGrid w:val="0"/>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1D6523"/>
    <w:pPr>
      <w:spacing w:line="360" w:lineRule="auto"/>
      <w:jc w:val="both"/>
    </w:pPr>
    <w:rPr>
      <w:rFonts w:ascii="Arial" w:hAnsi="Arial" w:cs="Arial"/>
      <w:sz w:val="22"/>
    </w:rPr>
  </w:style>
  <w:style w:type="paragraph" w:styleId="Sangra2detindependiente">
    <w:name w:val="Body Text Indent 2"/>
    <w:basedOn w:val="Normal"/>
    <w:rsid w:val="001D6523"/>
    <w:pPr>
      <w:ind w:right="51" w:firstLine="1418"/>
      <w:jc w:val="both"/>
    </w:pPr>
    <w:rPr>
      <w:rFonts w:ascii="Arial" w:hAnsi="Arial" w:cs="Arial"/>
      <w:szCs w:val="20"/>
      <w:lang w:val="es-ES_tradnl"/>
    </w:rPr>
  </w:style>
  <w:style w:type="paragraph" w:styleId="Textoindependiente">
    <w:name w:val="Body Text"/>
    <w:basedOn w:val="Normal"/>
    <w:rsid w:val="001D6523"/>
    <w:pPr>
      <w:tabs>
        <w:tab w:val="left" w:pos="2340"/>
      </w:tabs>
    </w:pPr>
    <w:rPr>
      <w:rFonts w:ascii="Arial" w:hAnsi="Arial" w:cs="Arial"/>
      <w:sz w:val="22"/>
    </w:rPr>
  </w:style>
  <w:style w:type="paragraph" w:styleId="Textoindependiente3">
    <w:name w:val="Body Text 3"/>
    <w:basedOn w:val="Normal"/>
    <w:rsid w:val="001D6523"/>
    <w:pPr>
      <w:tabs>
        <w:tab w:val="left" w:pos="2340"/>
      </w:tabs>
      <w:jc w:val="both"/>
    </w:pPr>
    <w:rPr>
      <w:rFonts w:ascii="Arial" w:hAnsi="Arial" w:cs="Arial"/>
      <w:b/>
      <w:bCs/>
      <w:sz w:val="22"/>
    </w:rPr>
  </w:style>
  <w:style w:type="paragraph" w:styleId="Textonotapie">
    <w:name w:val="footnote text"/>
    <w:aliases w:val="Footnote Text Char Char Char Char,Footnote Text Char Char Char,Footnote Text.SES,Footnote Text Char Char Char Char Char,Footnote reference,FA Fu,Footnote Text Char,Footnote Text Char Char Char Char Char Char Char Char"/>
    <w:basedOn w:val="Normal"/>
    <w:link w:val="TextonotapieCar"/>
    <w:uiPriority w:val="99"/>
    <w:rsid w:val="001D6523"/>
    <w:rPr>
      <w:sz w:val="20"/>
      <w:szCs w:val="20"/>
    </w:rPr>
  </w:style>
  <w:style w:type="character" w:styleId="Refdenotaalpie">
    <w:name w:val="footnote reference"/>
    <w:aliases w:val="Footnote Reference.SES"/>
    <w:qFormat/>
    <w:rsid w:val="001D6523"/>
    <w:rPr>
      <w:vertAlign w:val="superscript"/>
    </w:rPr>
  </w:style>
  <w:style w:type="paragraph" w:styleId="Encabezado">
    <w:name w:val="header"/>
    <w:basedOn w:val="Normal"/>
    <w:link w:val="EncabezadoCar"/>
    <w:rsid w:val="001D6523"/>
    <w:pPr>
      <w:tabs>
        <w:tab w:val="center" w:pos="4419"/>
        <w:tab w:val="right" w:pos="8838"/>
      </w:tabs>
    </w:pPr>
  </w:style>
  <w:style w:type="paragraph" w:styleId="Piedepgina">
    <w:name w:val="footer"/>
    <w:basedOn w:val="Normal"/>
    <w:link w:val="PiedepginaCar"/>
    <w:uiPriority w:val="99"/>
    <w:rsid w:val="001D6523"/>
    <w:pPr>
      <w:tabs>
        <w:tab w:val="center" w:pos="4419"/>
        <w:tab w:val="right" w:pos="8838"/>
      </w:tabs>
    </w:pPr>
  </w:style>
  <w:style w:type="character" w:styleId="Nmerodepgina">
    <w:name w:val="page number"/>
    <w:basedOn w:val="Fuentedeprrafopredeter"/>
    <w:rsid w:val="001D6523"/>
  </w:style>
  <w:style w:type="paragraph" w:styleId="Sangradetextonormal">
    <w:name w:val="Body Text Indent"/>
    <w:basedOn w:val="Normal"/>
    <w:rsid w:val="001D6523"/>
    <w:pPr>
      <w:spacing w:before="120" w:after="120" w:line="360" w:lineRule="auto"/>
      <w:ind w:firstLine="709"/>
      <w:jc w:val="both"/>
    </w:pPr>
    <w:rPr>
      <w:rFonts w:ascii="Arial" w:hAnsi="Arial"/>
      <w:sz w:val="22"/>
    </w:rPr>
  </w:style>
  <w:style w:type="paragraph" w:styleId="Sangra3detindependiente">
    <w:name w:val="Body Text Indent 3"/>
    <w:basedOn w:val="Normal"/>
    <w:rsid w:val="001D6523"/>
    <w:pPr>
      <w:spacing w:line="360" w:lineRule="auto"/>
      <w:ind w:firstLine="2268"/>
      <w:jc w:val="both"/>
    </w:pPr>
    <w:rPr>
      <w:rFonts w:ascii="Arial" w:hAnsi="Arial" w:cs="Arial"/>
      <w:sz w:val="22"/>
    </w:rPr>
  </w:style>
  <w:style w:type="paragraph" w:styleId="Textodebloque">
    <w:name w:val="Block Text"/>
    <w:basedOn w:val="Normal"/>
    <w:rsid w:val="001D6523"/>
    <w:pPr>
      <w:spacing w:line="360" w:lineRule="auto"/>
      <w:ind w:left="1260" w:right="2000"/>
      <w:jc w:val="both"/>
    </w:pPr>
    <w:rPr>
      <w:rFonts w:ascii="Arial" w:hAnsi="Arial" w:cs="Arial"/>
      <w:snapToGrid w:val="0"/>
      <w:sz w:val="22"/>
    </w:rPr>
  </w:style>
  <w:style w:type="paragraph" w:styleId="Textocomentario">
    <w:name w:val="annotation text"/>
    <w:basedOn w:val="Normal"/>
    <w:semiHidden/>
    <w:rsid w:val="001D6523"/>
    <w:rPr>
      <w:sz w:val="20"/>
      <w:szCs w:val="20"/>
    </w:rPr>
  </w:style>
  <w:style w:type="character" w:styleId="Refdecomentario">
    <w:name w:val="annotation reference"/>
    <w:semiHidden/>
    <w:rsid w:val="001D6523"/>
    <w:rPr>
      <w:sz w:val="16"/>
    </w:rPr>
  </w:style>
  <w:style w:type="paragraph" w:customStyle="1" w:styleId="personal">
    <w:name w:val="personal"/>
    <w:basedOn w:val="Normal"/>
    <w:rsid w:val="001D6523"/>
    <w:pPr>
      <w:jc w:val="both"/>
    </w:pPr>
    <w:rPr>
      <w:rFonts w:ascii="Arial" w:hAnsi="Arial"/>
      <w:spacing w:val="6"/>
      <w:szCs w:val="20"/>
      <w:lang w:val="es-ES_tradnl"/>
    </w:rPr>
  </w:style>
  <w:style w:type="paragraph" w:styleId="Textodeglobo">
    <w:name w:val="Balloon Text"/>
    <w:basedOn w:val="Normal"/>
    <w:link w:val="TextodegloboCar"/>
    <w:rsid w:val="00366BE4"/>
    <w:rPr>
      <w:rFonts w:ascii="Tahoma" w:hAnsi="Tahoma" w:cs="Tahoma"/>
      <w:sz w:val="16"/>
      <w:szCs w:val="16"/>
    </w:rPr>
  </w:style>
  <w:style w:type="character" w:styleId="Hipervnculo">
    <w:name w:val="Hyperlink"/>
    <w:uiPriority w:val="99"/>
    <w:rsid w:val="00F02CD8"/>
    <w:rPr>
      <w:color w:val="0000FF"/>
      <w:u w:val="single"/>
    </w:rPr>
  </w:style>
  <w:style w:type="paragraph" w:styleId="TDC1">
    <w:name w:val="toc 1"/>
    <w:basedOn w:val="Normal"/>
    <w:next w:val="Normal"/>
    <w:autoRedefine/>
    <w:uiPriority w:val="39"/>
    <w:rsid w:val="00272722"/>
    <w:pPr>
      <w:spacing w:before="120" w:after="120"/>
    </w:pPr>
    <w:rPr>
      <w:rFonts w:ascii="Calibri" w:hAnsi="Calibri"/>
      <w:b/>
      <w:bCs/>
      <w:caps/>
      <w:sz w:val="20"/>
      <w:szCs w:val="20"/>
    </w:rPr>
  </w:style>
  <w:style w:type="paragraph" w:styleId="TDC2">
    <w:name w:val="toc 2"/>
    <w:basedOn w:val="Normal"/>
    <w:next w:val="Normal"/>
    <w:autoRedefine/>
    <w:uiPriority w:val="39"/>
    <w:rsid w:val="00272722"/>
    <w:pPr>
      <w:ind w:left="240"/>
    </w:pPr>
    <w:rPr>
      <w:rFonts w:ascii="Calibri" w:hAnsi="Calibri"/>
      <w:smallCaps/>
      <w:sz w:val="20"/>
      <w:szCs w:val="20"/>
    </w:rPr>
  </w:style>
  <w:style w:type="paragraph" w:styleId="TDC3">
    <w:name w:val="toc 3"/>
    <w:basedOn w:val="Normal"/>
    <w:next w:val="Normal"/>
    <w:autoRedefine/>
    <w:uiPriority w:val="39"/>
    <w:rsid w:val="00272722"/>
    <w:pPr>
      <w:ind w:left="480"/>
    </w:pPr>
    <w:rPr>
      <w:rFonts w:ascii="Calibri" w:hAnsi="Calibri"/>
      <w:i/>
      <w:iCs/>
      <w:sz w:val="20"/>
      <w:szCs w:val="20"/>
    </w:rPr>
  </w:style>
  <w:style w:type="paragraph" w:styleId="TDC4">
    <w:name w:val="toc 4"/>
    <w:basedOn w:val="Normal"/>
    <w:next w:val="Normal"/>
    <w:autoRedefine/>
    <w:semiHidden/>
    <w:rsid w:val="00272722"/>
    <w:pPr>
      <w:ind w:left="720"/>
    </w:pPr>
    <w:rPr>
      <w:rFonts w:ascii="Calibri" w:hAnsi="Calibri"/>
      <w:sz w:val="18"/>
      <w:szCs w:val="18"/>
    </w:rPr>
  </w:style>
  <w:style w:type="paragraph" w:styleId="TDC5">
    <w:name w:val="toc 5"/>
    <w:basedOn w:val="Normal"/>
    <w:next w:val="Normal"/>
    <w:autoRedefine/>
    <w:semiHidden/>
    <w:rsid w:val="00272722"/>
    <w:pPr>
      <w:ind w:left="960"/>
    </w:pPr>
    <w:rPr>
      <w:rFonts w:ascii="Calibri" w:hAnsi="Calibri"/>
      <w:sz w:val="18"/>
      <w:szCs w:val="18"/>
    </w:rPr>
  </w:style>
  <w:style w:type="paragraph" w:styleId="TDC6">
    <w:name w:val="toc 6"/>
    <w:basedOn w:val="Normal"/>
    <w:next w:val="Normal"/>
    <w:autoRedefine/>
    <w:semiHidden/>
    <w:rsid w:val="00272722"/>
    <w:pPr>
      <w:ind w:left="1200"/>
    </w:pPr>
    <w:rPr>
      <w:rFonts w:ascii="Calibri" w:hAnsi="Calibri"/>
      <w:sz w:val="18"/>
      <w:szCs w:val="18"/>
    </w:rPr>
  </w:style>
  <w:style w:type="paragraph" w:styleId="TDC7">
    <w:name w:val="toc 7"/>
    <w:basedOn w:val="Normal"/>
    <w:next w:val="Normal"/>
    <w:autoRedefine/>
    <w:semiHidden/>
    <w:rsid w:val="00272722"/>
    <w:pPr>
      <w:ind w:left="1440"/>
    </w:pPr>
    <w:rPr>
      <w:rFonts w:ascii="Calibri" w:hAnsi="Calibri"/>
      <w:sz w:val="18"/>
      <w:szCs w:val="18"/>
    </w:rPr>
  </w:style>
  <w:style w:type="paragraph" w:styleId="TDC8">
    <w:name w:val="toc 8"/>
    <w:basedOn w:val="Normal"/>
    <w:next w:val="Normal"/>
    <w:autoRedefine/>
    <w:semiHidden/>
    <w:rsid w:val="00272722"/>
    <w:pPr>
      <w:ind w:left="1680"/>
    </w:pPr>
    <w:rPr>
      <w:rFonts w:ascii="Calibri" w:hAnsi="Calibri"/>
      <w:sz w:val="18"/>
      <w:szCs w:val="18"/>
    </w:rPr>
  </w:style>
  <w:style w:type="paragraph" w:styleId="TDC9">
    <w:name w:val="toc 9"/>
    <w:basedOn w:val="Normal"/>
    <w:next w:val="Normal"/>
    <w:autoRedefine/>
    <w:semiHidden/>
    <w:rsid w:val="00272722"/>
    <w:pPr>
      <w:ind w:left="1920"/>
    </w:pPr>
    <w:rPr>
      <w:rFonts w:ascii="Calibri" w:hAnsi="Calibri"/>
      <w:sz w:val="18"/>
      <w:szCs w:val="18"/>
    </w:rPr>
  </w:style>
  <w:style w:type="paragraph" w:styleId="TtulodeTDC">
    <w:name w:val="TOC Heading"/>
    <w:basedOn w:val="Ttulo1"/>
    <w:next w:val="Normal"/>
    <w:uiPriority w:val="39"/>
    <w:unhideWhenUsed/>
    <w:qFormat/>
    <w:rsid w:val="00D826F1"/>
    <w:pPr>
      <w:keepLines/>
      <w:spacing w:before="240" w:line="259" w:lineRule="auto"/>
      <w:jc w:val="left"/>
      <w:outlineLvl w:val="9"/>
    </w:pPr>
    <w:rPr>
      <w:rFonts w:ascii="Calibri Light" w:hAnsi="Calibri Light" w:cs="Times New Roman"/>
      <w:b w:val="0"/>
      <w:bCs w:val="0"/>
      <w:color w:val="2E74B5"/>
      <w:sz w:val="32"/>
      <w:szCs w:val="32"/>
      <w:lang w:val="es-CL" w:eastAsia="es-CL"/>
    </w:rPr>
  </w:style>
  <w:style w:type="character" w:styleId="Hipervnculovisitado">
    <w:name w:val="FollowedHyperlink"/>
    <w:rsid w:val="00AA5C5F"/>
    <w:rPr>
      <w:color w:val="954F72"/>
      <w:u w:val="single"/>
    </w:rPr>
  </w:style>
  <w:style w:type="table" w:customStyle="1" w:styleId="Tabladelista1clara-nfasis31">
    <w:name w:val="Tabla de lista 1 clara - Énfasis 31"/>
    <w:basedOn w:val="Tablanormal"/>
    <w:uiPriority w:val="46"/>
    <w:rsid w:val="00FB5A76"/>
    <w:rPr>
      <w:rFonts w:ascii="Calibri" w:eastAsia="Calibri" w:hAnsi="Calibri"/>
      <w:sz w:val="22"/>
      <w:szCs w:val="22"/>
      <w:lang w:eastAsia="en-US"/>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harChar">
    <w:name w:val="Char Char"/>
    <w:basedOn w:val="Normal"/>
    <w:rsid w:val="00F708B9"/>
    <w:pPr>
      <w:spacing w:after="160" w:line="240" w:lineRule="exact"/>
      <w:ind w:left="500"/>
      <w:jc w:val="center"/>
    </w:pPr>
    <w:rPr>
      <w:rFonts w:ascii="Verdana" w:hAnsi="Verdana" w:cs="Arial"/>
      <w:b/>
      <w:sz w:val="20"/>
      <w:szCs w:val="20"/>
      <w:lang w:val="es-VE" w:eastAsia="en-US"/>
    </w:rPr>
  </w:style>
  <w:style w:type="character" w:customStyle="1" w:styleId="Ttulo3Car">
    <w:name w:val="Título 3 Car"/>
    <w:link w:val="Ttulo3"/>
    <w:rsid w:val="00056AFD"/>
    <w:rPr>
      <w:b/>
      <w:sz w:val="24"/>
      <w:lang w:val="es-ES" w:eastAsia="es-ES"/>
    </w:rPr>
  </w:style>
  <w:style w:type="character" w:customStyle="1" w:styleId="EncabezadoCar">
    <w:name w:val="Encabezado Car"/>
    <w:link w:val="Encabezado"/>
    <w:uiPriority w:val="99"/>
    <w:rsid w:val="007E4148"/>
    <w:rPr>
      <w:sz w:val="24"/>
      <w:szCs w:val="24"/>
      <w:lang w:val="es-ES" w:eastAsia="es-ES"/>
    </w:rPr>
  </w:style>
  <w:style w:type="character" w:customStyle="1" w:styleId="Textoindependiente2Car">
    <w:name w:val="Texto independiente 2 Car"/>
    <w:link w:val="Textoindependiente2"/>
    <w:rsid w:val="00E32FC6"/>
    <w:rPr>
      <w:rFonts w:ascii="Arial" w:hAnsi="Arial" w:cs="Arial"/>
      <w:sz w:val="22"/>
      <w:szCs w:val="24"/>
      <w:lang w:val="es-ES" w:eastAsia="es-ES"/>
    </w:rPr>
  </w:style>
  <w:style w:type="paragraph" w:styleId="Sinespaciado">
    <w:name w:val="No Spacing"/>
    <w:uiPriority w:val="1"/>
    <w:qFormat/>
    <w:rsid w:val="00974678"/>
    <w:rPr>
      <w:rFonts w:ascii="Calibri" w:eastAsia="Calibri" w:hAnsi="Calibri"/>
      <w:sz w:val="22"/>
      <w:szCs w:val="22"/>
      <w:lang w:eastAsia="en-US"/>
    </w:rPr>
  </w:style>
  <w:style w:type="paragraph" w:styleId="Prrafodelista">
    <w:name w:val="List Paragraph"/>
    <w:basedOn w:val="Normal"/>
    <w:uiPriority w:val="34"/>
    <w:qFormat/>
    <w:rsid w:val="0056196E"/>
    <w:pPr>
      <w:spacing w:after="160" w:line="259" w:lineRule="auto"/>
      <w:ind w:left="720"/>
      <w:contextualSpacing/>
    </w:pPr>
    <w:rPr>
      <w:rFonts w:ascii="Calibri" w:eastAsia="Calibri" w:hAnsi="Calibri"/>
      <w:sz w:val="22"/>
      <w:szCs w:val="22"/>
      <w:lang w:val="es-CL" w:eastAsia="en-US"/>
    </w:rPr>
  </w:style>
  <w:style w:type="paragraph" w:customStyle="1" w:styleId="Estilo3">
    <w:name w:val="Estilo3"/>
    <w:basedOn w:val="Normal"/>
    <w:link w:val="Estilo3Car"/>
    <w:qFormat/>
    <w:rsid w:val="00344B7E"/>
    <w:pPr>
      <w:widowControl w:val="0"/>
      <w:autoSpaceDE w:val="0"/>
      <w:autoSpaceDN w:val="0"/>
      <w:adjustRightInd w:val="0"/>
      <w:jc w:val="both"/>
    </w:pPr>
    <w:rPr>
      <w:rFonts w:ascii="Verdana" w:hAnsi="Verdana"/>
      <w:sz w:val="22"/>
      <w:szCs w:val="22"/>
      <w:lang w:val="es-ES_tradnl"/>
    </w:rPr>
  </w:style>
  <w:style w:type="character" w:customStyle="1" w:styleId="Estilo3Car">
    <w:name w:val="Estilo3 Car"/>
    <w:link w:val="Estilo3"/>
    <w:rsid w:val="00344B7E"/>
    <w:rPr>
      <w:rFonts w:ascii="Verdana" w:hAnsi="Verdana"/>
      <w:sz w:val="22"/>
      <w:szCs w:val="22"/>
      <w:lang w:val="es-ES_tradnl" w:eastAsia="es-ES"/>
    </w:rPr>
  </w:style>
  <w:style w:type="character" w:customStyle="1" w:styleId="TextonotapieCar">
    <w:name w:val="Texto nota pie Car"/>
    <w:aliases w:val="Footnote Text Char Char Char Char Car,Footnote Text Char Char Char Car,Footnote Text.SES Car,Footnote Text Char Char Char Char Char Car,Footnote reference Car,FA Fu Car,Footnote Text Char Car"/>
    <w:basedOn w:val="Fuentedeprrafopredeter"/>
    <w:link w:val="Textonotapie"/>
    <w:uiPriority w:val="99"/>
    <w:rsid w:val="00344B7E"/>
    <w:rPr>
      <w:lang w:val="es-ES" w:eastAsia="es-ES"/>
    </w:rPr>
  </w:style>
  <w:style w:type="character" w:customStyle="1" w:styleId="PiedepginaCar">
    <w:name w:val="Pie de página Car"/>
    <w:basedOn w:val="Fuentedeprrafopredeter"/>
    <w:link w:val="Piedepgina"/>
    <w:uiPriority w:val="99"/>
    <w:rsid w:val="006746C7"/>
    <w:rPr>
      <w:sz w:val="24"/>
      <w:szCs w:val="24"/>
      <w:lang w:val="es-ES" w:eastAsia="es-ES"/>
    </w:rPr>
  </w:style>
  <w:style w:type="character" w:customStyle="1" w:styleId="TextodegloboCar">
    <w:name w:val="Texto de globo Car"/>
    <w:basedOn w:val="Fuentedeprrafopredeter"/>
    <w:link w:val="Textodeglobo"/>
    <w:uiPriority w:val="99"/>
    <w:semiHidden/>
    <w:rsid w:val="006746C7"/>
    <w:rPr>
      <w:rFonts w:ascii="Tahoma" w:hAnsi="Tahoma" w:cs="Tahoma"/>
      <w:sz w:val="16"/>
      <w:szCs w:val="16"/>
      <w:lang w:val="es-ES" w:eastAsia="es-ES"/>
    </w:rPr>
  </w:style>
  <w:style w:type="table" w:styleId="Tablaconcuadrcula">
    <w:name w:val="Table Grid"/>
    <w:basedOn w:val="Tablanormal"/>
    <w:rsid w:val="006746C7"/>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B361E0"/>
  </w:style>
  <w:style w:type="table" w:customStyle="1" w:styleId="Tablaconcuadrcula1">
    <w:name w:val="Tabla con cuadrícula1"/>
    <w:basedOn w:val="Tablanormal"/>
    <w:uiPriority w:val="39"/>
    <w:rsid w:val="00B361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globo1">
    <w:name w:val="Texto de globo1"/>
    <w:basedOn w:val="Normal"/>
    <w:next w:val="Textodeglobo"/>
    <w:uiPriority w:val="99"/>
    <w:semiHidden/>
    <w:unhideWhenUsed/>
    <w:rsid w:val="00B361E0"/>
    <w:rPr>
      <w:rFonts w:ascii="Segoe UI" w:hAnsi="Segoe UI" w:cs="Segoe UI"/>
      <w:sz w:val="18"/>
      <w:szCs w:val="18"/>
    </w:rPr>
  </w:style>
  <w:style w:type="paragraph" w:customStyle="1" w:styleId="Encabezado1">
    <w:name w:val="Encabezado1"/>
    <w:basedOn w:val="Normal"/>
    <w:next w:val="Encabezado"/>
    <w:uiPriority w:val="99"/>
    <w:unhideWhenUsed/>
    <w:rsid w:val="00B361E0"/>
    <w:pPr>
      <w:tabs>
        <w:tab w:val="center" w:pos="4419"/>
        <w:tab w:val="right" w:pos="8838"/>
      </w:tabs>
    </w:pPr>
    <w:rPr>
      <w:rFonts w:ascii="Calibri" w:eastAsia="Calibri" w:hAnsi="Calibri"/>
      <w:sz w:val="22"/>
      <w:szCs w:val="22"/>
      <w:lang w:val="es-CL" w:eastAsia="en-US"/>
    </w:rPr>
  </w:style>
  <w:style w:type="paragraph" w:customStyle="1" w:styleId="Piedepgina1">
    <w:name w:val="Pie de página1"/>
    <w:basedOn w:val="Normal"/>
    <w:next w:val="Piedepgina"/>
    <w:uiPriority w:val="99"/>
    <w:unhideWhenUsed/>
    <w:rsid w:val="00B361E0"/>
    <w:pPr>
      <w:tabs>
        <w:tab w:val="center" w:pos="4419"/>
        <w:tab w:val="right" w:pos="8838"/>
      </w:tabs>
    </w:pPr>
    <w:rPr>
      <w:rFonts w:ascii="Calibri" w:eastAsia="Calibri" w:hAnsi="Calibri"/>
      <w:sz w:val="22"/>
      <w:szCs w:val="22"/>
      <w:lang w:val="es-CL" w:eastAsia="en-US"/>
    </w:rPr>
  </w:style>
  <w:style w:type="paragraph" w:customStyle="1" w:styleId="Prrafodelista1">
    <w:name w:val="Párrafo de lista1"/>
    <w:basedOn w:val="Normal"/>
    <w:next w:val="Prrafodelista"/>
    <w:uiPriority w:val="34"/>
    <w:qFormat/>
    <w:rsid w:val="00B361E0"/>
    <w:pPr>
      <w:spacing w:after="160" w:line="259" w:lineRule="auto"/>
      <w:ind w:left="720"/>
      <w:contextualSpacing/>
    </w:pPr>
    <w:rPr>
      <w:rFonts w:ascii="Calibri" w:eastAsia="Calibri" w:hAnsi="Calibri"/>
      <w:sz w:val="22"/>
      <w:szCs w:val="22"/>
      <w:lang w:val="es-CL" w:eastAsia="en-US"/>
    </w:rPr>
  </w:style>
  <w:style w:type="paragraph" w:customStyle="1" w:styleId="Textonotapie1">
    <w:name w:val="Texto nota pie1"/>
    <w:basedOn w:val="Normal"/>
    <w:next w:val="Textonotapie"/>
    <w:uiPriority w:val="99"/>
    <w:semiHidden/>
    <w:unhideWhenUsed/>
    <w:rsid w:val="00B361E0"/>
    <w:rPr>
      <w:sz w:val="20"/>
      <w:szCs w:val="20"/>
    </w:rPr>
  </w:style>
  <w:style w:type="character" w:customStyle="1" w:styleId="TextodegloboCar1">
    <w:name w:val="Texto de globo Car1"/>
    <w:basedOn w:val="Fuentedeprrafopredeter"/>
    <w:rsid w:val="00B361E0"/>
    <w:rPr>
      <w:rFonts w:ascii="Tahoma" w:hAnsi="Tahoma" w:cs="Tahoma"/>
      <w:sz w:val="16"/>
      <w:szCs w:val="16"/>
    </w:rPr>
  </w:style>
  <w:style w:type="character" w:customStyle="1" w:styleId="EncabezadoCar1">
    <w:name w:val="Encabezado Car1"/>
    <w:basedOn w:val="Fuentedeprrafopredeter"/>
    <w:rsid w:val="00B361E0"/>
    <w:rPr>
      <w:sz w:val="24"/>
      <w:szCs w:val="24"/>
    </w:rPr>
  </w:style>
  <w:style w:type="character" w:customStyle="1" w:styleId="PiedepginaCar1">
    <w:name w:val="Pie de página Car1"/>
    <w:basedOn w:val="Fuentedeprrafopredeter"/>
    <w:rsid w:val="00B361E0"/>
    <w:rPr>
      <w:sz w:val="24"/>
      <w:szCs w:val="24"/>
    </w:rPr>
  </w:style>
  <w:style w:type="character" w:customStyle="1" w:styleId="TextonotapieCar1">
    <w:name w:val="Texto nota pie Car1"/>
    <w:basedOn w:val="Fuentedeprrafopredeter"/>
    <w:rsid w:val="00B361E0"/>
  </w:style>
  <w:style w:type="character" w:customStyle="1" w:styleId="Ttulo1Car">
    <w:name w:val="Título 1 Car"/>
    <w:basedOn w:val="Fuentedeprrafopredeter"/>
    <w:link w:val="Ttulo1"/>
    <w:rsid w:val="00840AF5"/>
    <w:rPr>
      <w:rFonts w:ascii="Arial" w:hAnsi="Arial" w:cs="Arial"/>
      <w:b/>
      <w:bCs/>
      <w:sz w:val="24"/>
      <w:szCs w:val="24"/>
      <w:lang w:val="es-ES" w:eastAsia="es-ES"/>
    </w:rPr>
  </w:style>
  <w:style w:type="paragraph" w:styleId="HTMLconformatoprevio">
    <w:name w:val="HTML Preformatted"/>
    <w:basedOn w:val="Normal"/>
    <w:link w:val="HTMLconformatoprevioCar"/>
    <w:uiPriority w:val="99"/>
    <w:semiHidden/>
    <w:unhideWhenUsed/>
    <w:rsid w:val="00342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Theme="minorHAnsi" w:hAnsi="Consolas" w:cstheme="minorBidi"/>
      <w:sz w:val="20"/>
      <w:szCs w:val="20"/>
      <w:lang w:eastAsia="en-US"/>
    </w:rPr>
  </w:style>
  <w:style w:type="character" w:customStyle="1" w:styleId="HTMLconformatoprevioCar">
    <w:name w:val="HTML con formato previo Car"/>
    <w:basedOn w:val="Fuentedeprrafopredeter"/>
    <w:link w:val="HTMLconformatoprevio"/>
    <w:uiPriority w:val="99"/>
    <w:semiHidden/>
    <w:rsid w:val="00342B3D"/>
    <w:rPr>
      <w:rFonts w:ascii="Consolas" w:eastAsiaTheme="minorHAnsi" w:hAnsi="Consolas" w:cstheme="minorBidi"/>
      <w:lang w:val="es-ES" w:eastAsia="en-US"/>
    </w:rPr>
  </w:style>
  <w:style w:type="table" w:customStyle="1" w:styleId="Tablaconcuadrcula2">
    <w:name w:val="Tabla con cuadrícula2"/>
    <w:basedOn w:val="Tablanormal"/>
    <w:next w:val="Tablaconcuadrcula"/>
    <w:rsid w:val="006803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6803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6803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680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680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680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680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680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498A"/>
    <w:rPr>
      <w:rFonts w:eastAsiaTheme="minorHAnsi"/>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829622">
      <w:bodyDiv w:val="1"/>
      <w:marLeft w:val="0"/>
      <w:marRight w:val="0"/>
      <w:marTop w:val="0"/>
      <w:marBottom w:val="0"/>
      <w:divBdr>
        <w:top w:val="none" w:sz="0" w:space="0" w:color="auto"/>
        <w:left w:val="none" w:sz="0" w:space="0" w:color="auto"/>
        <w:bottom w:val="none" w:sz="0" w:space="0" w:color="auto"/>
        <w:right w:val="none" w:sz="0" w:space="0" w:color="auto"/>
      </w:divBdr>
    </w:div>
    <w:div w:id="750664770">
      <w:bodyDiv w:val="1"/>
      <w:marLeft w:val="0"/>
      <w:marRight w:val="0"/>
      <w:marTop w:val="0"/>
      <w:marBottom w:val="0"/>
      <w:divBdr>
        <w:top w:val="none" w:sz="0" w:space="0" w:color="auto"/>
        <w:left w:val="none" w:sz="0" w:space="0" w:color="auto"/>
        <w:bottom w:val="none" w:sz="0" w:space="0" w:color="auto"/>
        <w:right w:val="none" w:sz="0" w:space="0" w:color="auto"/>
      </w:divBdr>
    </w:div>
    <w:div w:id="1034233540">
      <w:bodyDiv w:val="1"/>
      <w:marLeft w:val="0"/>
      <w:marRight w:val="0"/>
      <w:marTop w:val="0"/>
      <w:marBottom w:val="0"/>
      <w:divBdr>
        <w:top w:val="none" w:sz="0" w:space="0" w:color="auto"/>
        <w:left w:val="none" w:sz="0" w:space="0" w:color="auto"/>
        <w:bottom w:val="none" w:sz="0" w:space="0" w:color="auto"/>
        <w:right w:val="none" w:sz="0" w:space="0" w:color="auto"/>
      </w:divBdr>
    </w:div>
    <w:div w:id="1050616222">
      <w:bodyDiv w:val="1"/>
      <w:marLeft w:val="0"/>
      <w:marRight w:val="0"/>
      <w:marTop w:val="0"/>
      <w:marBottom w:val="0"/>
      <w:divBdr>
        <w:top w:val="none" w:sz="0" w:space="0" w:color="auto"/>
        <w:left w:val="none" w:sz="0" w:space="0" w:color="auto"/>
        <w:bottom w:val="none" w:sz="0" w:space="0" w:color="auto"/>
        <w:right w:val="none" w:sz="0" w:space="0" w:color="auto"/>
      </w:divBdr>
    </w:div>
    <w:div w:id="1226405936">
      <w:bodyDiv w:val="1"/>
      <w:marLeft w:val="0"/>
      <w:marRight w:val="0"/>
      <w:marTop w:val="0"/>
      <w:marBottom w:val="0"/>
      <w:divBdr>
        <w:top w:val="none" w:sz="0" w:space="0" w:color="auto"/>
        <w:left w:val="none" w:sz="0" w:space="0" w:color="auto"/>
        <w:bottom w:val="none" w:sz="0" w:space="0" w:color="auto"/>
        <w:right w:val="none" w:sz="0" w:space="0" w:color="auto"/>
      </w:divBdr>
    </w:div>
    <w:div w:id="1237595150">
      <w:bodyDiv w:val="1"/>
      <w:marLeft w:val="0"/>
      <w:marRight w:val="0"/>
      <w:marTop w:val="0"/>
      <w:marBottom w:val="0"/>
      <w:divBdr>
        <w:top w:val="none" w:sz="0" w:space="0" w:color="auto"/>
        <w:left w:val="none" w:sz="0" w:space="0" w:color="auto"/>
        <w:bottom w:val="none" w:sz="0" w:space="0" w:color="auto"/>
        <w:right w:val="none" w:sz="0" w:space="0" w:color="auto"/>
      </w:divBdr>
    </w:div>
    <w:div w:id="1263761268">
      <w:bodyDiv w:val="1"/>
      <w:marLeft w:val="0"/>
      <w:marRight w:val="0"/>
      <w:marTop w:val="0"/>
      <w:marBottom w:val="0"/>
      <w:divBdr>
        <w:top w:val="none" w:sz="0" w:space="0" w:color="auto"/>
        <w:left w:val="none" w:sz="0" w:space="0" w:color="auto"/>
        <w:bottom w:val="none" w:sz="0" w:space="0" w:color="auto"/>
        <w:right w:val="none" w:sz="0" w:space="0" w:color="auto"/>
      </w:divBdr>
    </w:div>
    <w:div w:id="1278413608">
      <w:bodyDiv w:val="1"/>
      <w:marLeft w:val="0"/>
      <w:marRight w:val="0"/>
      <w:marTop w:val="0"/>
      <w:marBottom w:val="0"/>
      <w:divBdr>
        <w:top w:val="none" w:sz="0" w:space="0" w:color="auto"/>
        <w:left w:val="none" w:sz="0" w:space="0" w:color="auto"/>
        <w:bottom w:val="none" w:sz="0" w:space="0" w:color="auto"/>
        <w:right w:val="none" w:sz="0" w:space="0" w:color="auto"/>
      </w:divBdr>
    </w:div>
    <w:div w:id="1549993799">
      <w:bodyDiv w:val="1"/>
      <w:marLeft w:val="0"/>
      <w:marRight w:val="0"/>
      <w:marTop w:val="0"/>
      <w:marBottom w:val="0"/>
      <w:divBdr>
        <w:top w:val="none" w:sz="0" w:space="0" w:color="auto"/>
        <w:left w:val="none" w:sz="0" w:space="0" w:color="auto"/>
        <w:bottom w:val="none" w:sz="0" w:space="0" w:color="auto"/>
        <w:right w:val="none" w:sz="0" w:space="0" w:color="auto"/>
      </w:divBdr>
    </w:div>
    <w:div w:id="1564872808">
      <w:bodyDiv w:val="1"/>
      <w:marLeft w:val="0"/>
      <w:marRight w:val="0"/>
      <w:marTop w:val="0"/>
      <w:marBottom w:val="0"/>
      <w:divBdr>
        <w:top w:val="none" w:sz="0" w:space="0" w:color="auto"/>
        <w:left w:val="none" w:sz="0" w:space="0" w:color="auto"/>
        <w:bottom w:val="none" w:sz="0" w:space="0" w:color="auto"/>
        <w:right w:val="none" w:sz="0" w:space="0" w:color="auto"/>
      </w:divBdr>
    </w:div>
    <w:div w:id="1589776831">
      <w:bodyDiv w:val="1"/>
      <w:marLeft w:val="0"/>
      <w:marRight w:val="0"/>
      <w:marTop w:val="0"/>
      <w:marBottom w:val="0"/>
      <w:divBdr>
        <w:top w:val="none" w:sz="0" w:space="0" w:color="auto"/>
        <w:left w:val="none" w:sz="0" w:space="0" w:color="auto"/>
        <w:bottom w:val="none" w:sz="0" w:space="0" w:color="auto"/>
        <w:right w:val="none" w:sz="0" w:space="0" w:color="auto"/>
      </w:divBdr>
    </w:div>
    <w:div w:id="1873296920">
      <w:bodyDiv w:val="1"/>
      <w:marLeft w:val="0"/>
      <w:marRight w:val="0"/>
      <w:marTop w:val="0"/>
      <w:marBottom w:val="0"/>
      <w:divBdr>
        <w:top w:val="none" w:sz="0" w:space="0" w:color="auto"/>
        <w:left w:val="none" w:sz="0" w:space="0" w:color="auto"/>
        <w:bottom w:val="none" w:sz="0" w:space="0" w:color="auto"/>
        <w:right w:val="none" w:sz="0" w:space="0" w:color="auto"/>
      </w:divBdr>
    </w:div>
    <w:div w:id="1962682921">
      <w:bodyDiv w:val="1"/>
      <w:marLeft w:val="0"/>
      <w:marRight w:val="0"/>
      <w:marTop w:val="0"/>
      <w:marBottom w:val="0"/>
      <w:divBdr>
        <w:top w:val="none" w:sz="0" w:space="0" w:color="auto"/>
        <w:left w:val="none" w:sz="0" w:space="0" w:color="auto"/>
        <w:bottom w:val="none" w:sz="0" w:space="0" w:color="auto"/>
        <w:right w:val="none" w:sz="0" w:space="0" w:color="auto"/>
      </w:divBdr>
    </w:div>
    <w:div w:id="2079593401">
      <w:bodyDiv w:val="1"/>
      <w:marLeft w:val="0"/>
      <w:marRight w:val="0"/>
      <w:marTop w:val="0"/>
      <w:marBottom w:val="0"/>
      <w:divBdr>
        <w:top w:val="none" w:sz="0" w:space="0" w:color="auto"/>
        <w:left w:val="none" w:sz="0" w:space="0" w:color="auto"/>
        <w:bottom w:val="none" w:sz="0" w:space="0" w:color="auto"/>
        <w:right w:val="none" w:sz="0" w:space="0" w:color="auto"/>
      </w:divBdr>
    </w:div>
    <w:div w:id="210233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B228BF15899C04DBB6F82AD2A4322D6" ma:contentTypeVersion="0" ma:contentTypeDescription="Crear nuevo documento." ma:contentTypeScope="" ma:versionID="b40f906ecb620c0814171c51d93db819">
  <xsd:schema xmlns:xsd="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E9523-126D-40F0-AB13-A8AD7ADA8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95E6F31-7788-4AAC-AFEC-8A1FE480A71B}">
  <ds:schemaRefs>
    <ds:schemaRef ds:uri="http://schemas.microsoft.com/sharepoint/v3/contenttype/forms"/>
  </ds:schemaRefs>
</ds:datastoreItem>
</file>

<file path=customXml/itemProps3.xml><?xml version="1.0" encoding="utf-8"?>
<ds:datastoreItem xmlns:ds="http://schemas.openxmlformats.org/officeDocument/2006/customXml" ds:itemID="{059078A7-A16F-4E0A-878E-BE49CDE36444}">
  <ds:schemaRefs>
    <ds:schemaRef ds:uri="http://schemas.microsoft.com/office/2006/metadata/properties"/>
  </ds:schemaRefs>
</ds:datastoreItem>
</file>

<file path=customXml/itemProps4.xml><?xml version="1.0" encoding="utf-8"?>
<ds:datastoreItem xmlns:ds="http://schemas.openxmlformats.org/officeDocument/2006/customXml" ds:itemID="{AE166C7B-447E-41D0-9E03-1B984C3A9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2990</Words>
  <Characters>16446</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INFORME DE LA COMISIÓN DE CONSTITUCIÓN, LEGISLACIÓN Y JUSTICIA RECAIDO EN EL PROYECTO DE LEY QUE ESTABLECE UN SISTEMA DE REGUL</vt:lpstr>
    </vt:vector>
  </TitlesOfParts>
  <Company>Camara de Diputados</Company>
  <LinksUpToDate>false</LinksUpToDate>
  <CharactersWithSpaces>19398</CharactersWithSpaces>
  <SharedDoc>false</SharedDoc>
  <HLinks>
    <vt:vector size="126" baseType="variant">
      <vt:variant>
        <vt:i4>1376312</vt:i4>
      </vt:variant>
      <vt:variant>
        <vt:i4>122</vt:i4>
      </vt:variant>
      <vt:variant>
        <vt:i4>0</vt:i4>
      </vt:variant>
      <vt:variant>
        <vt:i4>5</vt:i4>
      </vt:variant>
      <vt:variant>
        <vt:lpwstr/>
      </vt:variant>
      <vt:variant>
        <vt:lpwstr>_Toc499549174</vt:lpwstr>
      </vt:variant>
      <vt:variant>
        <vt:i4>1376312</vt:i4>
      </vt:variant>
      <vt:variant>
        <vt:i4>116</vt:i4>
      </vt:variant>
      <vt:variant>
        <vt:i4>0</vt:i4>
      </vt:variant>
      <vt:variant>
        <vt:i4>5</vt:i4>
      </vt:variant>
      <vt:variant>
        <vt:lpwstr/>
      </vt:variant>
      <vt:variant>
        <vt:lpwstr>_Toc499549173</vt:lpwstr>
      </vt:variant>
      <vt:variant>
        <vt:i4>1376312</vt:i4>
      </vt:variant>
      <vt:variant>
        <vt:i4>110</vt:i4>
      </vt:variant>
      <vt:variant>
        <vt:i4>0</vt:i4>
      </vt:variant>
      <vt:variant>
        <vt:i4>5</vt:i4>
      </vt:variant>
      <vt:variant>
        <vt:lpwstr/>
      </vt:variant>
      <vt:variant>
        <vt:lpwstr>_Toc499549172</vt:lpwstr>
      </vt:variant>
      <vt:variant>
        <vt:i4>1376312</vt:i4>
      </vt:variant>
      <vt:variant>
        <vt:i4>104</vt:i4>
      </vt:variant>
      <vt:variant>
        <vt:i4>0</vt:i4>
      </vt:variant>
      <vt:variant>
        <vt:i4>5</vt:i4>
      </vt:variant>
      <vt:variant>
        <vt:lpwstr/>
      </vt:variant>
      <vt:variant>
        <vt:lpwstr>_Toc499549171</vt:lpwstr>
      </vt:variant>
      <vt:variant>
        <vt:i4>1376312</vt:i4>
      </vt:variant>
      <vt:variant>
        <vt:i4>98</vt:i4>
      </vt:variant>
      <vt:variant>
        <vt:i4>0</vt:i4>
      </vt:variant>
      <vt:variant>
        <vt:i4>5</vt:i4>
      </vt:variant>
      <vt:variant>
        <vt:lpwstr/>
      </vt:variant>
      <vt:variant>
        <vt:lpwstr>_Toc499549170</vt:lpwstr>
      </vt:variant>
      <vt:variant>
        <vt:i4>1310776</vt:i4>
      </vt:variant>
      <vt:variant>
        <vt:i4>92</vt:i4>
      </vt:variant>
      <vt:variant>
        <vt:i4>0</vt:i4>
      </vt:variant>
      <vt:variant>
        <vt:i4>5</vt:i4>
      </vt:variant>
      <vt:variant>
        <vt:lpwstr/>
      </vt:variant>
      <vt:variant>
        <vt:lpwstr>_Toc499549169</vt:lpwstr>
      </vt:variant>
      <vt:variant>
        <vt:i4>1310776</vt:i4>
      </vt:variant>
      <vt:variant>
        <vt:i4>86</vt:i4>
      </vt:variant>
      <vt:variant>
        <vt:i4>0</vt:i4>
      </vt:variant>
      <vt:variant>
        <vt:i4>5</vt:i4>
      </vt:variant>
      <vt:variant>
        <vt:lpwstr/>
      </vt:variant>
      <vt:variant>
        <vt:lpwstr>_Toc499549168</vt:lpwstr>
      </vt:variant>
      <vt:variant>
        <vt:i4>1310776</vt:i4>
      </vt:variant>
      <vt:variant>
        <vt:i4>80</vt:i4>
      </vt:variant>
      <vt:variant>
        <vt:i4>0</vt:i4>
      </vt:variant>
      <vt:variant>
        <vt:i4>5</vt:i4>
      </vt:variant>
      <vt:variant>
        <vt:lpwstr/>
      </vt:variant>
      <vt:variant>
        <vt:lpwstr>_Toc499549167</vt:lpwstr>
      </vt:variant>
      <vt:variant>
        <vt:i4>1310776</vt:i4>
      </vt:variant>
      <vt:variant>
        <vt:i4>74</vt:i4>
      </vt:variant>
      <vt:variant>
        <vt:i4>0</vt:i4>
      </vt:variant>
      <vt:variant>
        <vt:i4>5</vt:i4>
      </vt:variant>
      <vt:variant>
        <vt:lpwstr/>
      </vt:variant>
      <vt:variant>
        <vt:lpwstr>_Toc499549166</vt:lpwstr>
      </vt:variant>
      <vt:variant>
        <vt:i4>1310776</vt:i4>
      </vt:variant>
      <vt:variant>
        <vt:i4>68</vt:i4>
      </vt:variant>
      <vt:variant>
        <vt:i4>0</vt:i4>
      </vt:variant>
      <vt:variant>
        <vt:i4>5</vt:i4>
      </vt:variant>
      <vt:variant>
        <vt:lpwstr/>
      </vt:variant>
      <vt:variant>
        <vt:lpwstr>_Toc499549165</vt:lpwstr>
      </vt:variant>
      <vt:variant>
        <vt:i4>1310776</vt:i4>
      </vt:variant>
      <vt:variant>
        <vt:i4>62</vt:i4>
      </vt:variant>
      <vt:variant>
        <vt:i4>0</vt:i4>
      </vt:variant>
      <vt:variant>
        <vt:i4>5</vt:i4>
      </vt:variant>
      <vt:variant>
        <vt:lpwstr/>
      </vt:variant>
      <vt:variant>
        <vt:lpwstr>_Toc499549164</vt:lpwstr>
      </vt:variant>
      <vt:variant>
        <vt:i4>1310776</vt:i4>
      </vt:variant>
      <vt:variant>
        <vt:i4>56</vt:i4>
      </vt:variant>
      <vt:variant>
        <vt:i4>0</vt:i4>
      </vt:variant>
      <vt:variant>
        <vt:i4>5</vt:i4>
      </vt:variant>
      <vt:variant>
        <vt:lpwstr/>
      </vt:variant>
      <vt:variant>
        <vt:lpwstr>_Toc499549163</vt:lpwstr>
      </vt:variant>
      <vt:variant>
        <vt:i4>1310776</vt:i4>
      </vt:variant>
      <vt:variant>
        <vt:i4>50</vt:i4>
      </vt:variant>
      <vt:variant>
        <vt:i4>0</vt:i4>
      </vt:variant>
      <vt:variant>
        <vt:i4>5</vt:i4>
      </vt:variant>
      <vt:variant>
        <vt:lpwstr/>
      </vt:variant>
      <vt:variant>
        <vt:lpwstr>_Toc499549162</vt:lpwstr>
      </vt:variant>
      <vt:variant>
        <vt:i4>1310776</vt:i4>
      </vt:variant>
      <vt:variant>
        <vt:i4>44</vt:i4>
      </vt:variant>
      <vt:variant>
        <vt:i4>0</vt:i4>
      </vt:variant>
      <vt:variant>
        <vt:i4>5</vt:i4>
      </vt:variant>
      <vt:variant>
        <vt:lpwstr/>
      </vt:variant>
      <vt:variant>
        <vt:lpwstr>_Toc499549161</vt:lpwstr>
      </vt:variant>
      <vt:variant>
        <vt:i4>1310776</vt:i4>
      </vt:variant>
      <vt:variant>
        <vt:i4>38</vt:i4>
      </vt:variant>
      <vt:variant>
        <vt:i4>0</vt:i4>
      </vt:variant>
      <vt:variant>
        <vt:i4>5</vt:i4>
      </vt:variant>
      <vt:variant>
        <vt:lpwstr/>
      </vt:variant>
      <vt:variant>
        <vt:lpwstr>_Toc499549160</vt:lpwstr>
      </vt:variant>
      <vt:variant>
        <vt:i4>1507384</vt:i4>
      </vt:variant>
      <vt:variant>
        <vt:i4>32</vt:i4>
      </vt:variant>
      <vt:variant>
        <vt:i4>0</vt:i4>
      </vt:variant>
      <vt:variant>
        <vt:i4>5</vt:i4>
      </vt:variant>
      <vt:variant>
        <vt:lpwstr/>
      </vt:variant>
      <vt:variant>
        <vt:lpwstr>_Toc499549159</vt:lpwstr>
      </vt:variant>
      <vt:variant>
        <vt:i4>1507384</vt:i4>
      </vt:variant>
      <vt:variant>
        <vt:i4>26</vt:i4>
      </vt:variant>
      <vt:variant>
        <vt:i4>0</vt:i4>
      </vt:variant>
      <vt:variant>
        <vt:i4>5</vt:i4>
      </vt:variant>
      <vt:variant>
        <vt:lpwstr/>
      </vt:variant>
      <vt:variant>
        <vt:lpwstr>_Toc499549158</vt:lpwstr>
      </vt:variant>
      <vt:variant>
        <vt:i4>1507384</vt:i4>
      </vt:variant>
      <vt:variant>
        <vt:i4>20</vt:i4>
      </vt:variant>
      <vt:variant>
        <vt:i4>0</vt:i4>
      </vt:variant>
      <vt:variant>
        <vt:i4>5</vt:i4>
      </vt:variant>
      <vt:variant>
        <vt:lpwstr/>
      </vt:variant>
      <vt:variant>
        <vt:lpwstr>_Toc499549157</vt:lpwstr>
      </vt:variant>
      <vt:variant>
        <vt:i4>1507384</vt:i4>
      </vt:variant>
      <vt:variant>
        <vt:i4>14</vt:i4>
      </vt:variant>
      <vt:variant>
        <vt:i4>0</vt:i4>
      </vt:variant>
      <vt:variant>
        <vt:i4>5</vt:i4>
      </vt:variant>
      <vt:variant>
        <vt:lpwstr/>
      </vt:variant>
      <vt:variant>
        <vt:lpwstr>_Toc499549156</vt:lpwstr>
      </vt:variant>
      <vt:variant>
        <vt:i4>1507384</vt:i4>
      </vt:variant>
      <vt:variant>
        <vt:i4>8</vt:i4>
      </vt:variant>
      <vt:variant>
        <vt:i4>0</vt:i4>
      </vt:variant>
      <vt:variant>
        <vt:i4>5</vt:i4>
      </vt:variant>
      <vt:variant>
        <vt:lpwstr/>
      </vt:variant>
      <vt:variant>
        <vt:lpwstr>_Toc499549155</vt:lpwstr>
      </vt:variant>
      <vt:variant>
        <vt:i4>1507384</vt:i4>
      </vt:variant>
      <vt:variant>
        <vt:i4>2</vt:i4>
      </vt:variant>
      <vt:variant>
        <vt:i4>0</vt:i4>
      </vt:variant>
      <vt:variant>
        <vt:i4>5</vt:i4>
      </vt:variant>
      <vt:variant>
        <vt:lpwstr/>
      </vt:variant>
      <vt:variant>
        <vt:lpwstr>_Toc499549154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CONSTITUCIÓN, LEGISLACIÓN Y JUSTICIA RECAIDO EN EL PROYECTO DE LEY QUE ESTABLECE UN SISTEMA DE REGUL</dc:title>
  <dc:subject/>
  <dc:creator>ASkoknic</dc:creator>
  <cp:keywords/>
  <dc:description/>
  <cp:lastModifiedBy>Maria Eugenia Silva Ferrer</cp:lastModifiedBy>
  <cp:revision>15</cp:revision>
  <cp:lastPrinted>2016-06-23T14:44:00Z</cp:lastPrinted>
  <dcterms:created xsi:type="dcterms:W3CDTF">2021-09-07T19:09:00Z</dcterms:created>
  <dcterms:modified xsi:type="dcterms:W3CDTF">2021-09-07T20:23:00Z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0x010100FB228BF15899C04DBB6F82AD2A4322D6</vt:lpwstr>
  </property>
</Properties>
</file>