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51A" w:rsidRPr="0003051A" w:rsidRDefault="008D6085" w:rsidP="0092294D">
      <w:pPr>
        <w:autoSpaceDE w:val="0"/>
        <w:autoSpaceDN w:val="0"/>
        <w:adjustRightInd w:val="0"/>
        <w:spacing w:line="276" w:lineRule="auto"/>
        <w:ind w:right="-518"/>
        <w:contextualSpacing/>
        <w:jc w:val="both"/>
        <w:rPr>
          <w:rFonts w:ascii="Arial" w:hAnsi="Arial" w:cs="Arial"/>
          <w:b/>
          <w:sz w:val="22"/>
          <w:szCs w:val="22"/>
          <w:lang w:val="es-ES_tradnl"/>
        </w:rPr>
      </w:pPr>
      <w:r w:rsidRPr="008D6085">
        <w:rPr>
          <w:rFonts w:ascii="Arial" w:hAnsi="Arial" w:cs="Arial"/>
          <w:b/>
          <w:lang w:val="es-ES_tradnl"/>
        </w:rPr>
        <w:t xml:space="preserve">INFORME DE LA COMISION DE HACIENDA RECAÍDO EN EL PROYECTO DE LEY QUE </w:t>
      </w:r>
      <w:r w:rsidR="0003051A" w:rsidRPr="0003051A">
        <w:rPr>
          <w:rFonts w:ascii="Arial" w:hAnsi="Arial" w:cs="Arial"/>
          <w:b/>
          <w:sz w:val="22"/>
          <w:szCs w:val="22"/>
          <w:lang w:val="es-ES_tradnl"/>
        </w:rPr>
        <w:t>ESTABLECE REGLAS ESPECIALES TRATÁNDOSE DE LA ALTERACIÓN, AMPLIACIÓN, REPARACIÓN O RECONSTRUCCIÓN DE ESTABLECIMIENTOS PENITENCIARIOS Y MODIFICA OTROS CUERPOS LEGALES.</w:t>
      </w:r>
    </w:p>
    <w:p w:rsidR="003C605E" w:rsidRPr="00861179" w:rsidRDefault="003C605E" w:rsidP="003C605E">
      <w:pPr>
        <w:pStyle w:val="Sinespaciado"/>
        <w:ind w:right="-518"/>
        <w:jc w:val="both"/>
        <w:rPr>
          <w:rFonts w:ascii="Arial" w:hAnsi="Arial" w:cs="Arial"/>
          <w:b/>
          <w:lang w:val="es-ES_tradnl"/>
        </w:rPr>
      </w:pPr>
      <w:r>
        <w:rPr>
          <w:rFonts w:ascii="Arial" w:hAnsi="Arial" w:cs="Arial"/>
          <w:b/>
          <w:lang w:val="es-ES_tradnl"/>
        </w:rPr>
        <w:t>_______________________________________________________________________</w:t>
      </w:r>
    </w:p>
    <w:p w:rsidR="008C6391" w:rsidRPr="00861179" w:rsidRDefault="008C6391" w:rsidP="00861179">
      <w:pPr>
        <w:pStyle w:val="Sinespaciado"/>
        <w:spacing w:line="276" w:lineRule="auto"/>
        <w:ind w:right="-234"/>
        <w:jc w:val="right"/>
        <w:rPr>
          <w:rFonts w:ascii="Arial" w:hAnsi="Arial" w:cs="Arial"/>
          <w:b/>
          <w:lang w:val="es-ES_tradnl"/>
        </w:rPr>
      </w:pPr>
    </w:p>
    <w:p w:rsidR="00974678" w:rsidRPr="00861179" w:rsidRDefault="008C6391" w:rsidP="00861179">
      <w:pPr>
        <w:pStyle w:val="Sinespaciado"/>
        <w:spacing w:line="276" w:lineRule="auto"/>
        <w:ind w:right="-234"/>
        <w:jc w:val="right"/>
        <w:rPr>
          <w:rFonts w:ascii="Arial" w:hAnsi="Arial" w:cs="Arial"/>
          <w:b/>
          <w:lang w:val="es-ES_tradnl"/>
        </w:rPr>
      </w:pPr>
      <w:r w:rsidRPr="00861179">
        <w:rPr>
          <w:rFonts w:ascii="Arial" w:hAnsi="Arial" w:cs="Arial"/>
          <w:b/>
          <w:lang w:val="es-ES_tradnl"/>
        </w:rPr>
        <w:t xml:space="preserve">Boletín N° </w:t>
      </w:r>
      <w:r w:rsidR="0003051A">
        <w:rPr>
          <w:rFonts w:ascii="Arial" w:hAnsi="Arial" w:cs="Arial"/>
          <w:b/>
          <w:lang w:val="es-ES_tradnl"/>
        </w:rPr>
        <w:t>16037-07</w:t>
      </w:r>
    </w:p>
    <w:p w:rsidR="008C6391" w:rsidRPr="00861179" w:rsidRDefault="008C6391" w:rsidP="00861179">
      <w:pPr>
        <w:pStyle w:val="Sinespaciado"/>
        <w:spacing w:line="276" w:lineRule="auto"/>
        <w:ind w:right="-234"/>
        <w:jc w:val="right"/>
        <w:rPr>
          <w:rFonts w:ascii="Arial" w:hAnsi="Arial" w:cs="Arial"/>
          <w:b/>
          <w:lang w:val="es-ES_tradnl"/>
        </w:rPr>
      </w:pPr>
    </w:p>
    <w:p w:rsidR="008C6391" w:rsidRPr="00861179" w:rsidRDefault="008C6391" w:rsidP="00861179">
      <w:pPr>
        <w:pStyle w:val="Sinespaciado"/>
        <w:spacing w:line="276" w:lineRule="auto"/>
        <w:ind w:right="-234"/>
        <w:jc w:val="right"/>
        <w:rPr>
          <w:rFonts w:ascii="Arial" w:hAnsi="Arial" w:cs="Arial"/>
          <w:b/>
          <w:lang w:val="es-ES_tradnl"/>
        </w:rPr>
      </w:pPr>
    </w:p>
    <w:p w:rsidR="00974678" w:rsidRPr="00861179" w:rsidRDefault="00974678" w:rsidP="00861179">
      <w:pPr>
        <w:tabs>
          <w:tab w:val="left" w:pos="2268"/>
        </w:tabs>
        <w:spacing w:line="276" w:lineRule="auto"/>
        <w:ind w:right="-234"/>
        <w:jc w:val="both"/>
        <w:outlineLvl w:val="0"/>
        <w:rPr>
          <w:rFonts w:ascii="Arial" w:hAnsi="Arial" w:cs="Arial"/>
          <w:spacing w:val="-3"/>
          <w:sz w:val="22"/>
          <w:szCs w:val="22"/>
        </w:rPr>
      </w:pPr>
      <w:r w:rsidRPr="00861179">
        <w:rPr>
          <w:rFonts w:ascii="Arial" w:hAnsi="Arial" w:cs="Arial"/>
          <w:b/>
          <w:spacing w:val="-3"/>
          <w:sz w:val="22"/>
          <w:szCs w:val="22"/>
        </w:rPr>
        <w:t>HONORABLE CÁMARA</w:t>
      </w:r>
      <w:r w:rsidRPr="00861179">
        <w:rPr>
          <w:rFonts w:ascii="Arial" w:hAnsi="Arial" w:cs="Arial"/>
          <w:spacing w:val="-3"/>
          <w:sz w:val="22"/>
          <w:szCs w:val="22"/>
        </w:rPr>
        <w:t>:</w:t>
      </w:r>
    </w:p>
    <w:p w:rsidR="00974678" w:rsidRPr="00861179" w:rsidRDefault="00974678" w:rsidP="00861179">
      <w:pPr>
        <w:spacing w:line="276" w:lineRule="auto"/>
        <w:ind w:right="-234" w:firstLine="1701"/>
        <w:jc w:val="both"/>
        <w:rPr>
          <w:rFonts w:ascii="Arial" w:hAnsi="Arial" w:cs="Arial"/>
          <w:sz w:val="22"/>
          <w:szCs w:val="22"/>
        </w:rPr>
      </w:pPr>
    </w:p>
    <w:p w:rsidR="00BD18AC" w:rsidRPr="00861179" w:rsidRDefault="00974678" w:rsidP="006958EE">
      <w:pPr>
        <w:pStyle w:val="Sinespaciado"/>
        <w:spacing w:line="276" w:lineRule="auto"/>
        <w:ind w:right="-518" w:firstLine="1701"/>
        <w:jc w:val="both"/>
        <w:rPr>
          <w:rFonts w:ascii="Arial" w:hAnsi="Arial" w:cs="Arial"/>
        </w:rPr>
      </w:pPr>
      <w:r w:rsidRPr="00861179">
        <w:rPr>
          <w:rFonts w:ascii="Arial" w:hAnsi="Arial" w:cs="Arial"/>
        </w:rPr>
        <w:t xml:space="preserve">La Comisión de Hacienda pasa a informar, </w:t>
      </w:r>
      <w:bookmarkStart w:id="0" w:name="_Toc408309924"/>
      <w:bookmarkStart w:id="1" w:name="_Toc409556907"/>
      <w:bookmarkStart w:id="2" w:name="_Toc499712179"/>
      <w:r w:rsidR="006958EE" w:rsidRPr="006958EE">
        <w:rPr>
          <w:rFonts w:ascii="Arial" w:hAnsi="Arial" w:cs="Arial"/>
        </w:rPr>
        <w:t xml:space="preserve">en cumplimiento del inciso segundo del artículo 17 de la ley N° 18.918, Orgánica Constitucional del Congreso Nacional, y conforme a lo dispuesto en el inciso segundo del artículo 226 del Reglamento de la Corporación, el proyecto de ley mencionado en el epígrafe, originado en Mensaje de S.E. el Presidente de la República don Gabriel Boric Font, ingresado a tramitación el </w:t>
      </w:r>
      <w:r w:rsidR="006958EE">
        <w:rPr>
          <w:rFonts w:ascii="Arial" w:hAnsi="Arial" w:cs="Arial"/>
        </w:rPr>
        <w:t>19</w:t>
      </w:r>
      <w:r w:rsidR="006958EE" w:rsidRPr="006958EE">
        <w:rPr>
          <w:rFonts w:ascii="Arial" w:hAnsi="Arial" w:cs="Arial"/>
        </w:rPr>
        <w:t xml:space="preserve"> de junio del año en curso, e informado en primer trámite constitucional y reglamentario por la Comisión de Constitución, Legislación, Justicia y Reglamento</w:t>
      </w:r>
      <w:r w:rsidR="006958EE">
        <w:rPr>
          <w:rFonts w:ascii="Arial" w:hAnsi="Arial" w:cs="Arial"/>
        </w:rPr>
        <w:t>.</w:t>
      </w:r>
      <w:r w:rsidR="006958EE" w:rsidRPr="006958EE">
        <w:rPr>
          <w:rFonts w:ascii="Arial" w:hAnsi="Arial" w:cs="Arial"/>
        </w:rPr>
        <w:t xml:space="preserve"> La referida iniciativa, se encuentra con urgencia calificada de Suma.</w:t>
      </w:r>
    </w:p>
    <w:p w:rsidR="006958EE" w:rsidRDefault="006958EE" w:rsidP="001D3430">
      <w:pPr>
        <w:spacing w:line="276" w:lineRule="auto"/>
        <w:ind w:right="-518" w:firstLine="1701"/>
        <w:jc w:val="both"/>
        <w:rPr>
          <w:rFonts w:ascii="Arial" w:hAnsi="Arial" w:cs="Arial"/>
          <w:sz w:val="22"/>
          <w:szCs w:val="22"/>
          <w:lang w:val="es-ES_tradnl"/>
        </w:rPr>
      </w:pPr>
    </w:p>
    <w:p w:rsidR="001D3430" w:rsidRPr="001D3430" w:rsidRDefault="001D3430" w:rsidP="001D3430">
      <w:pPr>
        <w:spacing w:line="276" w:lineRule="auto"/>
        <w:ind w:right="-518" w:firstLine="1701"/>
        <w:jc w:val="both"/>
        <w:rPr>
          <w:rFonts w:ascii="Arial" w:hAnsi="Arial" w:cs="Arial"/>
          <w:sz w:val="22"/>
          <w:szCs w:val="22"/>
          <w:lang w:val="es-ES_tradnl"/>
        </w:rPr>
      </w:pPr>
      <w:r w:rsidRPr="001D3430">
        <w:rPr>
          <w:rFonts w:ascii="Arial" w:hAnsi="Arial" w:cs="Arial"/>
          <w:sz w:val="22"/>
          <w:szCs w:val="22"/>
          <w:lang w:val="es-ES_tradnl"/>
        </w:rPr>
        <w:t xml:space="preserve">Asistió en representación del Ejecutivo, </w:t>
      </w:r>
      <w:r w:rsidR="006958EE" w:rsidRPr="006958EE">
        <w:rPr>
          <w:rFonts w:ascii="Arial" w:eastAsiaTheme="minorHAnsi" w:hAnsi="Arial" w:cs="Arial"/>
          <w:sz w:val="22"/>
          <w:szCs w:val="22"/>
        </w:rPr>
        <w:t xml:space="preserve">el Ministro de Justicia y Derechos Humanos, señor Luis Cordero Vega </w:t>
      </w:r>
      <w:r w:rsidR="006958EE">
        <w:rPr>
          <w:rFonts w:ascii="Arial" w:eastAsiaTheme="minorHAnsi" w:hAnsi="Arial" w:cs="Arial"/>
          <w:sz w:val="22"/>
          <w:szCs w:val="22"/>
        </w:rPr>
        <w:t>acompañado d</w:t>
      </w:r>
      <w:r w:rsidR="006958EE" w:rsidRPr="006958EE">
        <w:rPr>
          <w:rFonts w:ascii="Arial" w:eastAsiaTheme="minorHAnsi" w:hAnsi="Arial" w:cs="Arial"/>
          <w:sz w:val="22"/>
          <w:szCs w:val="22"/>
        </w:rPr>
        <w:t xml:space="preserve">el Jefe </w:t>
      </w:r>
      <w:r w:rsidR="006958EE">
        <w:rPr>
          <w:rFonts w:ascii="Arial" w:eastAsiaTheme="minorHAnsi" w:hAnsi="Arial" w:cs="Arial"/>
          <w:sz w:val="22"/>
          <w:szCs w:val="22"/>
        </w:rPr>
        <w:t xml:space="preserve">de la </w:t>
      </w:r>
      <w:r w:rsidR="006958EE" w:rsidRPr="006958EE">
        <w:rPr>
          <w:rFonts w:ascii="Arial" w:eastAsiaTheme="minorHAnsi" w:hAnsi="Arial" w:cs="Arial"/>
          <w:sz w:val="22"/>
          <w:szCs w:val="22"/>
        </w:rPr>
        <w:t>Oficina de Planificación y Presupuesto, señor Johnny Saldías Burgos</w:t>
      </w:r>
      <w:r w:rsidR="006958EE">
        <w:rPr>
          <w:rFonts w:ascii="Arial" w:eastAsiaTheme="minorHAnsi" w:hAnsi="Arial" w:cs="Arial"/>
          <w:sz w:val="22"/>
          <w:szCs w:val="22"/>
        </w:rPr>
        <w:t xml:space="preserve"> y de </w:t>
      </w:r>
      <w:r w:rsidR="006958EE" w:rsidRPr="006958EE">
        <w:rPr>
          <w:rFonts w:ascii="Arial" w:eastAsiaTheme="minorHAnsi" w:hAnsi="Arial" w:cs="Arial"/>
          <w:sz w:val="22"/>
          <w:szCs w:val="22"/>
        </w:rPr>
        <w:t>las abogadas de la División Jurídica, señoras Rocío González Sandoval y Paula Recabarren Lewin y la Asesora del Director Nacional de Gendarmería, señora Natalia Cáceres Vargas.</w:t>
      </w:r>
    </w:p>
    <w:p w:rsidR="001D3430" w:rsidRPr="001D3430" w:rsidRDefault="001D3430" w:rsidP="001D3430">
      <w:pPr>
        <w:spacing w:line="360" w:lineRule="auto"/>
        <w:ind w:firstLine="1701"/>
        <w:jc w:val="both"/>
        <w:rPr>
          <w:rFonts w:ascii="Arial" w:hAnsi="Arial" w:cs="Arial"/>
          <w:sz w:val="22"/>
          <w:szCs w:val="22"/>
          <w:lang w:val="es-ES_tradnl"/>
        </w:rPr>
      </w:pPr>
    </w:p>
    <w:p w:rsidR="00F746CE" w:rsidRPr="00861179" w:rsidRDefault="00A51684" w:rsidP="00687258">
      <w:pPr>
        <w:spacing w:line="276" w:lineRule="auto"/>
        <w:ind w:right="-518"/>
        <w:jc w:val="both"/>
        <w:rPr>
          <w:rFonts w:ascii="Arial" w:hAnsi="Arial" w:cs="Arial"/>
          <w:b/>
          <w:bCs/>
          <w:sz w:val="22"/>
          <w:szCs w:val="22"/>
        </w:rPr>
      </w:pPr>
      <w:r w:rsidRPr="00861179">
        <w:rPr>
          <w:rFonts w:ascii="Arial" w:hAnsi="Arial" w:cs="Arial"/>
          <w:b/>
          <w:sz w:val="22"/>
          <w:szCs w:val="22"/>
        </w:rPr>
        <w:t>I.-</w:t>
      </w:r>
      <w:r w:rsidR="00F746CE" w:rsidRPr="00861179">
        <w:rPr>
          <w:rFonts w:ascii="Arial" w:hAnsi="Arial" w:cs="Arial"/>
          <w:b/>
          <w:sz w:val="22"/>
          <w:szCs w:val="22"/>
        </w:rPr>
        <w:t>CONSTANCIAS REGLAMENTARIAS PREVIAS</w:t>
      </w:r>
      <w:bookmarkEnd w:id="0"/>
      <w:bookmarkEnd w:id="1"/>
      <w:bookmarkEnd w:id="2"/>
    </w:p>
    <w:p w:rsidR="00C32A16" w:rsidRPr="00861179" w:rsidRDefault="00F746CE" w:rsidP="00687258">
      <w:pPr>
        <w:pStyle w:val="Ttulo2"/>
        <w:tabs>
          <w:tab w:val="left" w:pos="709"/>
        </w:tabs>
        <w:spacing w:before="240" w:line="276" w:lineRule="auto"/>
        <w:ind w:right="-518" w:firstLine="1701"/>
        <w:rPr>
          <w:rFonts w:cs="Arial"/>
          <w:sz w:val="22"/>
          <w:szCs w:val="22"/>
        </w:rPr>
      </w:pPr>
      <w:bookmarkStart w:id="3" w:name="_Toc408309925"/>
      <w:bookmarkStart w:id="4" w:name="_Toc409556908"/>
      <w:bookmarkStart w:id="5" w:name="_Toc499712180"/>
      <w:r w:rsidRPr="00861179">
        <w:rPr>
          <w:rFonts w:cs="Arial"/>
          <w:i w:val="0"/>
          <w:sz w:val="22"/>
          <w:szCs w:val="22"/>
        </w:rPr>
        <w:t xml:space="preserve">1) </w:t>
      </w:r>
      <w:r w:rsidR="000D493D" w:rsidRPr="00861179">
        <w:rPr>
          <w:rFonts w:cs="Arial"/>
          <w:i w:val="0"/>
          <w:sz w:val="22"/>
          <w:szCs w:val="22"/>
          <w:u w:val="single"/>
        </w:rPr>
        <w:t>I</w:t>
      </w:r>
      <w:r w:rsidR="00464D9C" w:rsidRPr="00861179">
        <w:rPr>
          <w:rFonts w:cs="Arial"/>
          <w:i w:val="0"/>
          <w:sz w:val="22"/>
          <w:szCs w:val="22"/>
          <w:u w:val="single"/>
        </w:rPr>
        <w:t>dea matri</w:t>
      </w:r>
      <w:r w:rsidR="00E95BEA" w:rsidRPr="00861179">
        <w:rPr>
          <w:rFonts w:cs="Arial"/>
          <w:i w:val="0"/>
          <w:sz w:val="22"/>
          <w:szCs w:val="22"/>
          <w:u w:val="single"/>
        </w:rPr>
        <w:t>z</w:t>
      </w:r>
      <w:r w:rsidR="00464D9C" w:rsidRPr="00861179">
        <w:rPr>
          <w:rFonts w:cs="Arial"/>
          <w:i w:val="0"/>
          <w:sz w:val="22"/>
          <w:szCs w:val="22"/>
          <w:u w:val="single"/>
        </w:rPr>
        <w:t xml:space="preserve"> o fundamental del proyecto</w:t>
      </w:r>
      <w:r w:rsidR="009175B1" w:rsidRPr="00861179">
        <w:rPr>
          <w:rFonts w:cs="Arial"/>
          <w:i w:val="0"/>
          <w:sz w:val="22"/>
          <w:szCs w:val="22"/>
        </w:rPr>
        <w:t>:</w:t>
      </w:r>
      <w:bookmarkEnd w:id="3"/>
      <w:bookmarkEnd w:id="4"/>
      <w:bookmarkEnd w:id="5"/>
    </w:p>
    <w:p w:rsidR="008B247B" w:rsidRPr="00614B27" w:rsidRDefault="008B247B" w:rsidP="008B247B">
      <w:pPr>
        <w:tabs>
          <w:tab w:val="left" w:pos="851"/>
          <w:tab w:val="left" w:pos="2520"/>
        </w:tabs>
        <w:spacing w:line="276" w:lineRule="auto"/>
        <w:ind w:firstLine="1701"/>
        <w:jc w:val="both"/>
        <w:rPr>
          <w:rFonts w:ascii="Arial" w:hAnsi="Arial" w:cs="Arial"/>
          <w:sz w:val="22"/>
          <w:szCs w:val="22"/>
        </w:rPr>
      </w:pPr>
      <w:bookmarkStart w:id="6" w:name="_Toc408309926"/>
      <w:bookmarkStart w:id="7" w:name="_Toc409556909"/>
      <w:bookmarkStart w:id="8" w:name="_Toc499712181"/>
      <w:r w:rsidRPr="00614B27">
        <w:rPr>
          <w:rFonts w:ascii="Arial" w:hAnsi="Arial" w:cs="Arial"/>
          <w:sz w:val="22"/>
          <w:szCs w:val="22"/>
        </w:rPr>
        <w:t xml:space="preserve">Simplificar, por una parte, los </w:t>
      </w:r>
      <w:r w:rsidRPr="007601D0">
        <w:rPr>
          <w:rFonts w:ascii="Arial" w:hAnsi="Arial" w:cs="Arial"/>
          <w:sz w:val="22"/>
          <w:szCs w:val="22"/>
        </w:rPr>
        <w:t>procedimientos para la construcción y ampliación de establecimientos penitenciarios</w:t>
      </w:r>
      <w:r w:rsidRPr="00614B27">
        <w:rPr>
          <w:rFonts w:ascii="Arial" w:hAnsi="Arial" w:cs="Arial"/>
          <w:sz w:val="22"/>
          <w:szCs w:val="22"/>
        </w:rPr>
        <w:t xml:space="preserve">, de modo expedito, urgente y prioritario, procurando considerar </w:t>
      </w:r>
      <w:r w:rsidRPr="00614B27">
        <w:rPr>
          <w:rFonts w:ascii="Arial" w:hAnsi="Arial" w:cs="Arial"/>
        </w:rPr>
        <w:t xml:space="preserve">en su ejecución </w:t>
      </w:r>
      <w:r w:rsidRPr="00614B27">
        <w:rPr>
          <w:rFonts w:ascii="Arial" w:hAnsi="Arial" w:cs="Arial"/>
          <w:sz w:val="22"/>
          <w:szCs w:val="22"/>
        </w:rPr>
        <w:t>la protección a los derechos de todas las personas, teniendo en especial atención sus características particulares y situación de vulnerabilidad,</w:t>
      </w:r>
      <w:r w:rsidRPr="00614B27">
        <w:rPr>
          <w:rFonts w:ascii="Arial" w:hAnsi="Arial" w:cs="Arial"/>
        </w:rPr>
        <w:t xml:space="preserve"> </w:t>
      </w:r>
      <w:r w:rsidRPr="00614B27">
        <w:rPr>
          <w:rFonts w:ascii="Arial" w:hAnsi="Arial" w:cs="Arial"/>
          <w:sz w:val="22"/>
          <w:szCs w:val="22"/>
        </w:rPr>
        <w:t xml:space="preserve">y por otra parte, </w:t>
      </w:r>
      <w:r w:rsidRPr="007601D0">
        <w:rPr>
          <w:rFonts w:ascii="Arial" w:hAnsi="Arial" w:cs="Arial"/>
          <w:sz w:val="22"/>
          <w:szCs w:val="22"/>
        </w:rPr>
        <w:t>incorpora</w:t>
      </w:r>
      <w:r>
        <w:rPr>
          <w:rFonts w:ascii="Arial" w:hAnsi="Arial" w:cs="Arial"/>
        </w:rPr>
        <w:t>r</w:t>
      </w:r>
      <w:r w:rsidRPr="007601D0">
        <w:rPr>
          <w:rFonts w:ascii="Arial" w:hAnsi="Arial" w:cs="Arial"/>
          <w:sz w:val="22"/>
          <w:szCs w:val="22"/>
        </w:rPr>
        <w:t xml:space="preserve"> una función, a ser cumplida por la Subdirección Operativa </w:t>
      </w:r>
      <w:r w:rsidRPr="00614B27">
        <w:rPr>
          <w:rFonts w:ascii="Arial" w:hAnsi="Arial" w:cs="Arial"/>
          <w:sz w:val="22"/>
          <w:szCs w:val="22"/>
        </w:rPr>
        <w:t xml:space="preserve">de Gendarmería de Chile, </w:t>
      </w:r>
      <w:r w:rsidRPr="007601D0">
        <w:rPr>
          <w:rFonts w:ascii="Arial" w:hAnsi="Arial" w:cs="Arial"/>
          <w:sz w:val="22"/>
          <w:szCs w:val="22"/>
        </w:rPr>
        <w:t>relativa a asesorar, controlar y coordinar las acciones relativas a la persecución y prevención del surgimiento y operación de organizaciones delictivas o criminales</w:t>
      </w:r>
      <w:r w:rsidRPr="00614B27">
        <w:rPr>
          <w:rFonts w:ascii="Arial" w:hAnsi="Arial" w:cs="Arial"/>
          <w:sz w:val="22"/>
          <w:szCs w:val="22"/>
        </w:rPr>
        <w:t>, todo ello, teniendo presente el r</w:t>
      </w:r>
      <w:r w:rsidRPr="007601D0">
        <w:rPr>
          <w:rFonts w:ascii="Arial" w:hAnsi="Arial" w:cs="Arial"/>
          <w:sz w:val="22"/>
          <w:szCs w:val="22"/>
        </w:rPr>
        <w:t>esguardo de la seguridad nacional</w:t>
      </w:r>
      <w:r w:rsidRPr="00614B27">
        <w:rPr>
          <w:rFonts w:ascii="Arial" w:hAnsi="Arial" w:cs="Arial"/>
          <w:sz w:val="22"/>
          <w:szCs w:val="22"/>
        </w:rPr>
        <w:t>,</w:t>
      </w:r>
      <w:r w:rsidRPr="007601D0">
        <w:rPr>
          <w:rFonts w:ascii="Arial" w:hAnsi="Arial" w:cs="Arial"/>
          <w:sz w:val="22"/>
          <w:szCs w:val="22"/>
        </w:rPr>
        <w:t xml:space="preserve"> la seguridad pública interior y, especialmente, para la efectiva protección de la sociedad contra el delito, la reducción de la reincidencia</w:t>
      </w:r>
      <w:r w:rsidRPr="00614B27">
        <w:rPr>
          <w:rFonts w:ascii="Arial" w:hAnsi="Arial" w:cs="Arial"/>
          <w:sz w:val="22"/>
          <w:szCs w:val="22"/>
        </w:rPr>
        <w:t xml:space="preserve"> mediante la rehabilitación</w:t>
      </w:r>
      <w:r w:rsidRPr="007601D0">
        <w:rPr>
          <w:rFonts w:ascii="Arial" w:hAnsi="Arial" w:cs="Arial"/>
          <w:sz w:val="22"/>
          <w:szCs w:val="22"/>
        </w:rPr>
        <w:t xml:space="preserve"> y la protección de los derechos fundamentales de las personas</w:t>
      </w:r>
      <w:r>
        <w:rPr>
          <w:rFonts w:ascii="Arial" w:hAnsi="Arial" w:cs="Arial"/>
        </w:rPr>
        <w:t>.</w:t>
      </w:r>
    </w:p>
    <w:p w:rsidR="008B247B" w:rsidRDefault="008B247B" w:rsidP="00687258">
      <w:pPr>
        <w:spacing w:line="276" w:lineRule="auto"/>
        <w:ind w:right="-518" w:firstLine="1701"/>
        <w:jc w:val="both"/>
        <w:rPr>
          <w:rFonts w:ascii="Arial" w:hAnsi="Arial" w:cs="Arial"/>
          <w:sz w:val="22"/>
          <w:szCs w:val="22"/>
        </w:rPr>
      </w:pPr>
    </w:p>
    <w:p w:rsidR="000D493D" w:rsidRDefault="009F5F0C" w:rsidP="00687258">
      <w:pPr>
        <w:spacing w:line="276" w:lineRule="auto"/>
        <w:ind w:right="-518" w:firstLine="1701"/>
        <w:jc w:val="both"/>
        <w:rPr>
          <w:rFonts w:ascii="Arial" w:hAnsi="Arial" w:cs="Arial"/>
          <w:sz w:val="22"/>
          <w:szCs w:val="22"/>
        </w:rPr>
      </w:pPr>
      <w:r w:rsidRPr="00687258">
        <w:rPr>
          <w:rFonts w:ascii="Arial" w:hAnsi="Arial" w:cs="Arial"/>
          <w:sz w:val="22"/>
          <w:szCs w:val="22"/>
        </w:rPr>
        <w:t xml:space="preserve">2) </w:t>
      </w:r>
      <w:r w:rsidRPr="00687258">
        <w:rPr>
          <w:rFonts w:ascii="Arial" w:hAnsi="Arial" w:cs="Arial"/>
          <w:sz w:val="22"/>
          <w:szCs w:val="22"/>
          <w:u w:val="single"/>
        </w:rPr>
        <w:t>Comisión técnica</w:t>
      </w:r>
      <w:r w:rsidR="009175B1" w:rsidRPr="00687258">
        <w:rPr>
          <w:rFonts w:ascii="Arial" w:hAnsi="Arial" w:cs="Arial"/>
          <w:sz w:val="22"/>
          <w:szCs w:val="22"/>
          <w:u w:val="single"/>
        </w:rPr>
        <w:t>:</w:t>
      </w:r>
      <w:r w:rsidR="009175B1" w:rsidRPr="00687258">
        <w:rPr>
          <w:rFonts w:ascii="Arial" w:hAnsi="Arial" w:cs="Arial"/>
          <w:sz w:val="22"/>
          <w:szCs w:val="22"/>
        </w:rPr>
        <w:t xml:space="preserve"> </w:t>
      </w:r>
    </w:p>
    <w:p w:rsidR="008B247B" w:rsidRPr="00F031FC" w:rsidRDefault="008B247B" w:rsidP="008B247B">
      <w:pPr>
        <w:pStyle w:val="Sinespaciado"/>
        <w:spacing w:line="276" w:lineRule="auto"/>
        <w:ind w:firstLine="1701"/>
        <w:jc w:val="both"/>
        <w:rPr>
          <w:rFonts w:ascii="Arial" w:hAnsi="Arial" w:cs="Arial"/>
          <w:b/>
          <w:color w:val="C0504D"/>
          <w:lang w:val="es-ES_tradnl"/>
        </w:rPr>
      </w:pPr>
      <w:r w:rsidRPr="00BF74A0">
        <w:rPr>
          <w:rFonts w:ascii="Arial" w:hAnsi="Arial" w:cs="Arial"/>
        </w:rPr>
        <w:t xml:space="preserve">Comisión de </w:t>
      </w:r>
      <w:r>
        <w:rPr>
          <w:rFonts w:ascii="Arial" w:hAnsi="Arial" w:cs="Arial"/>
        </w:rPr>
        <w:t>Constitución, Legislación, Justicia y Reglamento</w:t>
      </w:r>
      <w:r>
        <w:rPr>
          <w:rFonts w:ascii="Arial" w:hAnsi="Arial" w:cs="Arial"/>
        </w:rPr>
        <w:t>.</w:t>
      </w:r>
    </w:p>
    <w:p w:rsidR="008B247B" w:rsidRDefault="008B247B" w:rsidP="008B247B">
      <w:pPr>
        <w:spacing w:line="276" w:lineRule="auto"/>
        <w:ind w:right="-518" w:firstLine="1701"/>
        <w:jc w:val="both"/>
        <w:rPr>
          <w:rFonts w:ascii="Arial" w:hAnsi="Arial" w:cs="Arial"/>
          <w:sz w:val="22"/>
          <w:szCs w:val="22"/>
        </w:rPr>
      </w:pPr>
    </w:p>
    <w:p w:rsidR="00F746CE" w:rsidRPr="00687258" w:rsidRDefault="009175B1" w:rsidP="008B247B">
      <w:pPr>
        <w:spacing w:line="276" w:lineRule="auto"/>
        <w:ind w:right="-518" w:firstLine="1701"/>
        <w:jc w:val="both"/>
        <w:rPr>
          <w:rFonts w:ascii="Arial" w:hAnsi="Arial" w:cs="Arial"/>
          <w:sz w:val="22"/>
          <w:szCs w:val="22"/>
          <w:u w:val="single"/>
        </w:rPr>
      </w:pPr>
      <w:r w:rsidRPr="00687258">
        <w:rPr>
          <w:rFonts w:ascii="Arial" w:hAnsi="Arial" w:cs="Arial"/>
          <w:sz w:val="22"/>
          <w:szCs w:val="22"/>
        </w:rPr>
        <w:t>3</w:t>
      </w:r>
      <w:r w:rsidR="00F746CE" w:rsidRPr="00687258">
        <w:rPr>
          <w:rFonts w:ascii="Arial" w:hAnsi="Arial" w:cs="Arial"/>
          <w:sz w:val="22"/>
          <w:szCs w:val="22"/>
        </w:rPr>
        <w:t xml:space="preserve">) </w:t>
      </w:r>
      <w:r w:rsidR="00F746CE" w:rsidRPr="00687258">
        <w:rPr>
          <w:rFonts w:ascii="Arial" w:hAnsi="Arial" w:cs="Arial"/>
          <w:sz w:val="22"/>
          <w:szCs w:val="22"/>
          <w:u w:val="single"/>
        </w:rPr>
        <w:t>Normas de carácter orgánico constitucional</w:t>
      </w:r>
      <w:r w:rsidR="00EA1C6F" w:rsidRPr="00687258">
        <w:rPr>
          <w:rFonts w:ascii="Arial" w:hAnsi="Arial" w:cs="Arial"/>
          <w:snapToGrid w:val="0"/>
          <w:sz w:val="22"/>
          <w:szCs w:val="22"/>
          <w:u w:val="single"/>
        </w:rPr>
        <w:t xml:space="preserve"> o de quórum calificado</w:t>
      </w:r>
      <w:r w:rsidR="00F746CE" w:rsidRPr="00687258">
        <w:rPr>
          <w:rFonts w:ascii="Arial" w:hAnsi="Arial" w:cs="Arial"/>
          <w:sz w:val="22"/>
          <w:szCs w:val="22"/>
          <w:u w:val="single"/>
        </w:rPr>
        <w:t>.</w:t>
      </w:r>
      <w:bookmarkEnd w:id="6"/>
      <w:bookmarkEnd w:id="7"/>
      <w:bookmarkEnd w:id="8"/>
    </w:p>
    <w:p w:rsidR="005611BC" w:rsidRPr="00687258" w:rsidRDefault="00F3118C" w:rsidP="00687258">
      <w:pPr>
        <w:pStyle w:val="Prrafodelista"/>
        <w:spacing w:line="276" w:lineRule="auto"/>
        <w:ind w:left="0" w:right="-518" w:firstLine="1701"/>
        <w:jc w:val="both"/>
        <w:rPr>
          <w:rFonts w:ascii="Arial" w:hAnsi="Arial" w:cs="Arial"/>
        </w:rPr>
      </w:pPr>
      <w:r w:rsidRPr="00687258">
        <w:rPr>
          <w:rFonts w:ascii="Arial" w:hAnsi="Arial" w:cs="Arial"/>
        </w:rPr>
        <w:t xml:space="preserve">No </w:t>
      </w:r>
      <w:r w:rsidR="0014589F">
        <w:rPr>
          <w:rFonts w:ascii="Arial" w:hAnsi="Arial" w:cs="Arial"/>
        </w:rPr>
        <w:t xml:space="preserve">hubo en este trámite nuevas </w:t>
      </w:r>
      <w:r w:rsidR="005B167B" w:rsidRPr="00687258">
        <w:rPr>
          <w:rFonts w:ascii="Arial" w:hAnsi="Arial" w:cs="Arial"/>
        </w:rPr>
        <w:t>normas en esa condición.</w:t>
      </w:r>
    </w:p>
    <w:p w:rsidR="000D493D" w:rsidRPr="00687258" w:rsidRDefault="000562FC" w:rsidP="00687258">
      <w:pPr>
        <w:tabs>
          <w:tab w:val="left" w:pos="-284"/>
          <w:tab w:val="left" w:pos="0"/>
          <w:tab w:val="left" w:pos="851"/>
          <w:tab w:val="left" w:pos="4751"/>
        </w:tabs>
        <w:spacing w:line="276" w:lineRule="auto"/>
        <w:ind w:right="-518" w:firstLine="1701"/>
        <w:jc w:val="both"/>
        <w:rPr>
          <w:rFonts w:ascii="Arial" w:hAnsi="Arial" w:cs="Arial"/>
          <w:sz w:val="22"/>
          <w:szCs w:val="22"/>
          <w:u w:val="single"/>
        </w:rPr>
      </w:pPr>
      <w:bookmarkStart w:id="9" w:name="_Toc408309927"/>
      <w:bookmarkStart w:id="10" w:name="_Toc409556910"/>
      <w:bookmarkStart w:id="11" w:name="_Toc499712182"/>
      <w:r w:rsidRPr="00687258">
        <w:rPr>
          <w:rFonts w:ascii="Arial" w:hAnsi="Arial" w:cs="Arial"/>
          <w:sz w:val="22"/>
          <w:szCs w:val="22"/>
        </w:rPr>
        <w:t>4</w:t>
      </w:r>
      <w:r w:rsidR="00F746CE" w:rsidRPr="00687258">
        <w:rPr>
          <w:rFonts w:ascii="Arial" w:hAnsi="Arial" w:cs="Arial"/>
          <w:sz w:val="22"/>
          <w:szCs w:val="22"/>
        </w:rPr>
        <w:t xml:space="preserve">) </w:t>
      </w:r>
      <w:r w:rsidR="000D493D" w:rsidRPr="00687258">
        <w:rPr>
          <w:rFonts w:ascii="Arial" w:hAnsi="Arial" w:cs="Arial"/>
          <w:sz w:val="22"/>
          <w:szCs w:val="22"/>
          <w:u w:val="single"/>
        </w:rPr>
        <w:t>Artículos que la Comisión Técnica dispuso que fueran conocid</w:t>
      </w:r>
      <w:r w:rsidRPr="00687258">
        <w:rPr>
          <w:rFonts w:ascii="Arial" w:hAnsi="Arial" w:cs="Arial"/>
          <w:sz w:val="22"/>
          <w:szCs w:val="22"/>
          <w:u w:val="single"/>
        </w:rPr>
        <w:t>o</w:t>
      </w:r>
      <w:r w:rsidR="000D493D" w:rsidRPr="00687258">
        <w:rPr>
          <w:rFonts w:ascii="Arial" w:hAnsi="Arial" w:cs="Arial"/>
          <w:sz w:val="22"/>
          <w:szCs w:val="22"/>
          <w:u w:val="single"/>
        </w:rPr>
        <w:t>s por esta Comisión de Hacienda:</w:t>
      </w:r>
    </w:p>
    <w:p w:rsidR="000562FC" w:rsidRPr="00687258" w:rsidRDefault="000562FC" w:rsidP="00687258">
      <w:pPr>
        <w:pStyle w:val="Sinespaciado"/>
        <w:spacing w:line="276" w:lineRule="auto"/>
        <w:ind w:right="-518" w:firstLine="1701"/>
        <w:jc w:val="both"/>
        <w:rPr>
          <w:rFonts w:ascii="Arial" w:hAnsi="Arial" w:cs="Arial"/>
          <w:b/>
          <w:bCs/>
          <w:lang w:val="es-ES"/>
        </w:rPr>
      </w:pPr>
      <w:r w:rsidRPr="00687258">
        <w:rPr>
          <w:rFonts w:ascii="Arial" w:hAnsi="Arial" w:cs="Arial"/>
          <w:bCs/>
          <w:lang w:val="es-ES"/>
        </w:rPr>
        <w:t>Según consigna el informe de la Comisión</w:t>
      </w:r>
      <w:r w:rsidR="006958EE">
        <w:rPr>
          <w:rFonts w:ascii="Arial" w:hAnsi="Arial" w:cs="Arial"/>
          <w:bCs/>
          <w:lang w:val="es-ES"/>
        </w:rPr>
        <w:t xml:space="preserve"> Técnica</w:t>
      </w:r>
      <w:r w:rsidRPr="00687258">
        <w:rPr>
          <w:rFonts w:ascii="Arial" w:hAnsi="Arial" w:cs="Arial"/>
          <w:bCs/>
          <w:lang w:val="es-ES"/>
        </w:rPr>
        <w:t xml:space="preserve">, </w:t>
      </w:r>
      <w:r w:rsidR="00DA6CF4">
        <w:rPr>
          <w:rFonts w:ascii="Arial" w:hAnsi="Arial" w:cs="Arial"/>
          <w:bCs/>
          <w:lang w:val="es-ES"/>
        </w:rPr>
        <w:t xml:space="preserve">el artículo </w:t>
      </w:r>
      <w:r w:rsidR="006958EE">
        <w:rPr>
          <w:rFonts w:ascii="Arial" w:hAnsi="Arial" w:cs="Arial"/>
          <w:bCs/>
          <w:lang w:val="es-ES"/>
        </w:rPr>
        <w:t xml:space="preserve">4 permanente y tercero </w:t>
      </w:r>
      <w:r w:rsidR="00DA6CF4">
        <w:rPr>
          <w:rFonts w:ascii="Arial" w:hAnsi="Arial" w:cs="Arial"/>
          <w:bCs/>
          <w:lang w:val="es-ES"/>
        </w:rPr>
        <w:t xml:space="preserve">transitorio </w:t>
      </w:r>
      <w:r w:rsidR="00D62925" w:rsidRPr="00687258">
        <w:rPr>
          <w:rFonts w:ascii="Arial" w:hAnsi="Arial" w:cs="Arial"/>
          <w:bCs/>
        </w:rPr>
        <w:t>del texto aprobado</w:t>
      </w:r>
      <w:r w:rsidR="00861179" w:rsidRPr="00687258">
        <w:rPr>
          <w:rFonts w:ascii="Arial" w:hAnsi="Arial" w:cs="Arial"/>
          <w:bCs/>
        </w:rPr>
        <w:t>,</w:t>
      </w:r>
      <w:r w:rsidR="00D62925" w:rsidRPr="00687258">
        <w:rPr>
          <w:rFonts w:ascii="Arial" w:hAnsi="Arial" w:cs="Arial"/>
          <w:bCs/>
        </w:rPr>
        <w:t xml:space="preserve"> </w:t>
      </w:r>
      <w:r w:rsidR="006958EE">
        <w:rPr>
          <w:rFonts w:ascii="Arial" w:hAnsi="Arial" w:cs="Arial"/>
          <w:bCs/>
        </w:rPr>
        <w:t xml:space="preserve">son </w:t>
      </w:r>
      <w:r w:rsidR="00D62925" w:rsidRPr="00687258">
        <w:rPr>
          <w:rFonts w:ascii="Arial" w:hAnsi="Arial" w:cs="Arial"/>
          <w:bCs/>
        </w:rPr>
        <w:t>de competencia de esta Comisión de Hacienda.</w:t>
      </w:r>
    </w:p>
    <w:p w:rsidR="000562FC" w:rsidRPr="00687258" w:rsidRDefault="000562FC" w:rsidP="00687258">
      <w:pPr>
        <w:tabs>
          <w:tab w:val="left" w:pos="-284"/>
          <w:tab w:val="left" w:pos="0"/>
          <w:tab w:val="left" w:pos="851"/>
          <w:tab w:val="left" w:pos="4751"/>
        </w:tabs>
        <w:spacing w:line="276" w:lineRule="auto"/>
        <w:ind w:right="-518" w:firstLine="1701"/>
        <w:jc w:val="both"/>
        <w:rPr>
          <w:rFonts w:ascii="Arial" w:hAnsi="Arial" w:cs="Arial"/>
          <w:sz w:val="22"/>
          <w:szCs w:val="22"/>
          <w:u w:val="single"/>
        </w:rPr>
      </w:pPr>
    </w:p>
    <w:p w:rsidR="008C5B5D" w:rsidRPr="00687258" w:rsidRDefault="005B167B" w:rsidP="00687258">
      <w:pPr>
        <w:pStyle w:val="Sinespaciado"/>
        <w:spacing w:line="276" w:lineRule="auto"/>
        <w:ind w:right="-518" w:firstLine="1701"/>
        <w:jc w:val="both"/>
        <w:rPr>
          <w:rFonts w:ascii="Arial" w:hAnsi="Arial" w:cs="Arial"/>
        </w:rPr>
      </w:pPr>
      <w:bookmarkStart w:id="12" w:name="_Toc408309929"/>
      <w:bookmarkStart w:id="13" w:name="_Toc409556912"/>
      <w:bookmarkStart w:id="14" w:name="_Toc499712184"/>
      <w:bookmarkEnd w:id="9"/>
      <w:bookmarkEnd w:id="10"/>
      <w:bookmarkEnd w:id="11"/>
      <w:r w:rsidRPr="00687258">
        <w:rPr>
          <w:rFonts w:ascii="Arial" w:hAnsi="Arial" w:cs="Arial"/>
          <w:lang w:eastAsia="es-CL"/>
        </w:rPr>
        <w:t>5</w:t>
      </w:r>
      <w:r w:rsidR="005A7749" w:rsidRPr="00687258">
        <w:rPr>
          <w:rFonts w:ascii="Arial" w:hAnsi="Arial" w:cs="Arial"/>
          <w:lang w:eastAsia="es-CL"/>
        </w:rPr>
        <w:t xml:space="preserve">) </w:t>
      </w:r>
      <w:r w:rsidR="005A7749" w:rsidRPr="00687258">
        <w:rPr>
          <w:rFonts w:ascii="Arial" w:hAnsi="Arial" w:cs="Arial"/>
          <w:u w:val="single"/>
          <w:lang w:eastAsia="es-CL"/>
        </w:rPr>
        <w:t xml:space="preserve">Artículos </w:t>
      </w:r>
      <w:r w:rsidR="004833DA" w:rsidRPr="00687258">
        <w:rPr>
          <w:rFonts w:ascii="Arial" w:hAnsi="Arial" w:cs="Arial"/>
          <w:u w:val="single"/>
          <w:lang w:eastAsia="es-CL"/>
        </w:rPr>
        <w:t>nuevos</w:t>
      </w:r>
      <w:r w:rsidR="00687258">
        <w:rPr>
          <w:rFonts w:ascii="Arial" w:hAnsi="Arial" w:cs="Arial"/>
          <w:u w:val="single"/>
          <w:lang w:eastAsia="es-CL"/>
        </w:rPr>
        <w:t xml:space="preserve">: </w:t>
      </w:r>
      <w:r w:rsidR="005C2765" w:rsidRPr="00687258">
        <w:rPr>
          <w:rFonts w:ascii="Arial" w:hAnsi="Arial" w:cs="Arial"/>
        </w:rPr>
        <w:t xml:space="preserve">No </w:t>
      </w:r>
      <w:r w:rsidR="00687258">
        <w:rPr>
          <w:rFonts w:ascii="Arial" w:hAnsi="Arial" w:cs="Arial"/>
        </w:rPr>
        <w:t>hubo</w:t>
      </w:r>
    </w:p>
    <w:p w:rsidR="005C2765" w:rsidRPr="00687258" w:rsidRDefault="005C2765" w:rsidP="00687258">
      <w:pPr>
        <w:pStyle w:val="Sinespaciado"/>
        <w:spacing w:line="276" w:lineRule="auto"/>
        <w:ind w:right="-518" w:firstLine="1701"/>
        <w:jc w:val="both"/>
        <w:rPr>
          <w:rFonts w:ascii="Arial" w:hAnsi="Arial" w:cs="Arial"/>
          <w:lang w:eastAsia="es-CL"/>
        </w:rPr>
      </w:pPr>
    </w:p>
    <w:p w:rsidR="004833DA" w:rsidRDefault="005B167B" w:rsidP="00687258">
      <w:pPr>
        <w:pStyle w:val="Sinespaciado"/>
        <w:spacing w:line="276" w:lineRule="auto"/>
        <w:ind w:right="-518" w:firstLine="1701"/>
        <w:jc w:val="both"/>
        <w:rPr>
          <w:rFonts w:ascii="Arial" w:hAnsi="Arial" w:cs="Arial"/>
          <w:lang w:eastAsia="es-CL"/>
        </w:rPr>
      </w:pPr>
      <w:r w:rsidRPr="00687258">
        <w:rPr>
          <w:rFonts w:ascii="Arial" w:hAnsi="Arial" w:cs="Arial"/>
          <w:lang w:eastAsia="es-CL"/>
        </w:rPr>
        <w:t>6</w:t>
      </w:r>
      <w:r w:rsidR="004833DA" w:rsidRPr="00687258">
        <w:rPr>
          <w:rFonts w:ascii="Arial" w:hAnsi="Arial" w:cs="Arial"/>
          <w:lang w:eastAsia="es-CL"/>
        </w:rPr>
        <w:t xml:space="preserve">) </w:t>
      </w:r>
      <w:r w:rsidR="004833DA" w:rsidRPr="00687258">
        <w:rPr>
          <w:rFonts w:ascii="Arial" w:hAnsi="Arial" w:cs="Arial"/>
          <w:u w:val="single"/>
          <w:lang w:eastAsia="es-CL"/>
        </w:rPr>
        <w:t>Artículos modificados</w:t>
      </w:r>
      <w:r w:rsidR="00687258">
        <w:rPr>
          <w:rFonts w:ascii="Arial" w:hAnsi="Arial" w:cs="Arial"/>
          <w:u w:val="single"/>
          <w:lang w:eastAsia="es-CL"/>
        </w:rPr>
        <w:t>:</w:t>
      </w:r>
      <w:r w:rsidR="00DA6CF4">
        <w:rPr>
          <w:rFonts w:ascii="Arial" w:hAnsi="Arial" w:cs="Arial"/>
          <w:u w:val="single"/>
          <w:lang w:eastAsia="es-CL"/>
        </w:rPr>
        <w:t xml:space="preserve"> </w:t>
      </w:r>
      <w:r w:rsidR="00DA6CF4" w:rsidRPr="00DA6CF4">
        <w:rPr>
          <w:rFonts w:ascii="Arial" w:hAnsi="Arial" w:cs="Arial"/>
          <w:lang w:eastAsia="es-CL"/>
        </w:rPr>
        <w:t>No hay</w:t>
      </w:r>
    </w:p>
    <w:p w:rsidR="006958EE" w:rsidRDefault="006958EE" w:rsidP="00687258">
      <w:pPr>
        <w:pStyle w:val="Sinespaciado"/>
        <w:spacing w:line="276" w:lineRule="auto"/>
        <w:ind w:right="-518" w:firstLine="1701"/>
        <w:jc w:val="both"/>
        <w:rPr>
          <w:rFonts w:ascii="Arial" w:hAnsi="Arial" w:cs="Arial"/>
          <w:lang w:eastAsia="es-CL"/>
        </w:rPr>
      </w:pPr>
    </w:p>
    <w:p w:rsidR="00DA6CF4" w:rsidRPr="00DA6CF4" w:rsidRDefault="006958EE" w:rsidP="00687258">
      <w:pPr>
        <w:pStyle w:val="Sinespaciado"/>
        <w:spacing w:line="276" w:lineRule="auto"/>
        <w:ind w:right="-518" w:firstLine="1701"/>
        <w:jc w:val="both"/>
        <w:rPr>
          <w:rFonts w:ascii="Arial" w:hAnsi="Arial" w:cs="Arial"/>
          <w:lang w:eastAsia="es-CL"/>
        </w:rPr>
      </w:pPr>
      <w:r>
        <w:rPr>
          <w:rFonts w:ascii="Arial" w:hAnsi="Arial" w:cs="Arial"/>
          <w:lang w:eastAsia="es-CL"/>
        </w:rPr>
        <w:t>7</w:t>
      </w:r>
      <w:r w:rsidR="00DA6CF4">
        <w:rPr>
          <w:rFonts w:ascii="Arial" w:hAnsi="Arial" w:cs="Arial"/>
          <w:lang w:eastAsia="es-CL"/>
        </w:rPr>
        <w:t xml:space="preserve">) </w:t>
      </w:r>
      <w:r w:rsidR="00DA6CF4" w:rsidRPr="006958EE">
        <w:rPr>
          <w:rFonts w:ascii="Arial" w:hAnsi="Arial" w:cs="Arial"/>
          <w:u w:val="single"/>
          <w:lang w:eastAsia="es-CL"/>
        </w:rPr>
        <w:t>Diputado informante</w:t>
      </w:r>
      <w:r w:rsidR="00DA6CF4">
        <w:rPr>
          <w:rFonts w:ascii="Arial" w:hAnsi="Arial" w:cs="Arial"/>
          <w:lang w:eastAsia="es-CL"/>
        </w:rPr>
        <w:t xml:space="preserve">: el señor </w:t>
      </w:r>
      <w:r>
        <w:rPr>
          <w:rFonts w:ascii="Arial" w:hAnsi="Arial" w:cs="Arial"/>
          <w:lang w:eastAsia="es-CL"/>
        </w:rPr>
        <w:t>Guillermo Ramírez Diez.</w:t>
      </w:r>
    </w:p>
    <w:p w:rsidR="008B247B" w:rsidRDefault="008B247B" w:rsidP="00687258">
      <w:pPr>
        <w:tabs>
          <w:tab w:val="left" w:pos="1701"/>
        </w:tabs>
        <w:spacing w:line="276" w:lineRule="auto"/>
        <w:ind w:right="-518"/>
        <w:jc w:val="both"/>
        <w:rPr>
          <w:rFonts w:ascii="Arial" w:hAnsi="Arial" w:cs="Arial"/>
          <w:b/>
          <w:sz w:val="22"/>
          <w:szCs w:val="22"/>
        </w:rPr>
      </w:pPr>
      <w:bookmarkStart w:id="15" w:name="_Toc408309938"/>
      <w:bookmarkStart w:id="16" w:name="_Toc409556940"/>
      <w:bookmarkStart w:id="17" w:name="_Toc499712193"/>
      <w:bookmarkEnd w:id="12"/>
      <w:bookmarkEnd w:id="13"/>
      <w:bookmarkEnd w:id="14"/>
    </w:p>
    <w:p w:rsidR="00687258" w:rsidRPr="00687258" w:rsidRDefault="00687258" w:rsidP="00687258">
      <w:pPr>
        <w:tabs>
          <w:tab w:val="left" w:pos="1701"/>
        </w:tabs>
        <w:spacing w:line="276" w:lineRule="auto"/>
        <w:ind w:right="-518"/>
        <w:jc w:val="both"/>
        <w:rPr>
          <w:rFonts w:ascii="Arial" w:hAnsi="Arial" w:cs="Arial"/>
          <w:b/>
          <w:sz w:val="22"/>
          <w:szCs w:val="22"/>
        </w:rPr>
      </w:pPr>
      <w:r w:rsidRPr="00687258">
        <w:rPr>
          <w:rFonts w:ascii="Arial" w:hAnsi="Arial" w:cs="Arial"/>
          <w:b/>
          <w:sz w:val="22"/>
          <w:szCs w:val="22"/>
        </w:rPr>
        <w:t>II.- CONTENIDO DE LA INICIATIVA</w:t>
      </w:r>
      <w:r w:rsidR="00603226">
        <w:rPr>
          <w:rFonts w:ascii="Arial" w:hAnsi="Arial" w:cs="Arial"/>
          <w:b/>
          <w:sz w:val="22"/>
          <w:szCs w:val="22"/>
        </w:rPr>
        <w:t xml:space="preserve"> </w:t>
      </w:r>
    </w:p>
    <w:p w:rsidR="00BF398A" w:rsidRDefault="00BF398A" w:rsidP="00BF398A">
      <w:pPr>
        <w:pStyle w:val="Sinespaciado"/>
        <w:spacing w:line="276" w:lineRule="auto"/>
        <w:ind w:right="-518" w:firstLine="1701"/>
        <w:jc w:val="both"/>
        <w:rPr>
          <w:rFonts w:ascii="Arial" w:hAnsi="Arial" w:cs="Arial"/>
          <w:bCs/>
          <w:lang w:val="es-ES"/>
        </w:rPr>
      </w:pPr>
    </w:p>
    <w:p w:rsidR="008B247B" w:rsidRPr="008B247B" w:rsidRDefault="008B247B" w:rsidP="008B247B">
      <w:pPr>
        <w:pStyle w:val="Sinespaciado"/>
        <w:spacing w:line="276" w:lineRule="auto"/>
        <w:ind w:right="-518" w:firstLine="1701"/>
        <w:jc w:val="both"/>
        <w:rPr>
          <w:rFonts w:ascii="Arial" w:hAnsi="Arial" w:cs="Arial"/>
          <w:bCs/>
          <w:lang w:val="es-ES"/>
        </w:rPr>
      </w:pPr>
      <w:r w:rsidRPr="008B247B">
        <w:rPr>
          <w:rFonts w:ascii="Arial" w:hAnsi="Arial" w:cs="Arial"/>
          <w:bCs/>
          <w:lang w:val="es-ES"/>
        </w:rPr>
        <w:t>El proyecto de ley se estructura sobre la base de cuatro artículos permanentes y tres transitorios, que contienen las siguientes regulaciones:</w:t>
      </w:r>
    </w:p>
    <w:p w:rsidR="008B247B" w:rsidRPr="008B247B" w:rsidRDefault="008B247B" w:rsidP="008B247B">
      <w:pPr>
        <w:pStyle w:val="Sinespaciado"/>
        <w:spacing w:line="276" w:lineRule="auto"/>
        <w:ind w:right="-518" w:firstLine="1701"/>
        <w:jc w:val="both"/>
        <w:rPr>
          <w:rFonts w:ascii="Arial" w:hAnsi="Arial" w:cs="Arial"/>
          <w:bCs/>
          <w:lang w:val="es-ES"/>
        </w:rPr>
      </w:pPr>
      <w:r w:rsidRPr="008B247B">
        <w:rPr>
          <w:rFonts w:ascii="Arial" w:hAnsi="Arial" w:cs="Arial"/>
          <w:bCs/>
          <w:lang w:val="es-ES"/>
        </w:rPr>
        <w:t>-El Ministerio de Vivienda y Urbanismo, a solicitud del Ministerio de Justicia y Derechos Humanos, podrá introducir modificaciones a planes reguladores comunales e intercomunales; mediante decreto supremo, previa solicitud de informe al respectivo Municipio, con el objeto de permitir la alteración, ampliación, reparación o reconstrucción de establecimientos penitenciarios existentes.</w:t>
      </w:r>
    </w:p>
    <w:p w:rsidR="008B247B" w:rsidRPr="008B247B" w:rsidRDefault="008B247B" w:rsidP="008B247B">
      <w:pPr>
        <w:pStyle w:val="Sinespaciado"/>
        <w:spacing w:line="276" w:lineRule="auto"/>
        <w:ind w:right="-518" w:firstLine="1701"/>
        <w:jc w:val="both"/>
        <w:rPr>
          <w:rFonts w:ascii="Arial" w:hAnsi="Arial" w:cs="Arial"/>
          <w:bCs/>
          <w:lang w:val="es-ES"/>
        </w:rPr>
      </w:pPr>
      <w:r w:rsidRPr="008B247B">
        <w:rPr>
          <w:rFonts w:ascii="Arial" w:hAnsi="Arial" w:cs="Arial"/>
          <w:bCs/>
          <w:lang w:val="es-ES"/>
        </w:rPr>
        <w:t xml:space="preserve">-Este régimen excepcional tendrá una duración transitoria de 48 meses contados desde la publicación de la ley. </w:t>
      </w:r>
    </w:p>
    <w:p w:rsidR="008B247B" w:rsidRPr="008B247B" w:rsidRDefault="008B247B" w:rsidP="008B247B">
      <w:pPr>
        <w:pStyle w:val="Sinespaciado"/>
        <w:spacing w:line="276" w:lineRule="auto"/>
        <w:ind w:right="-518" w:firstLine="1701"/>
        <w:jc w:val="both"/>
        <w:rPr>
          <w:rFonts w:ascii="Arial" w:hAnsi="Arial" w:cs="Arial"/>
          <w:bCs/>
          <w:lang w:val="es-ES"/>
        </w:rPr>
      </w:pPr>
      <w:r w:rsidRPr="008B247B">
        <w:rPr>
          <w:rFonts w:ascii="Arial" w:hAnsi="Arial" w:cs="Arial"/>
          <w:bCs/>
          <w:lang w:val="es-ES"/>
        </w:rPr>
        <w:t xml:space="preserve">-Se dispone la obligación de dar inicio a las respectivas obras de alteración, ampliación, reparación o reconstrucción en el término de 6 años, contados desde la publicación en el Diario Oficial del decreto supremo del Ministerio de Vivienda y Urbanismo que autorice la modificación del respectivo plan regulador en donde se encuentre situado el establecimiento penitenciario. </w:t>
      </w:r>
    </w:p>
    <w:p w:rsidR="00687258" w:rsidRDefault="008B247B" w:rsidP="008B247B">
      <w:pPr>
        <w:pStyle w:val="Sinespaciado"/>
        <w:spacing w:line="276" w:lineRule="auto"/>
        <w:ind w:right="-518" w:firstLine="1701"/>
        <w:jc w:val="both"/>
        <w:rPr>
          <w:rFonts w:ascii="Arial" w:hAnsi="Arial" w:cs="Arial"/>
          <w:bCs/>
          <w:lang w:val="es-ES"/>
        </w:rPr>
      </w:pPr>
      <w:r w:rsidRPr="008B247B">
        <w:rPr>
          <w:rFonts w:ascii="Arial" w:hAnsi="Arial" w:cs="Arial"/>
          <w:bCs/>
          <w:lang w:val="es-ES"/>
        </w:rPr>
        <w:t>-Permitir aumentos de superficie edificada de establecimientos penitenciarios, de hasta un 50%, que resulten imprescindibles para mejorar su funcionamiento y asegurar el cumplimiento de sus fines, previa calificación fundada de su necesidad por parte del Ministerio de Justicia y Derechos Humanos, con informe favorable de Gendarmería de Chile.</w:t>
      </w:r>
    </w:p>
    <w:p w:rsidR="0092294D" w:rsidRPr="008E5831" w:rsidRDefault="0092294D" w:rsidP="0092294D">
      <w:pPr>
        <w:tabs>
          <w:tab w:val="left" w:pos="0"/>
        </w:tabs>
        <w:spacing w:line="276" w:lineRule="auto"/>
        <w:ind w:right="-518" w:firstLine="1701"/>
        <w:jc w:val="both"/>
        <w:rPr>
          <w:rFonts w:ascii="Arial" w:hAnsi="Arial" w:cs="Arial"/>
          <w:sz w:val="22"/>
          <w:szCs w:val="22"/>
        </w:rPr>
      </w:pPr>
      <w:r>
        <w:rPr>
          <w:rFonts w:ascii="Arial" w:hAnsi="Arial" w:cs="Arial"/>
          <w:bCs/>
        </w:rPr>
        <w:t>-</w:t>
      </w:r>
      <w:r w:rsidRPr="0092294D">
        <w:rPr>
          <w:rFonts w:ascii="Arial" w:hAnsi="Arial" w:cs="Arial"/>
          <w:sz w:val="22"/>
          <w:szCs w:val="22"/>
        </w:rPr>
        <w:t xml:space="preserve"> </w:t>
      </w:r>
      <w:r w:rsidRPr="008E5831">
        <w:rPr>
          <w:rFonts w:ascii="Arial" w:hAnsi="Arial" w:cs="Arial"/>
          <w:sz w:val="22"/>
          <w:szCs w:val="22"/>
        </w:rPr>
        <w:t>La Comisión de Constitución de la Cámara agregó que este régimen transitorio también aplique para efectos de permitir la construcción de recintos penitenciarios nuevos.</w:t>
      </w:r>
    </w:p>
    <w:p w:rsidR="00A9407E" w:rsidRPr="008E5831" w:rsidRDefault="00A9407E" w:rsidP="00A9407E">
      <w:pPr>
        <w:tabs>
          <w:tab w:val="left" w:pos="0"/>
        </w:tabs>
        <w:spacing w:line="276" w:lineRule="auto"/>
        <w:ind w:right="-518" w:firstLine="1701"/>
        <w:jc w:val="both"/>
        <w:rPr>
          <w:rFonts w:ascii="Arial" w:hAnsi="Arial" w:cs="Arial"/>
          <w:sz w:val="22"/>
          <w:szCs w:val="22"/>
        </w:rPr>
      </w:pPr>
      <w:r>
        <w:rPr>
          <w:rFonts w:ascii="Arial" w:hAnsi="Arial" w:cs="Arial"/>
          <w:bCs/>
        </w:rPr>
        <w:t>-F</w:t>
      </w:r>
      <w:r w:rsidRPr="008E5831">
        <w:rPr>
          <w:rFonts w:ascii="Arial" w:hAnsi="Arial" w:cs="Arial"/>
          <w:sz w:val="22"/>
          <w:szCs w:val="22"/>
        </w:rPr>
        <w:t>ortalecimiento de la Unidad de Investigación Criminal de Gendarmería.</w:t>
      </w:r>
    </w:p>
    <w:p w:rsidR="0092294D" w:rsidRPr="008B247B" w:rsidRDefault="003F1427" w:rsidP="008B247B">
      <w:pPr>
        <w:pStyle w:val="Sinespaciado"/>
        <w:spacing w:line="276" w:lineRule="auto"/>
        <w:ind w:right="-518" w:firstLine="1701"/>
        <w:jc w:val="both"/>
        <w:rPr>
          <w:rFonts w:ascii="Arial" w:hAnsi="Arial" w:cs="Arial"/>
          <w:bCs/>
          <w:lang w:val="es-ES"/>
        </w:rPr>
      </w:pPr>
      <w:r w:rsidRPr="008E5831">
        <w:rPr>
          <w:rFonts w:ascii="Arial" w:eastAsia="Times New Roman" w:hAnsi="Arial" w:cs="Arial"/>
          <w:lang w:val="es-ES"/>
        </w:rPr>
        <w:t>Se incorpora una función en la ley orgánica de Gendarmería de Chile, a ser cumplida por la Subdirección Operativa de dicho servicio, relativa a asesorar, controlar y coordinar las acciones relativas a la persecución y prevención del surgimiento y operación de organizaciones delictivas o criminales (artículo 4).</w:t>
      </w:r>
    </w:p>
    <w:p w:rsidR="00687258" w:rsidRPr="00687258" w:rsidRDefault="00687258" w:rsidP="00687258">
      <w:pPr>
        <w:pStyle w:val="Sinespaciado"/>
        <w:spacing w:line="276" w:lineRule="auto"/>
        <w:ind w:right="-518" w:firstLine="1701"/>
        <w:jc w:val="both"/>
        <w:rPr>
          <w:rFonts w:ascii="Arial" w:hAnsi="Arial" w:cs="Arial"/>
          <w:bCs/>
        </w:rPr>
      </w:pPr>
    </w:p>
    <w:p w:rsidR="00687258" w:rsidRDefault="00A43628" w:rsidP="00687258">
      <w:pPr>
        <w:pStyle w:val="Sinespaciado"/>
        <w:spacing w:line="276" w:lineRule="auto"/>
        <w:ind w:right="-518"/>
        <w:jc w:val="both"/>
        <w:rPr>
          <w:rFonts w:ascii="Arial" w:hAnsi="Arial" w:cs="Arial"/>
          <w:b/>
          <w:bCs/>
        </w:rPr>
      </w:pPr>
      <w:r>
        <w:rPr>
          <w:rFonts w:ascii="Arial" w:hAnsi="Arial" w:cs="Arial"/>
          <w:b/>
          <w:bCs/>
        </w:rPr>
        <w:t>III.</w:t>
      </w:r>
      <w:r w:rsidR="00687258" w:rsidRPr="00687258">
        <w:rPr>
          <w:rFonts w:ascii="Arial" w:hAnsi="Arial" w:cs="Arial"/>
          <w:b/>
          <w:bCs/>
        </w:rPr>
        <w:t xml:space="preserve">-INCIDENCIA </w:t>
      </w:r>
      <w:r w:rsidR="00BF398A">
        <w:rPr>
          <w:rFonts w:ascii="Arial" w:hAnsi="Arial" w:cs="Arial"/>
          <w:b/>
          <w:bCs/>
        </w:rPr>
        <w:t xml:space="preserve">EN MATERIA </w:t>
      </w:r>
      <w:r w:rsidR="00687258" w:rsidRPr="00687258">
        <w:rPr>
          <w:rFonts w:ascii="Arial" w:hAnsi="Arial" w:cs="Arial"/>
          <w:b/>
          <w:bCs/>
        </w:rPr>
        <w:t>FINANCIERA O PRESUPUESTARIA DEL ESTADO</w:t>
      </w:r>
    </w:p>
    <w:p w:rsidR="008B247B" w:rsidRDefault="008B247B" w:rsidP="00687258">
      <w:pPr>
        <w:pStyle w:val="Sinespaciado"/>
        <w:spacing w:line="276" w:lineRule="auto"/>
        <w:ind w:right="-518"/>
        <w:jc w:val="both"/>
        <w:rPr>
          <w:rFonts w:ascii="Arial" w:hAnsi="Arial" w:cs="Arial"/>
          <w:b/>
          <w:bCs/>
        </w:rPr>
      </w:pPr>
    </w:p>
    <w:p w:rsidR="008B247B" w:rsidRPr="008B247B" w:rsidRDefault="008B247B" w:rsidP="008B247B">
      <w:pPr>
        <w:pStyle w:val="Sinespaciado"/>
        <w:spacing w:line="276" w:lineRule="auto"/>
        <w:ind w:right="-518" w:firstLine="1701"/>
        <w:jc w:val="both"/>
        <w:rPr>
          <w:rFonts w:ascii="Arial" w:hAnsi="Arial" w:cs="Arial"/>
          <w:bCs/>
        </w:rPr>
      </w:pPr>
      <w:r w:rsidRPr="008B247B">
        <w:rPr>
          <w:rFonts w:ascii="Arial" w:hAnsi="Arial" w:cs="Arial"/>
          <w:bCs/>
        </w:rPr>
        <w:t>El primer informe financiero N°130 de 16 de junio del año en curso, elaborado por la Dirección de Presupuestos del Ministerio de Hacienda y que acompaña al Mensaje a su ingreso, indica lo siguiente en relación al efecto del proyecto en el presupuesto fiscal:</w:t>
      </w:r>
    </w:p>
    <w:p w:rsidR="008B247B" w:rsidRPr="008B247B" w:rsidRDefault="008B247B" w:rsidP="008B247B">
      <w:pPr>
        <w:pStyle w:val="Sinespaciado"/>
        <w:spacing w:line="276" w:lineRule="auto"/>
        <w:ind w:right="-518" w:firstLine="1701"/>
        <w:jc w:val="both"/>
        <w:rPr>
          <w:rFonts w:ascii="Arial" w:hAnsi="Arial" w:cs="Arial"/>
          <w:bCs/>
        </w:rPr>
      </w:pPr>
      <w:r w:rsidRPr="008B247B">
        <w:rPr>
          <w:rFonts w:ascii="Arial" w:hAnsi="Arial" w:cs="Arial"/>
          <w:bCs/>
        </w:rPr>
        <w:t>El proyecto propone reglas especiales en materia de urbanismo y construcción que facilitan los procedimientos para alterar, ampliar, reparar o reconstruir establecimientos penitenciarios ya existentes, las que tendrán una vigencia de 48 meses a partir de la entrada en vigencia de la ley. No obstante, el inicio de las obras que sean aprobadas haciendo uso de estas reglas especiales podrá ser realizado en un máximo de 6 años, contados desde la publicación en el Diario Oficial del respectivo decreto supremo del Ministerio de Vivienda y Urbanismo.</w:t>
      </w:r>
    </w:p>
    <w:p w:rsidR="008B247B" w:rsidRPr="008B247B" w:rsidRDefault="008B247B" w:rsidP="008B247B">
      <w:pPr>
        <w:pStyle w:val="Sinespaciado"/>
        <w:spacing w:line="276" w:lineRule="auto"/>
        <w:ind w:right="-518" w:firstLine="1701"/>
        <w:jc w:val="both"/>
        <w:rPr>
          <w:rFonts w:ascii="Arial" w:hAnsi="Arial" w:cs="Arial"/>
          <w:bCs/>
        </w:rPr>
      </w:pPr>
      <w:r w:rsidRPr="008B247B">
        <w:rPr>
          <w:rFonts w:ascii="Arial" w:hAnsi="Arial" w:cs="Arial"/>
          <w:bCs/>
        </w:rPr>
        <w:t>Adicionalmente, el proyecto de ley otorga una nueva función a Gendarmería de Chile (en adelante, "GENCHI"), que corresponde a asesorar, controlar y coordinar las acciones relativas a la persecución y prevención del surgimiento y operación del crimen organizado en recintos penitenciarios. Esta función será cumplida por la Subdirección Operativa del Servicio.</w:t>
      </w:r>
    </w:p>
    <w:p w:rsidR="008B247B" w:rsidRPr="008B247B" w:rsidRDefault="008B247B" w:rsidP="008B247B">
      <w:pPr>
        <w:pStyle w:val="Sinespaciado"/>
        <w:spacing w:line="276" w:lineRule="auto"/>
        <w:ind w:right="-518" w:firstLine="1701"/>
        <w:jc w:val="both"/>
        <w:rPr>
          <w:rFonts w:ascii="Arial" w:hAnsi="Arial" w:cs="Arial"/>
          <w:bCs/>
        </w:rPr>
      </w:pPr>
    </w:p>
    <w:p w:rsidR="008B247B" w:rsidRPr="008B247B" w:rsidRDefault="008B247B" w:rsidP="008B247B">
      <w:pPr>
        <w:pStyle w:val="Sinespaciado"/>
        <w:spacing w:line="276" w:lineRule="auto"/>
        <w:ind w:right="-518" w:firstLine="1701"/>
        <w:jc w:val="both"/>
        <w:rPr>
          <w:rFonts w:ascii="Arial" w:hAnsi="Arial" w:cs="Arial"/>
          <w:b/>
          <w:bCs/>
        </w:rPr>
      </w:pPr>
      <w:r w:rsidRPr="008B247B">
        <w:rPr>
          <w:rFonts w:ascii="Arial" w:hAnsi="Arial" w:cs="Arial"/>
          <w:b/>
          <w:bCs/>
        </w:rPr>
        <w:t>EFECTO DEL PROYECTO DE LEY SOBRE EL PRESUPUESTO FISCAL</w:t>
      </w:r>
    </w:p>
    <w:p w:rsidR="008B247B" w:rsidRPr="008B247B" w:rsidRDefault="008B247B" w:rsidP="008B247B">
      <w:pPr>
        <w:pStyle w:val="Sinespaciado"/>
        <w:spacing w:line="276" w:lineRule="auto"/>
        <w:ind w:right="-518" w:firstLine="1701"/>
        <w:jc w:val="both"/>
        <w:rPr>
          <w:rFonts w:ascii="Arial" w:hAnsi="Arial" w:cs="Arial"/>
          <w:bCs/>
        </w:rPr>
      </w:pPr>
      <w:r w:rsidRPr="008B247B">
        <w:rPr>
          <w:rFonts w:ascii="Arial" w:hAnsi="Arial" w:cs="Arial"/>
          <w:bCs/>
        </w:rPr>
        <w:t>Para el desarrollo de esta nueva función de GENCHI, se consideran $845.000 miles para el primer año de aplicación y $555.000 miles para el segundo, destinados a la compra de equipamiento y programas tecnológicos avanzados, que cumplen con los estándares necesarios para combatir el crimen organizado en recintos penitenciarios, cuyas operaciones utilizan tecnología de alta gama. Por lo tanto, este proyecto de ley irrogará un mayor gasto fiscal total de $1.400.000 miles de pesos de 2023.</w:t>
      </w:r>
    </w:p>
    <w:p w:rsidR="008B247B" w:rsidRPr="008B247B" w:rsidRDefault="008B247B" w:rsidP="008B247B">
      <w:pPr>
        <w:pStyle w:val="Sinespaciado"/>
        <w:spacing w:line="276" w:lineRule="auto"/>
        <w:ind w:right="-518" w:firstLine="1701"/>
        <w:jc w:val="both"/>
        <w:rPr>
          <w:rFonts w:ascii="Arial" w:hAnsi="Arial" w:cs="Arial"/>
          <w:bCs/>
        </w:rPr>
      </w:pPr>
      <w:r w:rsidRPr="008B247B">
        <w:rPr>
          <w:rFonts w:ascii="Arial" w:hAnsi="Arial" w:cs="Arial"/>
          <w:bCs/>
        </w:rPr>
        <w:t>El mayor gasto fiscal de esta ley en su primer año presupuestario de vigencia se financiará con cargo al presupuesto vigente de Gendarmería de Chile. No obstante lo anterior, el Ministerio de Hacienda, con cargo a la partida presupuestaria Tesoro Público, podrá suplementar dicho presupuesto en la parte de gasto que no se pudiere financiar con tales recursos. Para los años posteriores, el gasto se financiará con cargo a los recursos que se contemplen en las respectivas leyes de presupuestos del Sector Público.</w:t>
      </w:r>
    </w:p>
    <w:p w:rsidR="008B247B" w:rsidRPr="008B247B" w:rsidRDefault="008B247B" w:rsidP="008B247B">
      <w:pPr>
        <w:pStyle w:val="Sinespaciado"/>
        <w:spacing w:line="276" w:lineRule="auto"/>
        <w:ind w:right="-518" w:firstLine="1701"/>
        <w:jc w:val="both"/>
        <w:rPr>
          <w:rFonts w:ascii="Arial" w:hAnsi="Arial" w:cs="Arial"/>
          <w:bCs/>
        </w:rPr>
      </w:pPr>
    </w:p>
    <w:p w:rsidR="008B247B" w:rsidRPr="008B247B" w:rsidRDefault="008B247B" w:rsidP="008B247B">
      <w:pPr>
        <w:pStyle w:val="Sinespaciado"/>
        <w:spacing w:line="276" w:lineRule="auto"/>
        <w:ind w:right="-518" w:firstLine="1701"/>
        <w:jc w:val="both"/>
        <w:rPr>
          <w:rFonts w:ascii="Arial" w:hAnsi="Arial" w:cs="Arial"/>
          <w:bCs/>
        </w:rPr>
      </w:pPr>
      <w:r w:rsidRPr="008E5831">
        <w:rPr>
          <w:rFonts w:ascii="Arial" w:hAnsi="Arial" w:cs="Arial"/>
          <w:bCs/>
          <w:u w:val="single"/>
        </w:rPr>
        <w:t>Segundo informe financiero</w:t>
      </w:r>
      <w:r w:rsidRPr="008B247B">
        <w:rPr>
          <w:rFonts w:ascii="Arial" w:hAnsi="Arial" w:cs="Arial"/>
          <w:bCs/>
        </w:rPr>
        <w:t xml:space="preserve">: Con motivo de la presentación de indicaciones, el Ejecutivo presentó el informe N°152 de 21 de julio, durante su tramitación en la comisión técnica, el cual precisa que no irrogan gasto fiscal. </w:t>
      </w:r>
    </w:p>
    <w:p w:rsidR="008B247B" w:rsidRPr="008B247B" w:rsidRDefault="008B247B" w:rsidP="008B247B">
      <w:pPr>
        <w:pStyle w:val="Sinespaciado"/>
        <w:spacing w:line="276" w:lineRule="auto"/>
        <w:ind w:right="-518" w:firstLine="1701"/>
        <w:jc w:val="both"/>
        <w:rPr>
          <w:rFonts w:ascii="Arial" w:hAnsi="Arial" w:cs="Arial"/>
          <w:bCs/>
        </w:rPr>
      </w:pPr>
    </w:p>
    <w:p w:rsidR="00840AF5" w:rsidRPr="00687258" w:rsidRDefault="00A43628" w:rsidP="00687258">
      <w:pPr>
        <w:pStyle w:val="Ttulo1"/>
        <w:tabs>
          <w:tab w:val="left" w:pos="709"/>
        </w:tabs>
        <w:spacing w:before="480" w:line="276" w:lineRule="auto"/>
        <w:ind w:right="-518"/>
        <w:jc w:val="both"/>
        <w:rPr>
          <w:bCs w:val="0"/>
          <w:sz w:val="22"/>
          <w:szCs w:val="22"/>
        </w:rPr>
      </w:pPr>
      <w:r>
        <w:rPr>
          <w:bCs w:val="0"/>
          <w:sz w:val="22"/>
          <w:szCs w:val="22"/>
        </w:rPr>
        <w:t>I</w:t>
      </w:r>
      <w:r w:rsidR="009E2236" w:rsidRPr="00687258">
        <w:rPr>
          <w:bCs w:val="0"/>
          <w:sz w:val="22"/>
          <w:szCs w:val="22"/>
        </w:rPr>
        <w:t>V</w:t>
      </w:r>
      <w:bookmarkStart w:id="18" w:name="_Toc408309939"/>
      <w:bookmarkStart w:id="19" w:name="_Toc409556941"/>
      <w:bookmarkStart w:id="20" w:name="_Toc499712194"/>
      <w:bookmarkEnd w:id="15"/>
      <w:bookmarkEnd w:id="16"/>
      <w:bookmarkEnd w:id="17"/>
      <w:r w:rsidR="00840AF5" w:rsidRPr="00687258">
        <w:rPr>
          <w:sz w:val="22"/>
          <w:szCs w:val="22"/>
        </w:rPr>
        <w:t xml:space="preserve">.- </w:t>
      </w:r>
      <w:r w:rsidR="00840AF5" w:rsidRPr="00687258">
        <w:rPr>
          <w:spacing w:val="-3"/>
          <w:sz w:val="22"/>
          <w:szCs w:val="22"/>
        </w:rPr>
        <w:t>SÍNTESIS DE LA DISCUSIÓN EN LA COMISIÓN Y ACUERDOS ADOPTADOS</w:t>
      </w:r>
      <w:r w:rsidR="00840AF5" w:rsidRPr="00687258">
        <w:rPr>
          <w:bCs w:val="0"/>
          <w:sz w:val="22"/>
          <w:szCs w:val="22"/>
        </w:rPr>
        <w:t xml:space="preserve"> </w:t>
      </w:r>
    </w:p>
    <w:p w:rsidR="00840AF5" w:rsidRPr="00687258" w:rsidRDefault="00840AF5" w:rsidP="00944E51">
      <w:pPr>
        <w:spacing w:line="276" w:lineRule="auto"/>
        <w:ind w:right="-234" w:firstLine="1701"/>
        <w:jc w:val="both"/>
        <w:rPr>
          <w:rFonts w:ascii="Arial" w:eastAsia="Calibri" w:hAnsi="Arial" w:cs="Arial"/>
          <w:sz w:val="22"/>
          <w:szCs w:val="22"/>
          <w:lang w:val="es-CL" w:eastAsia="en-US"/>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92294D">
        <w:rPr>
          <w:rFonts w:ascii="Arial" w:hAnsi="Arial" w:cs="Arial"/>
          <w:b/>
          <w:sz w:val="22"/>
          <w:szCs w:val="22"/>
        </w:rPr>
        <w:t xml:space="preserve">La Comisión recibió al Ministro de Justicia y Derechos Humanos, señor Luis Cordero Vega. </w:t>
      </w:r>
      <w:r w:rsidRPr="008E5831">
        <w:rPr>
          <w:rFonts w:ascii="Arial" w:hAnsi="Arial" w:cs="Arial"/>
          <w:sz w:val="22"/>
          <w:szCs w:val="22"/>
        </w:rPr>
        <w:t>Comenzó destacando los ejes de la política penitenciaria:</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●Respeto a los derechos humanos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●Mejoramiento de condiciones de habitabilidad</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●Combate contra el crimen organizado</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●Posibilidades de estudio y trabajo</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●Reinserción social</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En específico sobre el plan de infraestructura, señaló que el diagnóstico del gobierno ha permitido constatar lo siguiente:</w:t>
      </w:r>
    </w:p>
    <w:p w:rsidR="008E5831" w:rsidRPr="008E5831" w:rsidRDefault="008E5831" w:rsidP="008E5831">
      <w:pPr>
        <w:tabs>
          <w:tab w:val="left" w:pos="0"/>
        </w:tabs>
        <w:spacing w:line="276" w:lineRule="auto"/>
        <w:ind w:right="-518"/>
        <w:jc w:val="both"/>
        <w:rPr>
          <w:rFonts w:ascii="Arial" w:hAnsi="Arial" w:cs="Arial"/>
          <w:sz w:val="22"/>
          <w:szCs w:val="22"/>
        </w:rPr>
      </w:pPr>
      <w:r w:rsidRPr="008E5831">
        <w:rPr>
          <w:rFonts w:ascii="Arial" w:hAnsi="Arial" w:cs="Arial"/>
          <w:sz w:val="22"/>
          <w:szCs w:val="22"/>
          <w:lang w:val="es-CL"/>
        </w:rPr>
        <w:drawing>
          <wp:inline distT="0" distB="0" distL="0" distR="0" wp14:anchorId="01248699" wp14:editId="714C5E57">
            <wp:extent cx="5612130" cy="2197100"/>
            <wp:effectExtent l="0" t="0" r="762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197100"/>
                    </a:xfrm>
                    <a:prstGeom prst="rect">
                      <a:avLst/>
                    </a:prstGeom>
                    <a:noFill/>
                    <a:ln>
                      <a:noFill/>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Respecto al contexto en el que se presenta este proyecto, destacó:</w:t>
      </w:r>
    </w:p>
    <w:p w:rsidR="008E5831" w:rsidRPr="008E5831" w:rsidRDefault="008E5831" w:rsidP="008E5831">
      <w:pPr>
        <w:numPr>
          <w:ilvl w:val="0"/>
          <w:numId w:val="9"/>
        </w:numPr>
        <w:tabs>
          <w:tab w:val="left" w:pos="0"/>
        </w:tabs>
        <w:spacing w:line="276" w:lineRule="auto"/>
        <w:ind w:right="-518"/>
        <w:jc w:val="both"/>
        <w:rPr>
          <w:rFonts w:ascii="Arial" w:hAnsi="Arial" w:cs="Arial"/>
          <w:sz w:val="22"/>
          <w:szCs w:val="22"/>
        </w:rPr>
      </w:pPr>
      <w:r w:rsidRPr="008E5831">
        <w:rPr>
          <w:rFonts w:ascii="Arial" w:hAnsi="Arial" w:cs="Arial"/>
          <w:sz w:val="22"/>
          <w:szCs w:val="22"/>
        </w:rPr>
        <w:t>Aumento sostenido de la población penal</w:t>
      </w:r>
    </w:p>
    <w:p w:rsidR="008E5831" w:rsidRPr="008E5831" w:rsidRDefault="008E5831" w:rsidP="008E5831">
      <w:pPr>
        <w:numPr>
          <w:ilvl w:val="0"/>
          <w:numId w:val="9"/>
        </w:numPr>
        <w:tabs>
          <w:tab w:val="left" w:pos="0"/>
        </w:tabs>
        <w:spacing w:line="276" w:lineRule="auto"/>
        <w:ind w:right="-518"/>
        <w:jc w:val="both"/>
        <w:rPr>
          <w:rFonts w:ascii="Arial" w:hAnsi="Arial" w:cs="Arial"/>
          <w:sz w:val="22"/>
          <w:szCs w:val="22"/>
        </w:rPr>
      </w:pPr>
      <w:r w:rsidRPr="008E5831">
        <w:rPr>
          <w:rFonts w:ascii="Arial" w:hAnsi="Arial" w:cs="Arial"/>
          <w:sz w:val="22"/>
          <w:szCs w:val="22"/>
        </w:rPr>
        <w:t>Aumento de la sensación de inseguridad, producto del aumento de la criminalidad y de delitos de mayor impacto social</w:t>
      </w:r>
    </w:p>
    <w:p w:rsidR="008E5831" w:rsidRPr="008E5831" w:rsidRDefault="008E5831" w:rsidP="008E5831">
      <w:pPr>
        <w:numPr>
          <w:ilvl w:val="0"/>
          <w:numId w:val="9"/>
        </w:numPr>
        <w:tabs>
          <w:tab w:val="left" w:pos="0"/>
        </w:tabs>
        <w:spacing w:line="276" w:lineRule="auto"/>
        <w:ind w:right="-518"/>
        <w:jc w:val="both"/>
        <w:rPr>
          <w:rFonts w:ascii="Arial" w:hAnsi="Arial" w:cs="Arial"/>
          <w:sz w:val="22"/>
          <w:szCs w:val="22"/>
        </w:rPr>
      </w:pPr>
      <w:r w:rsidRPr="008E5831">
        <w:rPr>
          <w:rFonts w:ascii="Arial" w:hAnsi="Arial" w:cs="Arial"/>
          <w:sz w:val="22"/>
          <w:szCs w:val="22"/>
        </w:rPr>
        <w:t>Iniciativas legales, que factiblemente impliquen aumento de las personas privadas de libertad</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Entregó cifras relativas a una proyección de la población penal privada de libertad en 2023-2024:</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jc w:val="both"/>
        <w:rPr>
          <w:rFonts w:ascii="Arial" w:hAnsi="Arial" w:cs="Arial"/>
          <w:sz w:val="22"/>
          <w:szCs w:val="22"/>
        </w:rPr>
      </w:pPr>
      <w:r w:rsidRPr="008E5831">
        <w:rPr>
          <w:rFonts w:ascii="Arial" w:hAnsi="Arial" w:cs="Arial"/>
          <w:sz w:val="22"/>
          <w:szCs w:val="22"/>
          <w:lang w:val="es-CL"/>
        </w:rPr>
        <w:drawing>
          <wp:inline distT="0" distB="0" distL="0" distR="0" wp14:anchorId="19CC29BE" wp14:editId="486A1FE3">
            <wp:extent cx="5612130" cy="2902952"/>
            <wp:effectExtent l="19050" t="0" r="762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12130" cy="2902952"/>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Población penal privada de libertad (1) al 31/03/ 2020 (antes inicio de efectos de la pandemia, Ley N°21.228 indulto conmutativo); (2)al 31/12/2021; (3) al 31/12/2022; (4)al 03/07/2023.</w:t>
      </w:r>
    </w:p>
    <w:p w:rsidR="008E5831" w:rsidRPr="008E5831" w:rsidRDefault="008E5831" w:rsidP="008E5831">
      <w:pPr>
        <w:tabs>
          <w:tab w:val="left" w:pos="0"/>
        </w:tabs>
        <w:spacing w:line="276" w:lineRule="auto"/>
        <w:ind w:right="-518"/>
        <w:jc w:val="center"/>
        <w:rPr>
          <w:rFonts w:ascii="Arial" w:hAnsi="Arial" w:cs="Arial"/>
          <w:sz w:val="22"/>
          <w:szCs w:val="22"/>
        </w:rPr>
      </w:pPr>
      <w:r w:rsidRPr="008E5831">
        <w:rPr>
          <w:rFonts w:ascii="Arial" w:hAnsi="Arial" w:cs="Arial"/>
          <w:sz w:val="22"/>
          <w:szCs w:val="22"/>
          <w:lang w:val="es-CL"/>
        </w:rPr>
        <w:drawing>
          <wp:inline distT="0" distB="0" distL="0" distR="0" wp14:anchorId="2A561458" wp14:editId="43573562">
            <wp:extent cx="3686175" cy="6010275"/>
            <wp:effectExtent l="19050" t="0" r="9525"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686175" cy="6010275"/>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Asimismo, planteó una proyección de la población penal privada de libertad en 2023-2033:</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jc w:val="both"/>
        <w:rPr>
          <w:rFonts w:ascii="Arial" w:hAnsi="Arial" w:cs="Arial"/>
          <w:sz w:val="22"/>
          <w:szCs w:val="22"/>
        </w:rPr>
      </w:pPr>
      <w:r w:rsidRPr="008E5831">
        <w:rPr>
          <w:rFonts w:ascii="Arial" w:hAnsi="Arial" w:cs="Arial"/>
          <w:sz w:val="22"/>
          <w:szCs w:val="22"/>
          <w:lang w:val="es-CL"/>
        </w:rPr>
        <w:drawing>
          <wp:inline distT="0" distB="0" distL="0" distR="0" wp14:anchorId="03A7BA09" wp14:editId="54989F0B">
            <wp:extent cx="5612130" cy="2998011"/>
            <wp:effectExtent l="19050" t="0" r="762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612130" cy="2998011"/>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vigente al 31 de diciembre de cada año (DEEP) Departamento de Estadísticas y Estudios Penitenciarios, Subdirección de Reinserción Social</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jc w:val="center"/>
        <w:rPr>
          <w:rFonts w:ascii="Arial" w:hAnsi="Arial" w:cs="Arial"/>
          <w:sz w:val="22"/>
          <w:szCs w:val="22"/>
        </w:rPr>
      </w:pPr>
      <w:r w:rsidRPr="008E5831">
        <w:rPr>
          <w:rFonts w:ascii="Arial" w:hAnsi="Arial" w:cs="Arial"/>
          <w:sz w:val="22"/>
          <w:szCs w:val="22"/>
          <w:lang w:val="es-CL"/>
        </w:rPr>
        <w:drawing>
          <wp:inline distT="0" distB="0" distL="0" distR="0" wp14:anchorId="7E1A568A" wp14:editId="5376DB67">
            <wp:extent cx="2162175" cy="4943475"/>
            <wp:effectExtent l="19050" t="0" r="9525"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162175" cy="4943475"/>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Detalló una proyección de la población extranjera privada de libertad:</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jc w:val="both"/>
        <w:rPr>
          <w:rFonts w:ascii="Arial" w:hAnsi="Arial" w:cs="Arial"/>
          <w:sz w:val="22"/>
          <w:szCs w:val="22"/>
        </w:rPr>
      </w:pPr>
      <w:r w:rsidRPr="008E5831">
        <w:rPr>
          <w:rFonts w:ascii="Arial" w:hAnsi="Arial" w:cs="Arial"/>
          <w:sz w:val="22"/>
          <w:szCs w:val="22"/>
          <w:lang w:val="es-CL"/>
        </w:rPr>
        <w:drawing>
          <wp:inline distT="0" distB="0" distL="0" distR="0" wp14:anchorId="11CBCE38" wp14:editId="52B2FEFA">
            <wp:extent cx="5612130" cy="3256694"/>
            <wp:effectExtent l="19050" t="0" r="762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612130" cy="3256694"/>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lang w:val="es-CL"/>
        </w:rPr>
        <w:drawing>
          <wp:inline distT="0" distB="0" distL="0" distR="0" wp14:anchorId="37ECA559" wp14:editId="0C9009B9">
            <wp:extent cx="3419475" cy="5943600"/>
            <wp:effectExtent l="19050" t="0" r="9525"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419475" cy="5943600"/>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A9407E">
        <w:rPr>
          <w:rFonts w:ascii="Arial" w:hAnsi="Arial" w:cs="Arial"/>
          <w:b/>
          <w:sz w:val="22"/>
          <w:szCs w:val="22"/>
        </w:rPr>
        <w:t>Destacó los ejes en torno a los cuales gira este proyecto</w:t>
      </w:r>
      <w:r w:rsidRPr="008E5831">
        <w:rPr>
          <w:rFonts w:ascii="Arial" w:hAnsi="Arial" w:cs="Arial"/>
          <w:sz w:val="22"/>
          <w:szCs w:val="22"/>
        </w:rPr>
        <w:t>:</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-Infraestructura Crítica</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Mantener aquellos sistemas que garantizan el adecuado funcionamiento de los recintos existentes.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-Condiciones Carcelarias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Establecer estándares sobre condiciones mínimas que deben tener los recintos femeninos, las áreas destinadas a reinserción y salud.</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-Aumento de Plazas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Determinar los lugares donde es necesario y factible agregar nuevas plazas al sistema, sea vía construcción o rehabilitación.</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A continuación entregó las cifras del plan de infraestructura actual:</w:t>
      </w:r>
    </w:p>
    <w:p w:rsidR="008E5831" w:rsidRPr="008E5831" w:rsidRDefault="008E5831" w:rsidP="008E5831">
      <w:pPr>
        <w:tabs>
          <w:tab w:val="left" w:pos="0"/>
        </w:tabs>
        <w:spacing w:line="276" w:lineRule="auto"/>
        <w:ind w:right="-518"/>
        <w:jc w:val="both"/>
        <w:rPr>
          <w:rFonts w:ascii="Arial" w:hAnsi="Arial" w:cs="Arial"/>
          <w:sz w:val="22"/>
          <w:szCs w:val="22"/>
        </w:rPr>
      </w:pPr>
      <w:r w:rsidRPr="008E5831">
        <w:rPr>
          <w:rFonts w:ascii="Arial" w:hAnsi="Arial" w:cs="Arial"/>
          <w:sz w:val="22"/>
          <w:szCs w:val="22"/>
          <w:lang w:val="es-CL"/>
        </w:rPr>
        <w:drawing>
          <wp:inline distT="0" distB="0" distL="0" distR="0" wp14:anchorId="0CD1AF23" wp14:editId="63389CA4">
            <wp:extent cx="5612130" cy="2641368"/>
            <wp:effectExtent l="19050" t="0" r="762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612130" cy="2641368"/>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jc w:val="both"/>
        <w:rPr>
          <w:rFonts w:ascii="Arial" w:hAnsi="Arial" w:cs="Arial"/>
          <w:sz w:val="22"/>
          <w:szCs w:val="22"/>
        </w:rPr>
      </w:pPr>
      <w:r w:rsidRPr="008E5831">
        <w:rPr>
          <w:rFonts w:ascii="Arial" w:hAnsi="Arial" w:cs="Arial"/>
          <w:sz w:val="22"/>
          <w:szCs w:val="22"/>
          <w:lang w:val="es-CL"/>
        </w:rPr>
        <w:drawing>
          <wp:inline distT="0" distB="0" distL="0" distR="0" wp14:anchorId="0DDE31FF" wp14:editId="2030C520">
            <wp:extent cx="5612130" cy="3145900"/>
            <wp:effectExtent l="19050" t="0" r="7620"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612130" cy="3145900"/>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Ya de lleno en el proyecto de ley, se refirió a sus antecedentes: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-Política Nacional contra el Crimen Organizado: Esfuerzo coordinado por el Ministerio del Interior y Seguridad Pública, que reúne de manera proactiva a 17 instituciones públicas, para enfrentar los desafíos y amenazas de las bandas criminales a través de una nueva estrategia.</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-Eje Abordaje del crimen organizado en recintos penitenciarios: Prevenir y neutralizar la operación del crimen organizado en recintos penitenciarios, el reclutamiento de nuevos integrantes, así como el contagio criminógeno entre personas privadas de libertad”, estableciendo una serie de medidas para ello.</w:t>
      </w:r>
    </w:p>
    <w:p w:rsidR="008E5831" w:rsidRPr="00A9407E" w:rsidRDefault="008E5831" w:rsidP="008E5831">
      <w:pPr>
        <w:tabs>
          <w:tab w:val="left" w:pos="0"/>
        </w:tabs>
        <w:spacing w:line="276" w:lineRule="auto"/>
        <w:ind w:right="-518" w:firstLine="1701"/>
        <w:jc w:val="both"/>
        <w:rPr>
          <w:rFonts w:ascii="Arial" w:hAnsi="Arial" w:cs="Arial"/>
          <w:b/>
          <w:sz w:val="22"/>
          <w:szCs w:val="22"/>
        </w:rPr>
      </w:pPr>
      <w:r w:rsidRPr="00A9407E">
        <w:rPr>
          <w:rFonts w:ascii="Arial" w:hAnsi="Arial" w:cs="Arial"/>
          <w:b/>
          <w:sz w:val="22"/>
          <w:szCs w:val="22"/>
        </w:rPr>
        <w:t>Agenda legislativa priorizada en materia de Seguridad</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-Abril de 2023: Ministerios de Interior y Seguridad Pública, Justicia-DDHH y Secretaría General de la Presidencia, con los Presidentes del Senado y de la Cámara de Diputados y Diputadas, anunciaron un acuerdo en torno a 31 proyectos en materia de seguridad que debiesen ser priorizados en el trabajo legislativo y despachados antes de fin de año.</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-Incluye Proyecto Simplificación de procedimientos para construir cárceles y fortalecimiento de la Unidad de Investigación Criminal de Gendarmería.</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Respecto a la sobrepoblación penal e incremento sostenido de población recluida, la situación de los 79 establecimientos de régimen cerrado es que presentan 41762 plazas. Así, la cantidad de plazas disponibles se ha mantenido inalterada. La mayoría de las cárceles del país presentan sobrepoblación. Uso de la capacidad de plazas alcanza 119,6%, con una población total de 49.935 internos, lo que significa una sobrepoblación de 8.173 internos respecto de la capacidad total de plazas. a proyección de crecimiento de población recluida registra sostenida curva ascendente (entre abril y junio hubo incremento de 2.466 personas recluidas, lo que originó que la tasa de ocupación de plazas aumentará de 113.7% a 119,6%).</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Uso de capacidad penales según diseño PPL 24 horas, período 2005 – 2023:</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jc w:val="both"/>
        <w:rPr>
          <w:rFonts w:ascii="Arial" w:hAnsi="Arial" w:cs="Arial"/>
          <w:sz w:val="22"/>
          <w:szCs w:val="22"/>
        </w:rPr>
      </w:pPr>
      <w:r w:rsidRPr="008E5831">
        <w:rPr>
          <w:rFonts w:ascii="Arial" w:hAnsi="Arial" w:cs="Arial"/>
          <w:sz w:val="22"/>
          <w:szCs w:val="22"/>
          <w:lang w:val="es-CL"/>
        </w:rPr>
        <w:drawing>
          <wp:inline distT="0" distB="0" distL="0" distR="0" wp14:anchorId="0A072D07" wp14:editId="50571532">
            <wp:extent cx="5612130" cy="2054784"/>
            <wp:effectExtent l="19050" t="0" r="762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612130" cy="2054784"/>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En cuanto a la situación de las cárceles, señaló sus dificultades actuales: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Incremento exponencial de la población penal y déficit de infraestructura carcelaria</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Detenciones de líderes e integrantes de organizaciones criminales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Importación de nuevas y violentas conductas ilícitas y criminales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Por su parte, las consecuencias eventuales son:</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Conflictos socioculturales y contagio criminógeno debido a dificultades para segmentar</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Sometimiento de internos primerizos o de bajo compromiso delictual</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Agresiones a personal y afectación de la seguridad interna</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En este contexto, Gendarmería está realizando lo siguiente:</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Aumento de controles y frecuencia de registros, allanamientos y traslados de internos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Modernización y fortalecimiento del análisis y la investigación criminal</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Adquisición y distribución de equipamiento de seguridad al personal</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jc w:val="both"/>
        <w:rPr>
          <w:rFonts w:ascii="Arial" w:hAnsi="Arial" w:cs="Arial"/>
          <w:sz w:val="22"/>
          <w:szCs w:val="22"/>
        </w:rPr>
      </w:pPr>
      <w:r w:rsidRPr="008E5831">
        <w:rPr>
          <w:rFonts w:ascii="Arial" w:hAnsi="Arial" w:cs="Arial"/>
          <w:sz w:val="22"/>
          <w:szCs w:val="22"/>
          <w:lang w:val="es-CL"/>
        </w:rPr>
        <w:drawing>
          <wp:inline distT="0" distB="0" distL="0" distR="0" wp14:anchorId="37D50D16" wp14:editId="0363CA61">
            <wp:extent cx="5400675" cy="3038475"/>
            <wp:effectExtent l="19050" t="0" r="9525" b="0"/>
            <wp:docPr id="2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spect="1" noChangeArrowheads="1"/>
                    </pic:cNvPicPr>
                  </pic:nvPicPr>
                  <pic:blipFill>
                    <a:blip r:embed="rId21" cstate="print"/>
                    <a:srcRect b="-63"/>
                    <a:stretch>
                      <a:fillRect/>
                    </a:stretch>
                  </pic:blipFill>
                  <pic:spPr bwMode="auto">
                    <a:xfrm>
                      <a:off x="0" y="0"/>
                      <a:ext cx="5400675" cy="3038475"/>
                    </a:xfrm>
                    <a:prstGeom prst="rect">
                      <a:avLst/>
                    </a:prstGeom>
                    <a:noFill/>
                    <a:ln w="9525">
                      <a:noFill/>
                      <a:miter lim="800000"/>
                      <a:headEnd/>
                      <a:tailEnd/>
                    </a:ln>
                  </pic:spPr>
                </pic:pic>
              </a:graphicData>
            </a:graphic>
          </wp:inline>
        </w:drawing>
      </w:r>
      <w:r w:rsidRPr="008E5831">
        <w:rPr>
          <w:rFonts w:ascii="Arial" w:hAnsi="Arial" w:cs="Arial"/>
          <w:sz w:val="22"/>
          <w:szCs w:val="22"/>
          <w:lang w:val="es-CL"/>
        </w:rPr>
        <w:drawing>
          <wp:inline distT="0" distB="0" distL="0" distR="0" wp14:anchorId="2657A65C" wp14:editId="0B95D6F7">
            <wp:extent cx="5400675" cy="3162300"/>
            <wp:effectExtent l="19050" t="0" r="9525"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srcRect/>
                    <a:stretch>
                      <a:fillRect/>
                    </a:stretch>
                  </pic:blipFill>
                  <pic:spPr bwMode="auto">
                    <a:xfrm>
                      <a:off x="0" y="0"/>
                      <a:ext cx="5400675" cy="3162300"/>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La situación de hacinamiento de los recintos penitenciarios, constituye un factor de riesgo para el despliegue del crimen organizado, afectando los fines últimos de la pena punitiva en prisión, esto es, proteger a la sociedad frente al delito; y dar una oportunidad a los encarcelados de rehabilitarse adecuadamente.</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Respecto al contenido de la iniciativa, se refirió a lo siguiente:</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Simplificación de procedimientos para la construcción de establecimientos penitenciarios: Régimen transitorio destinado a posibilitar la alteración, ampliación, reparación o reconstrucción de establecimientos penitenciarios existentes, cuando resulte imprescindible para el resguardo de la seguridad nacional o de la seguridad pública interior y, especialmente, para la efectiva protección de la sociedad contra el delito, la reducción de la reincidencia y la protección de los derechos fundamentales de las personas (artículo 1o). La Comisión de Constitución de la Cámara agregó que este régimen transitorio también aplique para efectos de permitir la construcción de recintos penitenciarios nuevos.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El Ministerio de Vivienda y Urbanismo, a solicitud del Ministerio de Justicia y Derechos Humanos, podrá introducir modificaciones a planes reguladores comunales e intercomunales; mediante decreto supremo, previa solicitud de informe al respectivo Municipio, con el objeto de permitir la alteración, ampliación, reparación o reconstrucción de establecimientos penitenciarios existentes, así como la construcción de recintos penitenciarios nuevos.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-Nuevo artículo 2° incorporado en la Comisión de Constitución de la Cámara: Artículo 2o.- Los proyectos de inversión relativos a la alteración, ampliación, reparación o reconstrucción de establecimientos penitenciarios que se lleven a cabo de conformidad con las disposiciones de la presente ley, deberán diseñarse y ejecutarse procurando considerar la adecuada protección a los derechos de todas las personas, teniendo en especial atención la situación de las mujeres privadas de libertad, en particular de las mujeres embarazadas, mujeres en periodo de lactancia y de sus hijos e hijas menores de 2 años.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w:t>
      </w:r>
      <w:r w:rsidRPr="008E5831">
        <w:rPr>
          <w:rFonts w:ascii="Arial" w:hAnsi="Arial" w:cs="Arial"/>
          <w:sz w:val="22"/>
          <w:szCs w:val="22"/>
          <w:lang w:val="es-CL"/>
        </w:rPr>
        <w:t xml:space="preserve"> </w:t>
      </w:r>
      <w:r w:rsidRPr="008E5831">
        <w:rPr>
          <w:rFonts w:ascii="Arial" w:hAnsi="Arial" w:cs="Arial"/>
          <w:sz w:val="22"/>
          <w:szCs w:val="22"/>
        </w:rPr>
        <w:t>Simplificación de procedimientos para la construcción de establecimientos penitenciarios: Este régimen excepcional tendrá una duración transitoria de 48 meses contados desde la publicación de la ley (artículo primero transitorio). Se dispone la obligación de dar inicio a las respectivas obras de alteración, ampliación, reparación o reconstrucción, como también aquellas referidas a la construcción de recintos penitenciarios nuevos, en el término de 6 años, contados desde la publicación en el Diario Oficial del decreto supremo del Ministerio de Vivienda y Urbanismo que autorice la modificación del respectivo plan regulador en donde se encuentre situado el establecimiento penitenciario (artículo segundo transitorio).</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Simplificación de procedimientos para la construcción de establecimientos penitenciarios: Artículo 3° del proyecto introduce cambios en el Artículo 62 del Decreto con Fuerza de Ley N° 458, de 1975, del Ministerio de Vivienda y Urbanismo, Ley General de Urbanismo y Construcciones, que consagra al congelamiento de terrenos. Propósito: Permitir aumentos de superficie edificada de establecimientos penitenciarios, de hasta un 50 %, que resulten imprescindibles para mejorar su funcionamiento y asegurar el cumplimiento de sus fines, previa calificación fundada de su necesidad por parte del Ministerio de Justicia y Derechos Humanos, con informe favorable de Gendarmería de Chile.</w:t>
      </w:r>
    </w:p>
    <w:p w:rsidR="003F1427"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Unidad de Investigación Criminal de Gendarmería de Chile</w:t>
      </w:r>
      <w:r w:rsidR="003F1427">
        <w:rPr>
          <w:rFonts w:ascii="Arial" w:hAnsi="Arial" w:cs="Arial"/>
          <w:sz w:val="22"/>
          <w:szCs w:val="22"/>
        </w:rPr>
        <w:t>.</w:t>
      </w:r>
      <w:r w:rsidRPr="008E5831">
        <w:rPr>
          <w:rFonts w:ascii="Arial" w:hAnsi="Arial" w:cs="Arial"/>
          <w:sz w:val="22"/>
          <w:szCs w:val="22"/>
        </w:rPr>
        <w:t xml:space="preserve"> Se incorpora una función en la ley orgánica de Gendarmería de Chile, a ser cumplida por la Subdirección Operativa de dicho servicio, relativa a asesorar, controlar y coordinar las acciones relativas a la persecución y prevención del surgimiento y operación de organizaciones delictivas o criminales (artículo 4o).</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xml:space="preserve"> El Artículo 3° transitorio del proyecto de ley, referido a la imputación presupuestaria, dispone que el mayor gasto que irrogue la implementación de la referida disposición provendrá del presupuesto de Gendarmería de Chile.</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Sobre el Informe Financiero, para la creación del Departamento, se consideran recursos por M$1.400.000, con el objeto de financiar la adquisición de equipamiento y programas tecnológicos avanzados, a saber:</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jc w:val="both"/>
        <w:rPr>
          <w:rFonts w:ascii="Arial" w:hAnsi="Arial" w:cs="Arial"/>
          <w:sz w:val="22"/>
          <w:szCs w:val="22"/>
        </w:rPr>
      </w:pPr>
      <w:r w:rsidRPr="008E5831">
        <w:rPr>
          <w:rFonts w:ascii="Arial" w:hAnsi="Arial" w:cs="Arial"/>
          <w:sz w:val="22"/>
          <w:szCs w:val="22"/>
          <w:lang w:val="es-CL"/>
        </w:rPr>
        <w:drawing>
          <wp:inline distT="0" distB="0" distL="0" distR="0" wp14:anchorId="0E647669" wp14:editId="3F1F41DB">
            <wp:extent cx="5612130" cy="2083135"/>
            <wp:effectExtent l="19050" t="0" r="7620" b="0"/>
            <wp:docPr id="2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srcRect/>
                    <a:stretch>
                      <a:fillRect/>
                    </a:stretch>
                  </pic:blipFill>
                  <pic:spPr bwMode="auto">
                    <a:xfrm>
                      <a:off x="0" y="0"/>
                      <a:ext cx="5612130" cy="2083135"/>
                    </a:xfrm>
                    <a:prstGeom prst="rect">
                      <a:avLst/>
                    </a:prstGeom>
                    <a:noFill/>
                    <a:ln w="9525">
                      <a:noFill/>
                      <a:miter lim="800000"/>
                      <a:headEnd/>
                      <a:tailEnd/>
                    </a:ln>
                  </pic:spPr>
                </pic:pic>
              </a:graphicData>
            </a:graphic>
          </wp:inline>
        </w:drawing>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Tras la exposición, el diputado Naranjo</w:t>
      </w:r>
      <w:r w:rsidRPr="008E5831">
        <w:rPr>
          <w:rFonts w:ascii="Arial" w:hAnsi="Arial" w:cs="Arial"/>
          <w:sz w:val="22"/>
          <w:szCs w:val="22"/>
        </w:rPr>
        <w:t xml:space="preserve"> preguntó si con el proyecto se logrará alcanzar el número de plazas para solucionar el actual hacinamiento. </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xml:space="preserve">El ministro respondió que sí, pero también el proyecto se plantea hacia el futuro. </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El diputado Naranjo</w:t>
      </w:r>
      <w:r w:rsidRPr="008E5831">
        <w:rPr>
          <w:rFonts w:ascii="Arial" w:hAnsi="Arial" w:cs="Arial"/>
          <w:sz w:val="22"/>
          <w:szCs w:val="22"/>
        </w:rPr>
        <w:t xml:space="preserve"> preguntó si se contemplan medidas para erradicar el uso de celulares al interior de los recintos penitenciarios.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El ministro indicó que se han hecho una serie de intentos durante los últimos 15 años para implementar la tecnología adecuada. Actualmente hay una licitación en curso, con un plazo de presentación de ofertas en septiembre de este año y que debiera adjudicarse en octubre.</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El diputado Mellado</w:t>
      </w:r>
      <w:r w:rsidRPr="008E5831">
        <w:rPr>
          <w:rFonts w:ascii="Arial" w:hAnsi="Arial" w:cs="Arial"/>
          <w:sz w:val="22"/>
          <w:szCs w:val="22"/>
        </w:rPr>
        <w:t xml:space="preserve"> consultó si existe alguna política tendiente a expulsar a los extranjeros que están presos. Por otra parte, recordó que el presupuesto vigente contiene recursos destinados a Gendarmería para el combate del crimen organizado, sin embargo, al 30 de junio, no se ha ejecutado nada. Preguntó si hay una aproximación del valor del metro cuadrado de las ampliaciones y cuánto tiempo tomarán. </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El ministro señaló que existe una disputa legislativa respecto a la expulsión de extranjeros. En la medida en que ella se resuelva, será posible disponer de mecanismos que hagan efectiva la decisión que adopte el Congreso Nacional. Respecto a la ejecución de recursos por parte de Gendarmería, destacó el difícil rol que tiene encomendado y que ha realizado con éxito. El convenio de transferencias entre la subsecretaría del Interior, el Ministerio de Justicia y Gendarmería está destinado a equipamiento y licitaciones que se encuentran en marcha. Se comprometió a entregar el estado de estas licitaciones. Respecto al valor del metro cuadrado, expresó que se estima en 76 UF.</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El diputado Sáez</w:t>
      </w:r>
      <w:r w:rsidRPr="008E5831">
        <w:rPr>
          <w:rFonts w:ascii="Arial" w:hAnsi="Arial" w:cs="Arial"/>
          <w:sz w:val="22"/>
          <w:szCs w:val="22"/>
        </w:rPr>
        <w:t xml:space="preserve"> consultó por la política de Estado más duradera que sea capaz de resolver de manera sustentable el problema del hacinamiento carcelario. </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El diputado Bianchi</w:t>
      </w:r>
      <w:r w:rsidRPr="008E5831">
        <w:rPr>
          <w:rFonts w:ascii="Arial" w:hAnsi="Arial" w:cs="Arial"/>
          <w:sz w:val="22"/>
          <w:szCs w:val="22"/>
        </w:rPr>
        <w:t xml:space="preserve"> valoró la encomiable labor que día a día realiza el personal de Gendarmería. Indicó que igual o más grave que el hacinamiento de los presos son las condiciones laborales del personal de Gendarmería. </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El diputado Romero</w:t>
      </w:r>
      <w:r w:rsidRPr="008E5831">
        <w:rPr>
          <w:rFonts w:ascii="Arial" w:hAnsi="Arial" w:cs="Arial"/>
          <w:sz w:val="22"/>
          <w:szCs w:val="22"/>
        </w:rPr>
        <w:t xml:space="preserve"> expresó que dirigentes de funcionarios le han manifestado que no pueden desarrollar su trabajo en paz por las constantes amenazas a su integridad física y síquica que viven diariamente. Planteó su desacuerdo respecto a la temporalidad de este proyecto de ley, considerando que las atribuciones que se conceden deberían estar disponibles cada vez que las circunstancias lo ameriten. Preguntó cuánto se invierte en centros de reinserción social y qué denuncias o demandas tienen los gendarmes presentadas por el INDH.</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El diputado Naranjo</w:t>
      </w:r>
      <w:r w:rsidRPr="008E5831">
        <w:rPr>
          <w:rFonts w:ascii="Arial" w:hAnsi="Arial" w:cs="Arial"/>
          <w:sz w:val="22"/>
          <w:szCs w:val="22"/>
        </w:rPr>
        <w:t xml:space="preserve"> preguntó si el aumento de reclusos que se proyecta considera todos los delitos del ordenamiento jurídico, incluyendo los delitos económicos.</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La diputada Cid</w:t>
      </w:r>
      <w:r w:rsidRPr="008E5831">
        <w:rPr>
          <w:rFonts w:ascii="Arial" w:hAnsi="Arial" w:cs="Arial"/>
          <w:sz w:val="22"/>
          <w:szCs w:val="22"/>
        </w:rPr>
        <w:t xml:space="preserve"> señaló que muchas veces los reclusos arrastran consigo a sus familias, quienes se instalan en las comunas donde están los centros penitenciarios, muchas veces tomándose terrenos cercanos. Preguntó también cuándo se establecerá el trabajo al interior de los centros. </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La diputada Rojas</w:t>
      </w:r>
      <w:r w:rsidRPr="008E5831">
        <w:rPr>
          <w:rFonts w:ascii="Arial" w:hAnsi="Arial" w:cs="Arial"/>
          <w:sz w:val="22"/>
          <w:szCs w:val="22"/>
        </w:rPr>
        <w:t xml:space="preserve"> pidió mayores antecedentes respecto al déficit en infraestructura, especialmente el número de plazas, y las diferencias que existen entre las cárceles públicas y concesionadas. </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El diputado Bianchi</w:t>
      </w:r>
      <w:r w:rsidRPr="008E5831">
        <w:rPr>
          <w:rFonts w:ascii="Arial" w:hAnsi="Arial" w:cs="Arial"/>
          <w:sz w:val="22"/>
          <w:szCs w:val="22"/>
        </w:rPr>
        <w:t xml:space="preserve"> solicitó votar hoy el proyecto, atendido que fue aprobado por unanimidad en la Comisión de Constitución. </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El ministro reconoció que la situación de Gendarmería es precaria, pero también destacó que muchas mejoras se han hecho en los últimos años, de la mano de requerimientos de las asociaciones de funcionarios. Si bien este es un proyecto de infraestructura, agregó que se tramita un proyecto que extiende la duración de la formación de los gendarmes, lo que permitirá ampliar su número, mejorar su formación y remuneraciones. Llamó a tener presente el impacto que en el sistema penitenciario tienen las leyes que aumentan penas, crean nuevos delitos o limitan las alternativas a la privación de libertad. Sobre los centros de reinserción social, coincidió en la necesidad de ampliar y profundizar su presencia. Respecto a la proyección por delitos económicos, señaló que se ha hecho con las cifras disponibles, y agregó que hay un efecto importante en el acceso a beneficios. Respecto a las cárceles concesionadas, se refirió a que existen importantes limitaciones que los concesionarios deben cumplir y que inciden en la forma en que se lleva a cabo la administración de estos centros. Sobre la posibilidad de realizar trabajos en las cárceles requiere, además de recursos, que se involucre la sociedad civil, en mayor medida que lo que actualmente lo hace.</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3F1427" w:rsidRDefault="008E5831" w:rsidP="008E5831">
      <w:pPr>
        <w:tabs>
          <w:tab w:val="left" w:pos="0"/>
        </w:tabs>
        <w:spacing w:line="276" w:lineRule="auto"/>
        <w:ind w:right="-518" w:firstLine="1701"/>
        <w:jc w:val="both"/>
        <w:rPr>
          <w:rFonts w:ascii="Arial" w:hAnsi="Arial" w:cs="Arial"/>
          <w:b/>
          <w:sz w:val="22"/>
          <w:szCs w:val="22"/>
        </w:rPr>
      </w:pPr>
      <w:r w:rsidRPr="003F1427">
        <w:rPr>
          <w:rFonts w:ascii="Arial" w:hAnsi="Arial" w:cs="Arial"/>
          <w:b/>
          <w:sz w:val="22"/>
          <w:szCs w:val="22"/>
        </w:rPr>
        <w:t>Tras lo anterior, se procedió al estudio de las disposiciones sometidas a la Comisión de Hacienda:</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Artículo 4°.-</w:t>
      </w:r>
      <w:r w:rsidRPr="008E5831">
        <w:rPr>
          <w:rFonts w:ascii="Arial" w:hAnsi="Arial" w:cs="Arial"/>
          <w:sz w:val="22"/>
          <w:szCs w:val="22"/>
        </w:rPr>
        <w:tab/>
        <w:t xml:space="preserve">Introdúcese, en el artículo 8° A del decreto ley N° 2859, de 1979, del Ministerio de Justicia, que fija Ley Orgánica de Gendarmería de Chile, el siguiente literal c), nuevo: </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“c) Asesorar, controlar y coordinar las acciones relativas a la persecución y prevención del surgimiento y operación de asociaciones delictivas o criminales.”.</w:t>
      </w:r>
    </w:p>
    <w:p w:rsidR="003F1427" w:rsidRDefault="003F1427" w:rsidP="008E5831">
      <w:pPr>
        <w:tabs>
          <w:tab w:val="left" w:pos="0"/>
        </w:tabs>
        <w:spacing w:line="276" w:lineRule="auto"/>
        <w:ind w:right="-518" w:firstLine="1701"/>
        <w:jc w:val="both"/>
        <w:rPr>
          <w:rFonts w:ascii="Arial" w:hAnsi="Arial" w:cs="Arial"/>
          <w:sz w:val="22"/>
          <w:szCs w:val="22"/>
        </w:rPr>
      </w:pPr>
    </w:p>
    <w:p w:rsidR="003F1427" w:rsidRDefault="003F1427" w:rsidP="008E5831">
      <w:pPr>
        <w:tabs>
          <w:tab w:val="left" w:pos="0"/>
        </w:tabs>
        <w:spacing w:line="276" w:lineRule="auto"/>
        <w:ind w:right="-518" w:firstLine="1701"/>
        <w:jc w:val="both"/>
        <w:rPr>
          <w:rFonts w:ascii="Arial" w:hAnsi="Arial" w:cs="Arial"/>
          <w:sz w:val="22"/>
          <w:szCs w:val="22"/>
        </w:rPr>
      </w:pPr>
      <w:r>
        <w:rPr>
          <w:rFonts w:ascii="Arial" w:hAnsi="Arial" w:cs="Arial"/>
          <w:sz w:val="22"/>
          <w:szCs w:val="22"/>
        </w:rPr>
        <w:t>Norma transitoria:</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Artículo tercero</w:t>
      </w:r>
      <w:r w:rsidRPr="008E5831">
        <w:rPr>
          <w:rFonts w:ascii="Arial" w:hAnsi="Arial" w:cs="Arial"/>
          <w:sz w:val="22"/>
          <w:szCs w:val="22"/>
        </w:rPr>
        <w:t>.- El mayor gasto fiscal que signifique la aplicación del artículo 4° de esta ley en su primer año presupuestario de vigencia se financiará con cargo al presupuesto vigente de Gendarmería de Chile. No obstante lo anterior, el Ministerio de Hacienda, con cargo a la partida presupuestaria Tesoro Público, podrá suplementar dicho presupuesto en la parte de gasto que no se pudiere financiar con tales recursos. Para los años posteriores, el gasto se financiará con cargo a los recursos que se contemplen en las respectivas leyes de presupuestos del Sector Público.”.</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3F1427">
        <w:rPr>
          <w:rFonts w:ascii="Arial" w:hAnsi="Arial" w:cs="Arial"/>
          <w:b/>
          <w:sz w:val="22"/>
          <w:szCs w:val="22"/>
        </w:rPr>
        <w:t>El diputado Mellado</w:t>
      </w:r>
      <w:r w:rsidRPr="008E5831">
        <w:rPr>
          <w:rFonts w:ascii="Arial" w:hAnsi="Arial" w:cs="Arial"/>
          <w:sz w:val="22"/>
          <w:szCs w:val="22"/>
        </w:rPr>
        <w:t xml:space="preserve"> presentó una indicación que, reconociendo excede el mandato de la Comisión, busca enfatizar que sea posible realizar obras de cárceles concesionadas:</w:t>
      </w:r>
    </w:p>
    <w:p w:rsidR="008E5831" w:rsidRPr="008E5831" w:rsidRDefault="003F1427" w:rsidP="008E5831">
      <w:pPr>
        <w:tabs>
          <w:tab w:val="left" w:pos="0"/>
        </w:tabs>
        <w:spacing w:line="276" w:lineRule="auto"/>
        <w:ind w:right="-518" w:firstLine="1701"/>
        <w:jc w:val="both"/>
        <w:rPr>
          <w:rFonts w:ascii="Arial" w:hAnsi="Arial" w:cs="Arial"/>
          <w:sz w:val="22"/>
          <w:szCs w:val="22"/>
        </w:rPr>
      </w:pPr>
      <w:r>
        <w:rPr>
          <w:rFonts w:ascii="Arial" w:hAnsi="Arial" w:cs="Arial"/>
          <w:sz w:val="22"/>
          <w:szCs w:val="22"/>
        </w:rPr>
        <w:t>“</w:t>
      </w:r>
      <w:r w:rsidR="008E5831" w:rsidRPr="008E5831">
        <w:rPr>
          <w:rFonts w:ascii="Arial" w:hAnsi="Arial" w:cs="Arial"/>
          <w:sz w:val="22"/>
          <w:szCs w:val="22"/>
        </w:rPr>
        <w:t>Al artículo 1°</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Para agregar antes del punto aparte del primer inciso la frase “, los que podrán ser mediante concesiones tal como establece el artículo 87 del Decreto con Fuerza de Ley N° 850 que fija el texto refundido, coordinado y sistematizado de la Ley Nº 15.840, de 1964 y del DFL. Nº 206, de 1960, del Ministerio de Obras Públicas”.</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El ministro coincidió y expresó que ello, bajo el actual ordenamiento jurídico, es plenamente pertinente, aún sin la incorporación de la indicación.</w:t>
      </w: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En definitiva, el autor retiró su indicación.</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8E5831" w:rsidRPr="008E5831" w:rsidRDefault="008E5831" w:rsidP="008E5831">
      <w:pPr>
        <w:tabs>
          <w:tab w:val="left" w:pos="0"/>
        </w:tabs>
        <w:spacing w:line="276" w:lineRule="auto"/>
        <w:ind w:right="-518" w:firstLine="1701"/>
        <w:jc w:val="both"/>
        <w:rPr>
          <w:rFonts w:ascii="Arial" w:hAnsi="Arial" w:cs="Arial"/>
          <w:sz w:val="22"/>
          <w:szCs w:val="22"/>
        </w:rPr>
      </w:pPr>
      <w:r w:rsidRPr="008E5831">
        <w:rPr>
          <w:rFonts w:ascii="Arial" w:hAnsi="Arial" w:cs="Arial"/>
          <w:sz w:val="22"/>
          <w:szCs w:val="22"/>
        </w:rPr>
        <w:t xml:space="preserve">Puestas en votación las disposiciones sometidas a la competencia de la Comisión de Hacienda, resultaron aprobadas por la unanimidad de los diputados presentes señores Barrera, Bianchi, Cid, Mellado, Naranjo, Ramírez, Rojas, Romero, Sáez, Sepúlveda, Von Mühlenbrock y Yeomans. </w:t>
      </w:r>
    </w:p>
    <w:p w:rsidR="008E5831" w:rsidRPr="008E5831" w:rsidRDefault="008E5831" w:rsidP="008E5831">
      <w:pPr>
        <w:tabs>
          <w:tab w:val="left" w:pos="0"/>
        </w:tabs>
        <w:spacing w:line="276" w:lineRule="auto"/>
        <w:ind w:right="-518" w:firstLine="1701"/>
        <w:jc w:val="both"/>
        <w:rPr>
          <w:rFonts w:ascii="Arial" w:hAnsi="Arial" w:cs="Arial"/>
          <w:sz w:val="22"/>
          <w:szCs w:val="22"/>
        </w:rPr>
      </w:pPr>
    </w:p>
    <w:p w:rsidR="007D6A0A" w:rsidRPr="00687258" w:rsidRDefault="007D6A0A" w:rsidP="00687258">
      <w:pPr>
        <w:tabs>
          <w:tab w:val="left" w:pos="2835"/>
        </w:tabs>
        <w:spacing w:before="240" w:after="240" w:line="276" w:lineRule="auto"/>
        <w:ind w:right="-234"/>
        <w:jc w:val="center"/>
        <w:rPr>
          <w:rFonts w:ascii="Arial" w:hAnsi="Arial" w:cs="Arial"/>
          <w:spacing w:val="-3"/>
          <w:sz w:val="22"/>
          <w:szCs w:val="22"/>
        </w:rPr>
      </w:pPr>
      <w:r w:rsidRPr="00687258">
        <w:rPr>
          <w:rFonts w:ascii="Arial" w:hAnsi="Arial" w:cs="Arial"/>
          <w:sz w:val="22"/>
          <w:szCs w:val="22"/>
          <w:lang w:val="es-MX"/>
        </w:rPr>
        <w:t>********</w:t>
      </w:r>
    </w:p>
    <w:bookmarkEnd w:id="18"/>
    <w:bookmarkEnd w:id="19"/>
    <w:bookmarkEnd w:id="20"/>
    <w:p w:rsidR="00A422F4" w:rsidRPr="00687258" w:rsidRDefault="00A422F4" w:rsidP="00687258">
      <w:pPr>
        <w:tabs>
          <w:tab w:val="left" w:pos="2268"/>
        </w:tabs>
        <w:spacing w:line="276" w:lineRule="auto"/>
        <w:ind w:right="-234" w:firstLine="1701"/>
        <w:jc w:val="both"/>
        <w:rPr>
          <w:rFonts w:ascii="Arial" w:hAnsi="Arial" w:cs="Arial"/>
          <w:spacing w:val="-3"/>
          <w:sz w:val="22"/>
          <w:szCs w:val="22"/>
          <w:lang w:val="es-CL" w:eastAsia="en-US" w:bidi="en-US"/>
        </w:rPr>
      </w:pPr>
      <w:r w:rsidRPr="00687258">
        <w:rPr>
          <w:rFonts w:ascii="Arial" w:hAnsi="Arial" w:cs="Arial"/>
          <w:spacing w:val="-3"/>
          <w:sz w:val="22"/>
          <w:szCs w:val="22"/>
          <w:lang w:val="es-CL" w:eastAsia="en-US" w:bidi="en-US"/>
        </w:rPr>
        <w:t xml:space="preserve">Por las razones señaladas y consideraciones que expondrá el Diputado Informante, la Comisión de Hacienda recomienda aprobar los artículos sometidos a su conocimiento, en la forma explicada. </w:t>
      </w:r>
    </w:p>
    <w:p w:rsidR="00CD4DF2" w:rsidRPr="00687258" w:rsidRDefault="00CD4DF2" w:rsidP="00687258">
      <w:pPr>
        <w:spacing w:after="160" w:line="276" w:lineRule="auto"/>
        <w:ind w:right="-234" w:firstLine="1701"/>
        <w:jc w:val="both"/>
        <w:rPr>
          <w:rFonts w:ascii="Arial" w:hAnsi="Arial" w:cs="Arial"/>
          <w:snapToGrid w:val="0"/>
          <w:sz w:val="22"/>
          <w:szCs w:val="22"/>
        </w:rPr>
      </w:pPr>
    </w:p>
    <w:p w:rsidR="006958EE" w:rsidRPr="006958EE" w:rsidRDefault="006958EE" w:rsidP="006958EE">
      <w:pPr>
        <w:spacing w:line="276" w:lineRule="auto"/>
        <w:ind w:firstLine="1701"/>
        <w:jc w:val="both"/>
        <w:rPr>
          <w:rFonts w:ascii="Arial" w:hAnsi="Arial" w:cs="Arial"/>
          <w:sz w:val="22"/>
          <w:szCs w:val="22"/>
          <w:lang w:val="es-ES_tradnl"/>
        </w:rPr>
      </w:pPr>
      <w:r w:rsidRPr="006958EE">
        <w:rPr>
          <w:rFonts w:ascii="Arial" w:hAnsi="Arial" w:cs="Arial"/>
          <w:sz w:val="22"/>
          <w:szCs w:val="22"/>
          <w:lang w:val="es-ES_tradnl"/>
        </w:rPr>
        <w:t xml:space="preserve">Tratado y acordado en la sesión ordinaria del martes 1 de agosto del año en curso, con la asistencia presencial o remota, de los diputados señores Boris Barrera Moreno, Carlos Bianchi Chelech, Miguel Mellado Suazo, Jaime Naranjo Ortiz, Guillermo Ramírez Diez, Agustín Romero Leiva, Jaime Sáez Quiroz, Alexis Sepúlveda Soto, Gastón Von Mühlenbrock Zamora y </w:t>
      </w:r>
      <w:r w:rsidR="00681FD1">
        <w:rPr>
          <w:rFonts w:ascii="Arial" w:hAnsi="Arial" w:cs="Arial"/>
          <w:sz w:val="22"/>
          <w:szCs w:val="22"/>
          <w:lang w:val="es-ES_tradnl"/>
        </w:rPr>
        <w:t xml:space="preserve">diputadas </w:t>
      </w:r>
      <w:r w:rsidRPr="006958EE">
        <w:rPr>
          <w:rFonts w:ascii="Arial" w:hAnsi="Arial" w:cs="Arial"/>
          <w:sz w:val="22"/>
          <w:szCs w:val="22"/>
          <w:lang w:val="es-ES_tradnl"/>
        </w:rPr>
        <w:t>señoras</w:t>
      </w:r>
      <w:r w:rsidR="00681FD1">
        <w:rPr>
          <w:rFonts w:ascii="Arial" w:hAnsi="Arial" w:cs="Arial"/>
          <w:sz w:val="22"/>
          <w:szCs w:val="22"/>
          <w:lang w:val="es-ES_tradnl"/>
        </w:rPr>
        <w:t xml:space="preserve"> (itas)</w:t>
      </w:r>
      <w:r w:rsidRPr="006958EE">
        <w:rPr>
          <w:rFonts w:ascii="Arial" w:hAnsi="Arial" w:cs="Arial"/>
          <w:sz w:val="22"/>
          <w:szCs w:val="22"/>
          <w:lang w:val="es-ES_tradnl"/>
        </w:rPr>
        <w:t xml:space="preserve"> Sofía Cid Versalovic, Camila Rojas Valderrama y Gael Yeomans Araya (Presidenta). </w:t>
      </w:r>
    </w:p>
    <w:p w:rsidR="006958EE" w:rsidRPr="006958EE" w:rsidRDefault="006958EE" w:rsidP="006958EE">
      <w:pPr>
        <w:spacing w:line="276" w:lineRule="auto"/>
        <w:ind w:firstLine="1701"/>
        <w:jc w:val="both"/>
        <w:rPr>
          <w:rFonts w:ascii="Arial" w:hAnsi="Arial" w:cs="Arial"/>
          <w:sz w:val="22"/>
          <w:szCs w:val="22"/>
          <w:lang w:val="es-ES_tradnl"/>
        </w:rPr>
      </w:pPr>
    </w:p>
    <w:p w:rsidR="00CD4DF2" w:rsidRPr="00861179" w:rsidRDefault="00CD4DF2" w:rsidP="00CD4DF2">
      <w:pPr>
        <w:spacing w:after="160" w:line="276" w:lineRule="auto"/>
        <w:ind w:right="-234" w:firstLine="1701"/>
        <w:jc w:val="both"/>
        <w:rPr>
          <w:rFonts w:ascii="Arial" w:eastAsiaTheme="minorHAnsi" w:hAnsi="Arial" w:cs="Arial"/>
          <w:sz w:val="22"/>
          <w:szCs w:val="22"/>
          <w:lang w:val="es-CL" w:eastAsia="en-US"/>
        </w:rPr>
      </w:pPr>
    </w:p>
    <w:p w:rsidR="00294656" w:rsidRPr="00861179" w:rsidRDefault="00655FE8" w:rsidP="00861179">
      <w:pPr>
        <w:tabs>
          <w:tab w:val="left" w:pos="709"/>
        </w:tabs>
        <w:spacing w:before="120" w:line="276" w:lineRule="auto"/>
        <w:ind w:right="-234"/>
        <w:jc w:val="right"/>
        <w:rPr>
          <w:rFonts w:ascii="Arial" w:hAnsi="Arial" w:cs="Arial"/>
          <w:snapToGrid w:val="0"/>
          <w:sz w:val="22"/>
          <w:szCs w:val="22"/>
        </w:rPr>
      </w:pPr>
      <w:r w:rsidRPr="00861179">
        <w:rPr>
          <w:rFonts w:ascii="Arial" w:hAnsi="Arial" w:cs="Arial"/>
          <w:snapToGrid w:val="0"/>
          <w:sz w:val="22"/>
          <w:szCs w:val="22"/>
        </w:rPr>
        <w:t xml:space="preserve">Sala de la Comisión, a </w:t>
      </w:r>
      <w:r w:rsidR="00681FD1">
        <w:rPr>
          <w:rFonts w:ascii="Arial" w:hAnsi="Arial" w:cs="Arial"/>
          <w:snapToGrid w:val="0"/>
          <w:sz w:val="22"/>
          <w:szCs w:val="22"/>
        </w:rPr>
        <w:t>1 de agosto</w:t>
      </w:r>
      <w:r w:rsidR="00380F78">
        <w:rPr>
          <w:rFonts w:ascii="Arial" w:hAnsi="Arial" w:cs="Arial"/>
          <w:snapToGrid w:val="0"/>
          <w:sz w:val="22"/>
          <w:szCs w:val="22"/>
        </w:rPr>
        <w:t xml:space="preserve"> </w:t>
      </w:r>
      <w:r w:rsidR="00483DCE" w:rsidRPr="00861179">
        <w:rPr>
          <w:rFonts w:ascii="Arial" w:hAnsi="Arial" w:cs="Arial"/>
          <w:snapToGrid w:val="0"/>
          <w:sz w:val="22"/>
          <w:szCs w:val="22"/>
        </w:rPr>
        <w:t>de</w:t>
      </w:r>
      <w:r w:rsidR="00523189" w:rsidRPr="00861179">
        <w:rPr>
          <w:rFonts w:ascii="Arial" w:hAnsi="Arial" w:cs="Arial"/>
          <w:snapToGrid w:val="0"/>
          <w:sz w:val="22"/>
          <w:szCs w:val="22"/>
        </w:rPr>
        <w:t xml:space="preserve"> 202</w:t>
      </w:r>
      <w:r w:rsidR="001D3430">
        <w:rPr>
          <w:rFonts w:ascii="Arial" w:hAnsi="Arial" w:cs="Arial"/>
          <w:snapToGrid w:val="0"/>
          <w:sz w:val="22"/>
          <w:szCs w:val="22"/>
        </w:rPr>
        <w:t>3</w:t>
      </w:r>
      <w:r w:rsidR="00483DCE" w:rsidRPr="00861179">
        <w:rPr>
          <w:rFonts w:ascii="Arial" w:hAnsi="Arial" w:cs="Arial"/>
          <w:snapToGrid w:val="0"/>
          <w:sz w:val="22"/>
          <w:szCs w:val="22"/>
        </w:rPr>
        <w:t>.</w:t>
      </w:r>
    </w:p>
    <w:p w:rsidR="00655FE8" w:rsidRDefault="00655FE8" w:rsidP="00861179">
      <w:pPr>
        <w:tabs>
          <w:tab w:val="left" w:pos="709"/>
        </w:tabs>
        <w:spacing w:line="276" w:lineRule="auto"/>
        <w:ind w:right="-234" w:firstLine="1701"/>
        <w:jc w:val="center"/>
        <w:rPr>
          <w:rFonts w:ascii="Arial" w:hAnsi="Arial" w:cs="Arial"/>
          <w:b/>
          <w:snapToGrid w:val="0"/>
          <w:sz w:val="22"/>
          <w:szCs w:val="22"/>
        </w:rPr>
      </w:pPr>
    </w:p>
    <w:p w:rsidR="00A422F4" w:rsidRDefault="00A422F4" w:rsidP="00861179">
      <w:pPr>
        <w:tabs>
          <w:tab w:val="left" w:pos="709"/>
        </w:tabs>
        <w:spacing w:line="276" w:lineRule="auto"/>
        <w:ind w:right="-234" w:firstLine="1701"/>
        <w:jc w:val="center"/>
        <w:rPr>
          <w:rFonts w:ascii="Arial" w:hAnsi="Arial" w:cs="Arial"/>
          <w:b/>
          <w:snapToGrid w:val="0"/>
          <w:sz w:val="22"/>
          <w:szCs w:val="22"/>
        </w:rPr>
      </w:pPr>
    </w:p>
    <w:p w:rsidR="00A422F4" w:rsidRDefault="00A422F4" w:rsidP="00861179">
      <w:pPr>
        <w:tabs>
          <w:tab w:val="left" w:pos="709"/>
        </w:tabs>
        <w:spacing w:line="276" w:lineRule="auto"/>
        <w:ind w:right="-234" w:firstLine="1701"/>
        <w:jc w:val="center"/>
        <w:rPr>
          <w:rFonts w:ascii="Arial" w:hAnsi="Arial" w:cs="Arial"/>
          <w:b/>
          <w:snapToGrid w:val="0"/>
          <w:sz w:val="22"/>
          <w:szCs w:val="22"/>
        </w:rPr>
      </w:pPr>
    </w:p>
    <w:p w:rsidR="00A422F4" w:rsidRDefault="00A422F4" w:rsidP="00861179">
      <w:pPr>
        <w:tabs>
          <w:tab w:val="left" w:pos="709"/>
        </w:tabs>
        <w:spacing w:line="276" w:lineRule="auto"/>
        <w:ind w:right="-234" w:firstLine="1701"/>
        <w:jc w:val="center"/>
        <w:rPr>
          <w:rFonts w:ascii="Arial" w:hAnsi="Arial" w:cs="Arial"/>
          <w:b/>
          <w:snapToGrid w:val="0"/>
          <w:sz w:val="22"/>
          <w:szCs w:val="22"/>
        </w:rPr>
      </w:pPr>
    </w:p>
    <w:p w:rsidR="00A422F4" w:rsidRPr="00861179" w:rsidRDefault="00A422F4" w:rsidP="00861179">
      <w:pPr>
        <w:tabs>
          <w:tab w:val="left" w:pos="709"/>
        </w:tabs>
        <w:spacing w:line="276" w:lineRule="auto"/>
        <w:ind w:right="-234" w:firstLine="1701"/>
        <w:jc w:val="center"/>
        <w:rPr>
          <w:rFonts w:ascii="Arial" w:hAnsi="Arial" w:cs="Arial"/>
          <w:b/>
          <w:snapToGrid w:val="0"/>
          <w:sz w:val="22"/>
          <w:szCs w:val="22"/>
        </w:rPr>
      </w:pPr>
    </w:p>
    <w:p w:rsidR="00185BD9" w:rsidRPr="00861179" w:rsidRDefault="0021585A" w:rsidP="00861179">
      <w:pPr>
        <w:tabs>
          <w:tab w:val="left" w:pos="709"/>
        </w:tabs>
        <w:spacing w:line="276" w:lineRule="auto"/>
        <w:ind w:right="-234"/>
        <w:jc w:val="center"/>
        <w:rPr>
          <w:rFonts w:ascii="Arial" w:hAnsi="Arial" w:cs="Arial"/>
          <w:b/>
          <w:snapToGrid w:val="0"/>
          <w:sz w:val="22"/>
          <w:szCs w:val="22"/>
        </w:rPr>
      </w:pPr>
      <w:r w:rsidRPr="00861179">
        <w:rPr>
          <w:rFonts w:ascii="Arial" w:hAnsi="Arial" w:cs="Arial"/>
          <w:b/>
          <w:snapToGrid w:val="0"/>
          <w:sz w:val="22"/>
          <w:szCs w:val="22"/>
        </w:rPr>
        <w:t>MARÍA EUGENIA SILVA FERRER</w:t>
      </w:r>
    </w:p>
    <w:p w:rsidR="00F746CE" w:rsidRPr="00861179" w:rsidRDefault="00F746CE" w:rsidP="00861179">
      <w:pPr>
        <w:tabs>
          <w:tab w:val="left" w:pos="709"/>
        </w:tabs>
        <w:spacing w:line="276" w:lineRule="auto"/>
        <w:ind w:right="-234"/>
        <w:jc w:val="center"/>
        <w:rPr>
          <w:rFonts w:ascii="Arial" w:hAnsi="Arial" w:cs="Arial"/>
          <w:b/>
          <w:snapToGrid w:val="0"/>
          <w:sz w:val="22"/>
          <w:szCs w:val="22"/>
        </w:rPr>
      </w:pPr>
      <w:r w:rsidRPr="00861179">
        <w:rPr>
          <w:rFonts w:ascii="Arial" w:hAnsi="Arial" w:cs="Arial"/>
          <w:b/>
          <w:snapToGrid w:val="0"/>
          <w:sz w:val="22"/>
          <w:szCs w:val="22"/>
        </w:rPr>
        <w:t>Abogad</w:t>
      </w:r>
      <w:r w:rsidR="0021585A" w:rsidRPr="00861179">
        <w:rPr>
          <w:rFonts w:ascii="Arial" w:hAnsi="Arial" w:cs="Arial"/>
          <w:b/>
          <w:snapToGrid w:val="0"/>
          <w:sz w:val="22"/>
          <w:szCs w:val="22"/>
        </w:rPr>
        <w:t>o</w:t>
      </w:r>
      <w:r w:rsidRPr="00861179">
        <w:rPr>
          <w:rFonts w:ascii="Arial" w:hAnsi="Arial" w:cs="Arial"/>
          <w:b/>
          <w:snapToGrid w:val="0"/>
          <w:sz w:val="22"/>
          <w:szCs w:val="22"/>
        </w:rPr>
        <w:t xml:space="preserve"> Secretaria de Comisiones</w:t>
      </w:r>
    </w:p>
    <w:sectPr w:rsidR="00F746CE" w:rsidRPr="00861179" w:rsidSect="000C75B4">
      <w:headerReference w:type="even" r:id="rId24"/>
      <w:headerReference w:type="default" r:id="rId25"/>
      <w:pgSz w:w="12240" w:h="20160" w:code="5"/>
      <w:pgMar w:top="2552" w:right="1701" w:bottom="2835" w:left="2268" w:header="1134"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116" w:rsidRDefault="000A3116" w:rsidP="00F746CE">
      <w:pPr>
        <w:pStyle w:val="Textoindependiente"/>
      </w:pPr>
      <w:r>
        <w:separator/>
      </w:r>
    </w:p>
  </w:endnote>
  <w:endnote w:type="continuationSeparator" w:id="0">
    <w:p w:rsidR="000A3116" w:rsidRDefault="000A3116" w:rsidP="00F746CE">
      <w:pPr>
        <w:pStyle w:val="Textoindependient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116" w:rsidRDefault="000A3116" w:rsidP="00F746CE">
      <w:pPr>
        <w:pStyle w:val="Textoindependiente"/>
      </w:pPr>
      <w:r>
        <w:separator/>
      </w:r>
    </w:p>
  </w:footnote>
  <w:footnote w:type="continuationSeparator" w:id="0">
    <w:p w:rsidR="000A3116" w:rsidRDefault="000A3116" w:rsidP="00F746CE">
      <w:pPr>
        <w:pStyle w:val="Textoindependient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AF5" w:rsidRDefault="00A322ED">
    <w:pPr>
      <w:pStyle w:val="Encabezado"/>
      <w:framePr w:wrap="around" w:vAnchor="text" w:hAnchor="margin" w:xAlign="right" w:y="1"/>
      <w:rPr>
        <w:rStyle w:val="Nmerodepgina"/>
      </w:rPr>
    </w:pPr>
    <w:r>
      <w:rPr>
        <w:rStyle w:val="Nmerodepgina"/>
      </w:rPr>
      <w:fldChar w:fldCharType="begin"/>
    </w:r>
    <w:r w:rsidR="00840AF5">
      <w:rPr>
        <w:rStyle w:val="Nmerodepgina"/>
      </w:rPr>
      <w:instrText xml:space="preserve">PAGE  </w:instrText>
    </w:r>
    <w:r>
      <w:rPr>
        <w:rStyle w:val="Nmerodepgina"/>
      </w:rPr>
      <w:fldChar w:fldCharType="end"/>
    </w:r>
  </w:p>
  <w:p w:rsidR="00840AF5" w:rsidRDefault="00840AF5">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AF5" w:rsidRDefault="00A322ED">
    <w:pPr>
      <w:pStyle w:val="Encabezado"/>
      <w:framePr w:wrap="around" w:vAnchor="text" w:hAnchor="margin" w:xAlign="right" w:y="1"/>
      <w:rPr>
        <w:rStyle w:val="Nmerodepgina"/>
      </w:rPr>
    </w:pPr>
    <w:r>
      <w:rPr>
        <w:rStyle w:val="Nmerodepgina"/>
      </w:rPr>
      <w:fldChar w:fldCharType="begin"/>
    </w:r>
    <w:r w:rsidR="00840AF5">
      <w:rPr>
        <w:rStyle w:val="Nmerodepgina"/>
      </w:rPr>
      <w:instrText xml:space="preserve">PAGE  </w:instrText>
    </w:r>
    <w:r>
      <w:rPr>
        <w:rStyle w:val="Nmerodepgina"/>
      </w:rPr>
      <w:fldChar w:fldCharType="separate"/>
    </w:r>
    <w:r w:rsidR="009B181A">
      <w:rPr>
        <w:rStyle w:val="Nmerodepgina"/>
        <w:noProof/>
      </w:rPr>
      <w:t>14</w:t>
    </w:r>
    <w:r>
      <w:rPr>
        <w:rStyle w:val="Nmerodepgina"/>
      </w:rPr>
      <w:fldChar w:fldCharType="end"/>
    </w:r>
  </w:p>
  <w:p w:rsidR="00840AF5" w:rsidRDefault="00840AF5">
    <w:pPr>
      <w:pStyle w:val="Encabezad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F3D64"/>
    <w:multiLevelType w:val="hybridMultilevel"/>
    <w:tmpl w:val="EDA8EA60"/>
    <w:lvl w:ilvl="0" w:tplc="E384F35E">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1" w15:restartNumberingAfterBreak="0">
    <w:nsid w:val="089F7C37"/>
    <w:multiLevelType w:val="hybridMultilevel"/>
    <w:tmpl w:val="F0FA344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F16374"/>
    <w:multiLevelType w:val="hybridMultilevel"/>
    <w:tmpl w:val="1954EFA4"/>
    <w:lvl w:ilvl="0" w:tplc="03E2644C">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3" w15:restartNumberingAfterBreak="0">
    <w:nsid w:val="1258697C"/>
    <w:multiLevelType w:val="hybridMultilevel"/>
    <w:tmpl w:val="F57A0F1C"/>
    <w:lvl w:ilvl="0" w:tplc="E8C21AF6">
      <w:start w:val="1"/>
      <w:numFmt w:val="lowerLetter"/>
      <w:lvlText w:val="%1)"/>
      <w:lvlJc w:val="left"/>
      <w:pPr>
        <w:ind w:left="3195" w:hanging="360"/>
      </w:pPr>
      <w:rPr>
        <w:rFonts w:hint="default"/>
        <w:b/>
        <w:bCs w:val="0"/>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4" w15:restartNumberingAfterBreak="0">
    <w:nsid w:val="4A3D4814"/>
    <w:multiLevelType w:val="hybridMultilevel"/>
    <w:tmpl w:val="E09A2346"/>
    <w:lvl w:ilvl="0" w:tplc="42648752">
      <w:start w:val="3"/>
      <w:numFmt w:val="bullet"/>
      <w:lvlText w:val="-"/>
      <w:lvlJc w:val="left"/>
      <w:pPr>
        <w:ind w:left="2061" w:hanging="360"/>
      </w:pPr>
      <w:rPr>
        <w:rFonts w:ascii="Calibri" w:eastAsiaTheme="minorHAnsi" w:hAnsi="Calibri" w:cs="Calibri"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5" w15:restartNumberingAfterBreak="0">
    <w:nsid w:val="4DE509B4"/>
    <w:multiLevelType w:val="hybridMultilevel"/>
    <w:tmpl w:val="3D3A284C"/>
    <w:lvl w:ilvl="0" w:tplc="6EF4ECD0">
      <w:start w:val="1"/>
      <w:numFmt w:val="decimal"/>
      <w:lvlText w:val="%1."/>
      <w:lvlJc w:val="left"/>
      <w:pPr>
        <w:ind w:left="2061" w:hanging="360"/>
      </w:pPr>
      <w:rPr>
        <w:rFonts w:ascii="Arial MT" w:hAnsi="Arial MT"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6" w15:restartNumberingAfterBreak="0">
    <w:nsid w:val="51742457"/>
    <w:multiLevelType w:val="hybridMultilevel"/>
    <w:tmpl w:val="DF068D60"/>
    <w:lvl w:ilvl="0" w:tplc="9A72B0D8">
      <w:numFmt w:val="bullet"/>
      <w:lvlText w:val="-"/>
      <w:lvlJc w:val="left"/>
      <w:pPr>
        <w:ind w:left="2061" w:hanging="360"/>
      </w:pPr>
      <w:rPr>
        <w:rFonts w:ascii="Arial" w:eastAsiaTheme="minorHAnsi" w:hAnsi="Arial" w:cs="Arial"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7" w15:restartNumberingAfterBreak="0">
    <w:nsid w:val="68455D91"/>
    <w:multiLevelType w:val="hybridMultilevel"/>
    <w:tmpl w:val="A308DD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CE23163"/>
    <w:multiLevelType w:val="hybridMultilevel"/>
    <w:tmpl w:val="BE3235B2"/>
    <w:lvl w:ilvl="0" w:tplc="280CD924">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num w:numId="1">
    <w:abstractNumId w:val="1"/>
  </w:num>
  <w:num w:numId="2">
    <w:abstractNumId w:val="3"/>
  </w:num>
  <w:num w:numId="3">
    <w:abstractNumId w:val="7"/>
  </w:num>
  <w:num w:numId="4">
    <w:abstractNumId w:val="4"/>
  </w:num>
  <w:num w:numId="5">
    <w:abstractNumId w:val="5"/>
  </w:num>
  <w:num w:numId="6">
    <w:abstractNumId w:val="8"/>
  </w:num>
  <w:num w:numId="7">
    <w:abstractNumId w:val="2"/>
  </w:num>
  <w:num w:numId="8">
    <w:abstractNumId w:val="0"/>
  </w:num>
  <w:num w:numId="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5"/>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CD"/>
    <w:rsid w:val="00000667"/>
    <w:rsid w:val="00000917"/>
    <w:rsid w:val="00002A12"/>
    <w:rsid w:val="00003F08"/>
    <w:rsid w:val="00004ACA"/>
    <w:rsid w:val="00005150"/>
    <w:rsid w:val="000057C7"/>
    <w:rsid w:val="0001136E"/>
    <w:rsid w:val="00013711"/>
    <w:rsid w:val="00014E0B"/>
    <w:rsid w:val="000153B5"/>
    <w:rsid w:val="00020981"/>
    <w:rsid w:val="00021311"/>
    <w:rsid w:val="00021CB1"/>
    <w:rsid w:val="00022B6E"/>
    <w:rsid w:val="00023322"/>
    <w:rsid w:val="0002367D"/>
    <w:rsid w:val="0002381C"/>
    <w:rsid w:val="00023C3F"/>
    <w:rsid w:val="0003051A"/>
    <w:rsid w:val="00032EA7"/>
    <w:rsid w:val="000334A6"/>
    <w:rsid w:val="00034AFD"/>
    <w:rsid w:val="0003642C"/>
    <w:rsid w:val="00037879"/>
    <w:rsid w:val="00037E91"/>
    <w:rsid w:val="000425F4"/>
    <w:rsid w:val="00042AC3"/>
    <w:rsid w:val="00043B08"/>
    <w:rsid w:val="0004491C"/>
    <w:rsid w:val="000506F9"/>
    <w:rsid w:val="00051C6D"/>
    <w:rsid w:val="00052706"/>
    <w:rsid w:val="000527BF"/>
    <w:rsid w:val="00054C9D"/>
    <w:rsid w:val="000562FC"/>
    <w:rsid w:val="00056AFD"/>
    <w:rsid w:val="00057973"/>
    <w:rsid w:val="00057BCD"/>
    <w:rsid w:val="00060F6E"/>
    <w:rsid w:val="00062504"/>
    <w:rsid w:val="00065AED"/>
    <w:rsid w:val="00067CA1"/>
    <w:rsid w:val="0007103D"/>
    <w:rsid w:val="000712D1"/>
    <w:rsid w:val="00072B9B"/>
    <w:rsid w:val="00074B63"/>
    <w:rsid w:val="000771A8"/>
    <w:rsid w:val="00080F7E"/>
    <w:rsid w:val="000824FA"/>
    <w:rsid w:val="00085DC0"/>
    <w:rsid w:val="00086A01"/>
    <w:rsid w:val="00087447"/>
    <w:rsid w:val="00087A84"/>
    <w:rsid w:val="0009254C"/>
    <w:rsid w:val="00092663"/>
    <w:rsid w:val="00092F02"/>
    <w:rsid w:val="0009308D"/>
    <w:rsid w:val="00093CDA"/>
    <w:rsid w:val="000944AB"/>
    <w:rsid w:val="0009559B"/>
    <w:rsid w:val="0009764F"/>
    <w:rsid w:val="000A0900"/>
    <w:rsid w:val="000A3116"/>
    <w:rsid w:val="000A5135"/>
    <w:rsid w:val="000A5DC6"/>
    <w:rsid w:val="000A647D"/>
    <w:rsid w:val="000A6BE6"/>
    <w:rsid w:val="000B00ED"/>
    <w:rsid w:val="000B03DA"/>
    <w:rsid w:val="000B07C2"/>
    <w:rsid w:val="000B238E"/>
    <w:rsid w:val="000B2A99"/>
    <w:rsid w:val="000B5DC5"/>
    <w:rsid w:val="000B6677"/>
    <w:rsid w:val="000B7411"/>
    <w:rsid w:val="000B7D3A"/>
    <w:rsid w:val="000C02CC"/>
    <w:rsid w:val="000C49AE"/>
    <w:rsid w:val="000C5321"/>
    <w:rsid w:val="000C5384"/>
    <w:rsid w:val="000C7124"/>
    <w:rsid w:val="000C75B4"/>
    <w:rsid w:val="000C7DA1"/>
    <w:rsid w:val="000D0F07"/>
    <w:rsid w:val="000D2B0F"/>
    <w:rsid w:val="000D2EAE"/>
    <w:rsid w:val="000D328C"/>
    <w:rsid w:val="000D493D"/>
    <w:rsid w:val="000D5486"/>
    <w:rsid w:val="000D5A97"/>
    <w:rsid w:val="000D5AB6"/>
    <w:rsid w:val="000D5E8D"/>
    <w:rsid w:val="000D5EB4"/>
    <w:rsid w:val="000D6EF9"/>
    <w:rsid w:val="000D71CB"/>
    <w:rsid w:val="000D7736"/>
    <w:rsid w:val="000E0CE2"/>
    <w:rsid w:val="000E10B3"/>
    <w:rsid w:val="000E3749"/>
    <w:rsid w:val="000E41BF"/>
    <w:rsid w:val="000E59C4"/>
    <w:rsid w:val="000E7187"/>
    <w:rsid w:val="000E7FFA"/>
    <w:rsid w:val="000F1654"/>
    <w:rsid w:val="000F1A8E"/>
    <w:rsid w:val="000F2652"/>
    <w:rsid w:val="000F310F"/>
    <w:rsid w:val="000F5B43"/>
    <w:rsid w:val="00102801"/>
    <w:rsid w:val="00103562"/>
    <w:rsid w:val="00103603"/>
    <w:rsid w:val="00105D3F"/>
    <w:rsid w:val="00106E74"/>
    <w:rsid w:val="00113501"/>
    <w:rsid w:val="0011525A"/>
    <w:rsid w:val="001152C4"/>
    <w:rsid w:val="00115CE8"/>
    <w:rsid w:val="001162CB"/>
    <w:rsid w:val="00117C57"/>
    <w:rsid w:val="001206CF"/>
    <w:rsid w:val="00123E2D"/>
    <w:rsid w:val="001254D4"/>
    <w:rsid w:val="00126F20"/>
    <w:rsid w:val="00130912"/>
    <w:rsid w:val="00131010"/>
    <w:rsid w:val="00133938"/>
    <w:rsid w:val="00133B3F"/>
    <w:rsid w:val="00135755"/>
    <w:rsid w:val="00135A7C"/>
    <w:rsid w:val="00136DDF"/>
    <w:rsid w:val="001379A5"/>
    <w:rsid w:val="00140378"/>
    <w:rsid w:val="00142275"/>
    <w:rsid w:val="001425DF"/>
    <w:rsid w:val="00142DED"/>
    <w:rsid w:val="00145514"/>
    <w:rsid w:val="0014589F"/>
    <w:rsid w:val="00147EE7"/>
    <w:rsid w:val="00150D25"/>
    <w:rsid w:val="00151054"/>
    <w:rsid w:val="001510C0"/>
    <w:rsid w:val="0015307F"/>
    <w:rsid w:val="00156A56"/>
    <w:rsid w:val="00156A9B"/>
    <w:rsid w:val="001630F8"/>
    <w:rsid w:val="00163229"/>
    <w:rsid w:val="00166E12"/>
    <w:rsid w:val="00170EE5"/>
    <w:rsid w:val="00172075"/>
    <w:rsid w:val="001741FF"/>
    <w:rsid w:val="00174B4E"/>
    <w:rsid w:val="00174C5D"/>
    <w:rsid w:val="001756E7"/>
    <w:rsid w:val="001764BA"/>
    <w:rsid w:val="0017668F"/>
    <w:rsid w:val="001766C6"/>
    <w:rsid w:val="00176D05"/>
    <w:rsid w:val="001800B6"/>
    <w:rsid w:val="001818DD"/>
    <w:rsid w:val="00185BD9"/>
    <w:rsid w:val="0018702E"/>
    <w:rsid w:val="00191A4A"/>
    <w:rsid w:val="00193E90"/>
    <w:rsid w:val="0019447D"/>
    <w:rsid w:val="001955B6"/>
    <w:rsid w:val="0019686D"/>
    <w:rsid w:val="0019720E"/>
    <w:rsid w:val="00197271"/>
    <w:rsid w:val="00197757"/>
    <w:rsid w:val="00197B10"/>
    <w:rsid w:val="001A0810"/>
    <w:rsid w:val="001A1D0A"/>
    <w:rsid w:val="001A2456"/>
    <w:rsid w:val="001A35F9"/>
    <w:rsid w:val="001A62A7"/>
    <w:rsid w:val="001B1271"/>
    <w:rsid w:val="001B3AF4"/>
    <w:rsid w:val="001B40C7"/>
    <w:rsid w:val="001B4C09"/>
    <w:rsid w:val="001C07A9"/>
    <w:rsid w:val="001C2164"/>
    <w:rsid w:val="001C4F95"/>
    <w:rsid w:val="001C5219"/>
    <w:rsid w:val="001C6EB2"/>
    <w:rsid w:val="001D0053"/>
    <w:rsid w:val="001D3430"/>
    <w:rsid w:val="001D36A4"/>
    <w:rsid w:val="001D64F7"/>
    <w:rsid w:val="001D6523"/>
    <w:rsid w:val="001D6A3B"/>
    <w:rsid w:val="001D7DFE"/>
    <w:rsid w:val="001E05A1"/>
    <w:rsid w:val="001E17F6"/>
    <w:rsid w:val="001E27B5"/>
    <w:rsid w:val="001E3A0E"/>
    <w:rsid w:val="001E63F2"/>
    <w:rsid w:val="001F072B"/>
    <w:rsid w:val="001F2947"/>
    <w:rsid w:val="001F420D"/>
    <w:rsid w:val="001F446D"/>
    <w:rsid w:val="001F5028"/>
    <w:rsid w:val="00200FED"/>
    <w:rsid w:val="002020D3"/>
    <w:rsid w:val="002027C8"/>
    <w:rsid w:val="00205C20"/>
    <w:rsid w:val="00205E76"/>
    <w:rsid w:val="00206486"/>
    <w:rsid w:val="00210B74"/>
    <w:rsid w:val="00212FE8"/>
    <w:rsid w:val="002156B1"/>
    <w:rsid w:val="0021585A"/>
    <w:rsid w:val="00215D5D"/>
    <w:rsid w:val="002172E8"/>
    <w:rsid w:val="0021762B"/>
    <w:rsid w:val="00217A99"/>
    <w:rsid w:val="00217E87"/>
    <w:rsid w:val="002222F4"/>
    <w:rsid w:val="00227253"/>
    <w:rsid w:val="0022753B"/>
    <w:rsid w:val="0023092F"/>
    <w:rsid w:val="002319D2"/>
    <w:rsid w:val="00231A63"/>
    <w:rsid w:val="002321BC"/>
    <w:rsid w:val="002325F5"/>
    <w:rsid w:val="00236446"/>
    <w:rsid w:val="00240210"/>
    <w:rsid w:val="0024126E"/>
    <w:rsid w:val="002415B5"/>
    <w:rsid w:val="00242CD2"/>
    <w:rsid w:val="00243460"/>
    <w:rsid w:val="00245955"/>
    <w:rsid w:val="00247999"/>
    <w:rsid w:val="002511A8"/>
    <w:rsid w:val="002520B9"/>
    <w:rsid w:val="0025620D"/>
    <w:rsid w:val="00257EC9"/>
    <w:rsid w:val="00261122"/>
    <w:rsid w:val="00261B29"/>
    <w:rsid w:val="00265791"/>
    <w:rsid w:val="002703BC"/>
    <w:rsid w:val="002722BE"/>
    <w:rsid w:val="00272722"/>
    <w:rsid w:val="00276990"/>
    <w:rsid w:val="00276C1C"/>
    <w:rsid w:val="0027796B"/>
    <w:rsid w:val="002814BB"/>
    <w:rsid w:val="00283421"/>
    <w:rsid w:val="0028359B"/>
    <w:rsid w:val="00283BC3"/>
    <w:rsid w:val="0028599E"/>
    <w:rsid w:val="00285FA7"/>
    <w:rsid w:val="00286F32"/>
    <w:rsid w:val="0029023F"/>
    <w:rsid w:val="002925E8"/>
    <w:rsid w:val="00293899"/>
    <w:rsid w:val="002939E4"/>
    <w:rsid w:val="00294656"/>
    <w:rsid w:val="00296E86"/>
    <w:rsid w:val="0029796F"/>
    <w:rsid w:val="002A03AC"/>
    <w:rsid w:val="002A132B"/>
    <w:rsid w:val="002A3102"/>
    <w:rsid w:val="002A377C"/>
    <w:rsid w:val="002A5F9C"/>
    <w:rsid w:val="002A634E"/>
    <w:rsid w:val="002A7DB6"/>
    <w:rsid w:val="002B1AA4"/>
    <w:rsid w:val="002B2FFB"/>
    <w:rsid w:val="002B4569"/>
    <w:rsid w:val="002B7F9A"/>
    <w:rsid w:val="002C03C8"/>
    <w:rsid w:val="002C059F"/>
    <w:rsid w:val="002C1207"/>
    <w:rsid w:val="002C16F3"/>
    <w:rsid w:val="002C21CC"/>
    <w:rsid w:val="002C38CB"/>
    <w:rsid w:val="002C5025"/>
    <w:rsid w:val="002C507A"/>
    <w:rsid w:val="002C557D"/>
    <w:rsid w:val="002C61A1"/>
    <w:rsid w:val="002C6BAE"/>
    <w:rsid w:val="002D083B"/>
    <w:rsid w:val="002D2706"/>
    <w:rsid w:val="002D2F59"/>
    <w:rsid w:val="002D2FB0"/>
    <w:rsid w:val="002D38EC"/>
    <w:rsid w:val="002D3CF0"/>
    <w:rsid w:val="002D60B9"/>
    <w:rsid w:val="002D73C5"/>
    <w:rsid w:val="002D76DE"/>
    <w:rsid w:val="002E0AA5"/>
    <w:rsid w:val="002E1C21"/>
    <w:rsid w:val="002E252E"/>
    <w:rsid w:val="002E673A"/>
    <w:rsid w:val="002E6F9E"/>
    <w:rsid w:val="002F18F5"/>
    <w:rsid w:val="002F2366"/>
    <w:rsid w:val="002F50CC"/>
    <w:rsid w:val="002F6037"/>
    <w:rsid w:val="0030004C"/>
    <w:rsid w:val="0030688A"/>
    <w:rsid w:val="0031045B"/>
    <w:rsid w:val="00314C84"/>
    <w:rsid w:val="00315124"/>
    <w:rsid w:val="00316A3C"/>
    <w:rsid w:val="0031780F"/>
    <w:rsid w:val="00320914"/>
    <w:rsid w:val="00322646"/>
    <w:rsid w:val="003226FE"/>
    <w:rsid w:val="003248FA"/>
    <w:rsid w:val="00330B0E"/>
    <w:rsid w:val="00334763"/>
    <w:rsid w:val="00334D2C"/>
    <w:rsid w:val="00337C85"/>
    <w:rsid w:val="00340E7A"/>
    <w:rsid w:val="003424CA"/>
    <w:rsid w:val="00344B7E"/>
    <w:rsid w:val="00344EAF"/>
    <w:rsid w:val="003453E3"/>
    <w:rsid w:val="003501A5"/>
    <w:rsid w:val="003506D8"/>
    <w:rsid w:val="003507F5"/>
    <w:rsid w:val="00352A93"/>
    <w:rsid w:val="00353FC5"/>
    <w:rsid w:val="00354467"/>
    <w:rsid w:val="00354BE3"/>
    <w:rsid w:val="00356922"/>
    <w:rsid w:val="003574BE"/>
    <w:rsid w:val="0036027A"/>
    <w:rsid w:val="00361DD5"/>
    <w:rsid w:val="0036274E"/>
    <w:rsid w:val="00363563"/>
    <w:rsid w:val="00363AED"/>
    <w:rsid w:val="00364A4A"/>
    <w:rsid w:val="003652BB"/>
    <w:rsid w:val="003667A2"/>
    <w:rsid w:val="00366AD3"/>
    <w:rsid w:val="00366BE4"/>
    <w:rsid w:val="00366E50"/>
    <w:rsid w:val="0036721B"/>
    <w:rsid w:val="003711D1"/>
    <w:rsid w:val="003729F7"/>
    <w:rsid w:val="00375DBA"/>
    <w:rsid w:val="0037775C"/>
    <w:rsid w:val="00380F78"/>
    <w:rsid w:val="00381784"/>
    <w:rsid w:val="00385CBE"/>
    <w:rsid w:val="0038717B"/>
    <w:rsid w:val="00387BF8"/>
    <w:rsid w:val="00391353"/>
    <w:rsid w:val="003933C1"/>
    <w:rsid w:val="003960D2"/>
    <w:rsid w:val="00396203"/>
    <w:rsid w:val="00397DE1"/>
    <w:rsid w:val="003A03CB"/>
    <w:rsid w:val="003A1FA1"/>
    <w:rsid w:val="003A3009"/>
    <w:rsid w:val="003A3749"/>
    <w:rsid w:val="003A3C3B"/>
    <w:rsid w:val="003A4995"/>
    <w:rsid w:val="003A5E67"/>
    <w:rsid w:val="003A634D"/>
    <w:rsid w:val="003A7D32"/>
    <w:rsid w:val="003B0A14"/>
    <w:rsid w:val="003B407B"/>
    <w:rsid w:val="003B4616"/>
    <w:rsid w:val="003B48E5"/>
    <w:rsid w:val="003B4A12"/>
    <w:rsid w:val="003B5A31"/>
    <w:rsid w:val="003B631D"/>
    <w:rsid w:val="003B7303"/>
    <w:rsid w:val="003B7D73"/>
    <w:rsid w:val="003B7E40"/>
    <w:rsid w:val="003C0181"/>
    <w:rsid w:val="003C1A73"/>
    <w:rsid w:val="003C2132"/>
    <w:rsid w:val="003C2961"/>
    <w:rsid w:val="003C5284"/>
    <w:rsid w:val="003C56FB"/>
    <w:rsid w:val="003C605E"/>
    <w:rsid w:val="003C7200"/>
    <w:rsid w:val="003C7A2B"/>
    <w:rsid w:val="003D07E5"/>
    <w:rsid w:val="003D2B02"/>
    <w:rsid w:val="003D5B17"/>
    <w:rsid w:val="003D6165"/>
    <w:rsid w:val="003D6425"/>
    <w:rsid w:val="003E1005"/>
    <w:rsid w:val="003E16FA"/>
    <w:rsid w:val="003E5B38"/>
    <w:rsid w:val="003E5BD8"/>
    <w:rsid w:val="003E745C"/>
    <w:rsid w:val="003E7F43"/>
    <w:rsid w:val="003F1427"/>
    <w:rsid w:val="003F1442"/>
    <w:rsid w:val="003F24A3"/>
    <w:rsid w:val="003F2661"/>
    <w:rsid w:val="003F4B10"/>
    <w:rsid w:val="00404303"/>
    <w:rsid w:val="00405927"/>
    <w:rsid w:val="004073B3"/>
    <w:rsid w:val="00407A6E"/>
    <w:rsid w:val="00407B38"/>
    <w:rsid w:val="00410683"/>
    <w:rsid w:val="00411AF1"/>
    <w:rsid w:val="00411C23"/>
    <w:rsid w:val="00411CAC"/>
    <w:rsid w:val="00414F0F"/>
    <w:rsid w:val="00417C31"/>
    <w:rsid w:val="00417DCD"/>
    <w:rsid w:val="00417E5D"/>
    <w:rsid w:val="00421A62"/>
    <w:rsid w:val="004223CC"/>
    <w:rsid w:val="00423638"/>
    <w:rsid w:val="004237F2"/>
    <w:rsid w:val="00426DE8"/>
    <w:rsid w:val="004309E0"/>
    <w:rsid w:val="00431397"/>
    <w:rsid w:val="00431EF2"/>
    <w:rsid w:val="00432383"/>
    <w:rsid w:val="00432821"/>
    <w:rsid w:val="00432C6A"/>
    <w:rsid w:val="00444F6D"/>
    <w:rsid w:val="004452F6"/>
    <w:rsid w:val="004458C4"/>
    <w:rsid w:val="00446C3C"/>
    <w:rsid w:val="00451396"/>
    <w:rsid w:val="00451B87"/>
    <w:rsid w:val="00454FDF"/>
    <w:rsid w:val="00460070"/>
    <w:rsid w:val="00460733"/>
    <w:rsid w:val="00460D93"/>
    <w:rsid w:val="00460E3A"/>
    <w:rsid w:val="00461306"/>
    <w:rsid w:val="00461F0A"/>
    <w:rsid w:val="004627A9"/>
    <w:rsid w:val="00462934"/>
    <w:rsid w:val="0046483F"/>
    <w:rsid w:val="00464D9C"/>
    <w:rsid w:val="00465E04"/>
    <w:rsid w:val="00466662"/>
    <w:rsid w:val="00466988"/>
    <w:rsid w:val="00467DB5"/>
    <w:rsid w:val="0047138E"/>
    <w:rsid w:val="00471A0C"/>
    <w:rsid w:val="00472AB9"/>
    <w:rsid w:val="0047394D"/>
    <w:rsid w:val="00473DA8"/>
    <w:rsid w:val="0047570A"/>
    <w:rsid w:val="0047775E"/>
    <w:rsid w:val="00482528"/>
    <w:rsid w:val="00482B19"/>
    <w:rsid w:val="004833DA"/>
    <w:rsid w:val="00483DCE"/>
    <w:rsid w:val="00484795"/>
    <w:rsid w:val="00484B19"/>
    <w:rsid w:val="00486452"/>
    <w:rsid w:val="004868A9"/>
    <w:rsid w:val="00486E2A"/>
    <w:rsid w:val="00493AA1"/>
    <w:rsid w:val="00497551"/>
    <w:rsid w:val="00497598"/>
    <w:rsid w:val="004A087A"/>
    <w:rsid w:val="004A1A16"/>
    <w:rsid w:val="004A276F"/>
    <w:rsid w:val="004A31D5"/>
    <w:rsid w:val="004A39A8"/>
    <w:rsid w:val="004A3E5F"/>
    <w:rsid w:val="004A4107"/>
    <w:rsid w:val="004A4908"/>
    <w:rsid w:val="004A494F"/>
    <w:rsid w:val="004A7E0A"/>
    <w:rsid w:val="004B22D6"/>
    <w:rsid w:val="004B2DF6"/>
    <w:rsid w:val="004B3039"/>
    <w:rsid w:val="004B3193"/>
    <w:rsid w:val="004B5216"/>
    <w:rsid w:val="004B53F6"/>
    <w:rsid w:val="004C038A"/>
    <w:rsid w:val="004C2D2C"/>
    <w:rsid w:val="004C7038"/>
    <w:rsid w:val="004C74AF"/>
    <w:rsid w:val="004C7B1E"/>
    <w:rsid w:val="004D254B"/>
    <w:rsid w:val="004D2EBC"/>
    <w:rsid w:val="004D4A43"/>
    <w:rsid w:val="004D5055"/>
    <w:rsid w:val="004D62AA"/>
    <w:rsid w:val="004D6F50"/>
    <w:rsid w:val="004E032B"/>
    <w:rsid w:val="004E03D9"/>
    <w:rsid w:val="004E0A08"/>
    <w:rsid w:val="004E35D3"/>
    <w:rsid w:val="004E4C5D"/>
    <w:rsid w:val="004E67D0"/>
    <w:rsid w:val="004F28BA"/>
    <w:rsid w:val="004F2F56"/>
    <w:rsid w:val="004F3F60"/>
    <w:rsid w:val="004F440B"/>
    <w:rsid w:val="004F5A13"/>
    <w:rsid w:val="004F63CF"/>
    <w:rsid w:val="00502BE1"/>
    <w:rsid w:val="00505C66"/>
    <w:rsid w:val="00507094"/>
    <w:rsid w:val="00512FF9"/>
    <w:rsid w:val="0051423F"/>
    <w:rsid w:val="00517A05"/>
    <w:rsid w:val="005206BC"/>
    <w:rsid w:val="0052111C"/>
    <w:rsid w:val="005217C0"/>
    <w:rsid w:val="00523189"/>
    <w:rsid w:val="00524880"/>
    <w:rsid w:val="00526478"/>
    <w:rsid w:val="00527454"/>
    <w:rsid w:val="00527D2B"/>
    <w:rsid w:val="00530065"/>
    <w:rsid w:val="00530AC5"/>
    <w:rsid w:val="0053293C"/>
    <w:rsid w:val="00535006"/>
    <w:rsid w:val="005359D9"/>
    <w:rsid w:val="00535DD9"/>
    <w:rsid w:val="005360D8"/>
    <w:rsid w:val="00536214"/>
    <w:rsid w:val="005368B1"/>
    <w:rsid w:val="00536C07"/>
    <w:rsid w:val="005376BC"/>
    <w:rsid w:val="00540756"/>
    <w:rsid w:val="00542873"/>
    <w:rsid w:val="005446CC"/>
    <w:rsid w:val="00545300"/>
    <w:rsid w:val="00546BE3"/>
    <w:rsid w:val="0055097C"/>
    <w:rsid w:val="00553329"/>
    <w:rsid w:val="005538BC"/>
    <w:rsid w:val="00554036"/>
    <w:rsid w:val="005550FD"/>
    <w:rsid w:val="00555519"/>
    <w:rsid w:val="005570A4"/>
    <w:rsid w:val="0055724A"/>
    <w:rsid w:val="00557A83"/>
    <w:rsid w:val="005611BC"/>
    <w:rsid w:val="0056196E"/>
    <w:rsid w:val="00561B9C"/>
    <w:rsid w:val="00563775"/>
    <w:rsid w:val="00565BAF"/>
    <w:rsid w:val="00567E9D"/>
    <w:rsid w:val="0057087C"/>
    <w:rsid w:val="00570AEA"/>
    <w:rsid w:val="0057192B"/>
    <w:rsid w:val="00572909"/>
    <w:rsid w:val="00572B10"/>
    <w:rsid w:val="00573856"/>
    <w:rsid w:val="00580926"/>
    <w:rsid w:val="00581815"/>
    <w:rsid w:val="00581942"/>
    <w:rsid w:val="00581A68"/>
    <w:rsid w:val="005826A5"/>
    <w:rsid w:val="005832F1"/>
    <w:rsid w:val="005850D1"/>
    <w:rsid w:val="0058566E"/>
    <w:rsid w:val="00586A31"/>
    <w:rsid w:val="00586A7B"/>
    <w:rsid w:val="005874FD"/>
    <w:rsid w:val="005906C9"/>
    <w:rsid w:val="005908AD"/>
    <w:rsid w:val="00590B65"/>
    <w:rsid w:val="00591A3C"/>
    <w:rsid w:val="00592C02"/>
    <w:rsid w:val="00595F79"/>
    <w:rsid w:val="005A1AF8"/>
    <w:rsid w:val="005A26B2"/>
    <w:rsid w:val="005A5450"/>
    <w:rsid w:val="005A5781"/>
    <w:rsid w:val="005A57E9"/>
    <w:rsid w:val="005A7749"/>
    <w:rsid w:val="005B12A7"/>
    <w:rsid w:val="005B167B"/>
    <w:rsid w:val="005B32FB"/>
    <w:rsid w:val="005B4839"/>
    <w:rsid w:val="005B4DCA"/>
    <w:rsid w:val="005B5078"/>
    <w:rsid w:val="005B542B"/>
    <w:rsid w:val="005C2381"/>
    <w:rsid w:val="005C2765"/>
    <w:rsid w:val="005C314A"/>
    <w:rsid w:val="005C3AB5"/>
    <w:rsid w:val="005C4B4A"/>
    <w:rsid w:val="005C55AC"/>
    <w:rsid w:val="005C6897"/>
    <w:rsid w:val="005D1153"/>
    <w:rsid w:val="005D2FDB"/>
    <w:rsid w:val="005D78C7"/>
    <w:rsid w:val="005E4997"/>
    <w:rsid w:val="005E538A"/>
    <w:rsid w:val="005E7D6F"/>
    <w:rsid w:val="005F1CD0"/>
    <w:rsid w:val="005F411B"/>
    <w:rsid w:val="005F572F"/>
    <w:rsid w:val="0060077B"/>
    <w:rsid w:val="00601B98"/>
    <w:rsid w:val="00601FDF"/>
    <w:rsid w:val="006021D1"/>
    <w:rsid w:val="00603226"/>
    <w:rsid w:val="00603760"/>
    <w:rsid w:val="006074A5"/>
    <w:rsid w:val="006104F1"/>
    <w:rsid w:val="006107AF"/>
    <w:rsid w:val="00610C78"/>
    <w:rsid w:val="00610FF1"/>
    <w:rsid w:val="00611E50"/>
    <w:rsid w:val="00614B78"/>
    <w:rsid w:val="00617046"/>
    <w:rsid w:val="00617329"/>
    <w:rsid w:val="00621954"/>
    <w:rsid w:val="00622575"/>
    <w:rsid w:val="00622D58"/>
    <w:rsid w:val="006256D3"/>
    <w:rsid w:val="00631A76"/>
    <w:rsid w:val="006326DA"/>
    <w:rsid w:val="00633612"/>
    <w:rsid w:val="00633B05"/>
    <w:rsid w:val="006347C5"/>
    <w:rsid w:val="00634B44"/>
    <w:rsid w:val="00642A6D"/>
    <w:rsid w:val="00645565"/>
    <w:rsid w:val="006457C8"/>
    <w:rsid w:val="00645C37"/>
    <w:rsid w:val="00646EC1"/>
    <w:rsid w:val="00651083"/>
    <w:rsid w:val="00653153"/>
    <w:rsid w:val="00655FE8"/>
    <w:rsid w:val="006613CA"/>
    <w:rsid w:val="00662036"/>
    <w:rsid w:val="0066351B"/>
    <w:rsid w:val="00664E07"/>
    <w:rsid w:val="00665237"/>
    <w:rsid w:val="00665BF6"/>
    <w:rsid w:val="006667D2"/>
    <w:rsid w:val="00667201"/>
    <w:rsid w:val="00670C06"/>
    <w:rsid w:val="00670D5F"/>
    <w:rsid w:val="00673CEA"/>
    <w:rsid w:val="00674689"/>
    <w:rsid w:val="006746C7"/>
    <w:rsid w:val="006769E9"/>
    <w:rsid w:val="00680282"/>
    <w:rsid w:val="0068031E"/>
    <w:rsid w:val="00681D60"/>
    <w:rsid w:val="00681FD1"/>
    <w:rsid w:val="00682814"/>
    <w:rsid w:val="006853A8"/>
    <w:rsid w:val="0068552B"/>
    <w:rsid w:val="00686FBD"/>
    <w:rsid w:val="00687258"/>
    <w:rsid w:val="0068754E"/>
    <w:rsid w:val="00687797"/>
    <w:rsid w:val="006900D5"/>
    <w:rsid w:val="00691436"/>
    <w:rsid w:val="00691850"/>
    <w:rsid w:val="0069284C"/>
    <w:rsid w:val="006958EE"/>
    <w:rsid w:val="00695DF8"/>
    <w:rsid w:val="00696BA9"/>
    <w:rsid w:val="00697070"/>
    <w:rsid w:val="0069727E"/>
    <w:rsid w:val="006A31BB"/>
    <w:rsid w:val="006A368B"/>
    <w:rsid w:val="006A4B6F"/>
    <w:rsid w:val="006A621A"/>
    <w:rsid w:val="006B05B0"/>
    <w:rsid w:val="006B09F3"/>
    <w:rsid w:val="006B1B44"/>
    <w:rsid w:val="006B1BE3"/>
    <w:rsid w:val="006B5201"/>
    <w:rsid w:val="006C0797"/>
    <w:rsid w:val="006C1599"/>
    <w:rsid w:val="006C380F"/>
    <w:rsid w:val="006C4DCD"/>
    <w:rsid w:val="006C5766"/>
    <w:rsid w:val="006C7E30"/>
    <w:rsid w:val="006D0D8D"/>
    <w:rsid w:val="006D1D20"/>
    <w:rsid w:val="006D261B"/>
    <w:rsid w:val="006D26E2"/>
    <w:rsid w:val="006D2C3F"/>
    <w:rsid w:val="006D4989"/>
    <w:rsid w:val="006E12E7"/>
    <w:rsid w:val="006E384F"/>
    <w:rsid w:val="006F10C1"/>
    <w:rsid w:val="006F3266"/>
    <w:rsid w:val="006F3CD2"/>
    <w:rsid w:val="006F761F"/>
    <w:rsid w:val="006F7847"/>
    <w:rsid w:val="007001DA"/>
    <w:rsid w:val="00702D98"/>
    <w:rsid w:val="00703F04"/>
    <w:rsid w:val="007048F0"/>
    <w:rsid w:val="00706835"/>
    <w:rsid w:val="00707137"/>
    <w:rsid w:val="00711B6A"/>
    <w:rsid w:val="00712D21"/>
    <w:rsid w:val="00715C2E"/>
    <w:rsid w:val="00716036"/>
    <w:rsid w:val="00717623"/>
    <w:rsid w:val="007204C9"/>
    <w:rsid w:val="00721826"/>
    <w:rsid w:val="00721E00"/>
    <w:rsid w:val="00722373"/>
    <w:rsid w:val="00722697"/>
    <w:rsid w:val="00726C1B"/>
    <w:rsid w:val="00727E21"/>
    <w:rsid w:val="00727F4A"/>
    <w:rsid w:val="00734D7C"/>
    <w:rsid w:val="0073753A"/>
    <w:rsid w:val="007412E9"/>
    <w:rsid w:val="007431A9"/>
    <w:rsid w:val="007435BF"/>
    <w:rsid w:val="00744D28"/>
    <w:rsid w:val="007455C7"/>
    <w:rsid w:val="007532D2"/>
    <w:rsid w:val="0075353B"/>
    <w:rsid w:val="00753A01"/>
    <w:rsid w:val="00754543"/>
    <w:rsid w:val="00754700"/>
    <w:rsid w:val="0075513F"/>
    <w:rsid w:val="00755FA2"/>
    <w:rsid w:val="0075770F"/>
    <w:rsid w:val="007636C0"/>
    <w:rsid w:val="0076494F"/>
    <w:rsid w:val="0076557E"/>
    <w:rsid w:val="0076607D"/>
    <w:rsid w:val="00774A5E"/>
    <w:rsid w:val="00774B69"/>
    <w:rsid w:val="007754C0"/>
    <w:rsid w:val="00777DA1"/>
    <w:rsid w:val="00780648"/>
    <w:rsid w:val="00780E73"/>
    <w:rsid w:val="00781E83"/>
    <w:rsid w:val="0078231A"/>
    <w:rsid w:val="00783482"/>
    <w:rsid w:val="0078399D"/>
    <w:rsid w:val="00784491"/>
    <w:rsid w:val="00787E08"/>
    <w:rsid w:val="007901EB"/>
    <w:rsid w:val="00791656"/>
    <w:rsid w:val="00792BD4"/>
    <w:rsid w:val="0079366F"/>
    <w:rsid w:val="00793941"/>
    <w:rsid w:val="0079399F"/>
    <w:rsid w:val="00793F4A"/>
    <w:rsid w:val="007A0588"/>
    <w:rsid w:val="007A148D"/>
    <w:rsid w:val="007A21F2"/>
    <w:rsid w:val="007A3D3D"/>
    <w:rsid w:val="007A50BE"/>
    <w:rsid w:val="007A5887"/>
    <w:rsid w:val="007A5CB7"/>
    <w:rsid w:val="007A7287"/>
    <w:rsid w:val="007B21F1"/>
    <w:rsid w:val="007B29EB"/>
    <w:rsid w:val="007B3DB3"/>
    <w:rsid w:val="007B516B"/>
    <w:rsid w:val="007B5CE6"/>
    <w:rsid w:val="007B6200"/>
    <w:rsid w:val="007B7236"/>
    <w:rsid w:val="007C03D4"/>
    <w:rsid w:val="007C201F"/>
    <w:rsid w:val="007C4022"/>
    <w:rsid w:val="007C53AA"/>
    <w:rsid w:val="007C7EF4"/>
    <w:rsid w:val="007D04B3"/>
    <w:rsid w:val="007D0FBB"/>
    <w:rsid w:val="007D38F9"/>
    <w:rsid w:val="007D487C"/>
    <w:rsid w:val="007D4DFA"/>
    <w:rsid w:val="007D5CF6"/>
    <w:rsid w:val="007D65CB"/>
    <w:rsid w:val="007D6A0A"/>
    <w:rsid w:val="007E2599"/>
    <w:rsid w:val="007E3323"/>
    <w:rsid w:val="007E3703"/>
    <w:rsid w:val="007E4148"/>
    <w:rsid w:val="007E513D"/>
    <w:rsid w:val="007E5DD6"/>
    <w:rsid w:val="007E651A"/>
    <w:rsid w:val="007F0318"/>
    <w:rsid w:val="007F045D"/>
    <w:rsid w:val="007F1FD8"/>
    <w:rsid w:val="007F3307"/>
    <w:rsid w:val="007F5E85"/>
    <w:rsid w:val="007F63E3"/>
    <w:rsid w:val="007F7CAA"/>
    <w:rsid w:val="00801091"/>
    <w:rsid w:val="00803B0E"/>
    <w:rsid w:val="00803D1E"/>
    <w:rsid w:val="00806056"/>
    <w:rsid w:val="0080745F"/>
    <w:rsid w:val="0081083C"/>
    <w:rsid w:val="00810848"/>
    <w:rsid w:val="0081250A"/>
    <w:rsid w:val="00812B41"/>
    <w:rsid w:val="00817E22"/>
    <w:rsid w:val="008208CF"/>
    <w:rsid w:val="00820AED"/>
    <w:rsid w:val="008217ED"/>
    <w:rsid w:val="00822591"/>
    <w:rsid w:val="0082319F"/>
    <w:rsid w:val="0082789C"/>
    <w:rsid w:val="00827DE9"/>
    <w:rsid w:val="008332A4"/>
    <w:rsid w:val="008335AF"/>
    <w:rsid w:val="0083450B"/>
    <w:rsid w:val="00834FF3"/>
    <w:rsid w:val="00835678"/>
    <w:rsid w:val="00835B9F"/>
    <w:rsid w:val="0083732E"/>
    <w:rsid w:val="0084054A"/>
    <w:rsid w:val="00840AF5"/>
    <w:rsid w:val="008422D0"/>
    <w:rsid w:val="00843E66"/>
    <w:rsid w:val="00845CB2"/>
    <w:rsid w:val="008469CA"/>
    <w:rsid w:val="00847FF2"/>
    <w:rsid w:val="00850133"/>
    <w:rsid w:val="00850816"/>
    <w:rsid w:val="00854849"/>
    <w:rsid w:val="008574F8"/>
    <w:rsid w:val="00857599"/>
    <w:rsid w:val="008607AC"/>
    <w:rsid w:val="00861179"/>
    <w:rsid w:val="00861352"/>
    <w:rsid w:val="00861526"/>
    <w:rsid w:val="00861ED4"/>
    <w:rsid w:val="00862A5B"/>
    <w:rsid w:val="00862BDF"/>
    <w:rsid w:val="0086410A"/>
    <w:rsid w:val="00864282"/>
    <w:rsid w:val="008651BB"/>
    <w:rsid w:val="00865CC7"/>
    <w:rsid w:val="00872099"/>
    <w:rsid w:val="008734BB"/>
    <w:rsid w:val="00873C3B"/>
    <w:rsid w:val="00874582"/>
    <w:rsid w:val="00874C1D"/>
    <w:rsid w:val="00875177"/>
    <w:rsid w:val="00875474"/>
    <w:rsid w:val="0087612B"/>
    <w:rsid w:val="00880EFC"/>
    <w:rsid w:val="00881570"/>
    <w:rsid w:val="0088381F"/>
    <w:rsid w:val="00886ABD"/>
    <w:rsid w:val="00886D42"/>
    <w:rsid w:val="00890FDF"/>
    <w:rsid w:val="008922B4"/>
    <w:rsid w:val="00892F57"/>
    <w:rsid w:val="00894AD7"/>
    <w:rsid w:val="00896AD9"/>
    <w:rsid w:val="00896AF1"/>
    <w:rsid w:val="00896BF5"/>
    <w:rsid w:val="008979E9"/>
    <w:rsid w:val="008A0F9D"/>
    <w:rsid w:val="008A669E"/>
    <w:rsid w:val="008B247B"/>
    <w:rsid w:val="008B27A9"/>
    <w:rsid w:val="008B30D0"/>
    <w:rsid w:val="008B32E0"/>
    <w:rsid w:val="008B444F"/>
    <w:rsid w:val="008C12C5"/>
    <w:rsid w:val="008C141B"/>
    <w:rsid w:val="008C4611"/>
    <w:rsid w:val="008C5B34"/>
    <w:rsid w:val="008C5B5D"/>
    <w:rsid w:val="008C6391"/>
    <w:rsid w:val="008C6683"/>
    <w:rsid w:val="008C6E8B"/>
    <w:rsid w:val="008D086B"/>
    <w:rsid w:val="008D17E6"/>
    <w:rsid w:val="008D2079"/>
    <w:rsid w:val="008D2B10"/>
    <w:rsid w:val="008D5703"/>
    <w:rsid w:val="008D6085"/>
    <w:rsid w:val="008E3337"/>
    <w:rsid w:val="008E5831"/>
    <w:rsid w:val="008E6B23"/>
    <w:rsid w:val="008F06A4"/>
    <w:rsid w:val="008F0F98"/>
    <w:rsid w:val="008F26BF"/>
    <w:rsid w:val="008F29D2"/>
    <w:rsid w:val="008F2D7F"/>
    <w:rsid w:val="008F4EB8"/>
    <w:rsid w:val="008F5A2A"/>
    <w:rsid w:val="008F65B5"/>
    <w:rsid w:val="008F6887"/>
    <w:rsid w:val="008F7203"/>
    <w:rsid w:val="009019FD"/>
    <w:rsid w:val="00902F4C"/>
    <w:rsid w:val="00903BEF"/>
    <w:rsid w:val="00904DD6"/>
    <w:rsid w:val="00904EB4"/>
    <w:rsid w:val="009060E9"/>
    <w:rsid w:val="00907E34"/>
    <w:rsid w:val="00910DC3"/>
    <w:rsid w:val="009116B0"/>
    <w:rsid w:val="00913241"/>
    <w:rsid w:val="00914472"/>
    <w:rsid w:val="009175B1"/>
    <w:rsid w:val="00920294"/>
    <w:rsid w:val="00920CC9"/>
    <w:rsid w:val="009216E0"/>
    <w:rsid w:val="009224F5"/>
    <w:rsid w:val="0092294D"/>
    <w:rsid w:val="009230A4"/>
    <w:rsid w:val="00923108"/>
    <w:rsid w:val="00925BB9"/>
    <w:rsid w:val="00925E0E"/>
    <w:rsid w:val="00927B3A"/>
    <w:rsid w:val="00932040"/>
    <w:rsid w:val="0093711C"/>
    <w:rsid w:val="0093750E"/>
    <w:rsid w:val="009378FE"/>
    <w:rsid w:val="009404FC"/>
    <w:rsid w:val="0094361B"/>
    <w:rsid w:val="0094438E"/>
    <w:rsid w:val="00944E51"/>
    <w:rsid w:val="00945618"/>
    <w:rsid w:val="009462C3"/>
    <w:rsid w:val="009502DF"/>
    <w:rsid w:val="0095032A"/>
    <w:rsid w:val="00950B33"/>
    <w:rsid w:val="009510F6"/>
    <w:rsid w:val="00951291"/>
    <w:rsid w:val="00951BE1"/>
    <w:rsid w:val="009539C8"/>
    <w:rsid w:val="0095763E"/>
    <w:rsid w:val="00963685"/>
    <w:rsid w:val="00966298"/>
    <w:rsid w:val="00966DE6"/>
    <w:rsid w:val="00967A71"/>
    <w:rsid w:val="009707C7"/>
    <w:rsid w:val="009710CE"/>
    <w:rsid w:val="009729F7"/>
    <w:rsid w:val="009739E6"/>
    <w:rsid w:val="009743D2"/>
    <w:rsid w:val="00974678"/>
    <w:rsid w:val="0097508F"/>
    <w:rsid w:val="00982677"/>
    <w:rsid w:val="009833E5"/>
    <w:rsid w:val="00985AA6"/>
    <w:rsid w:val="009871A3"/>
    <w:rsid w:val="00990032"/>
    <w:rsid w:val="00991113"/>
    <w:rsid w:val="0099611F"/>
    <w:rsid w:val="00996D31"/>
    <w:rsid w:val="009A01F4"/>
    <w:rsid w:val="009A068A"/>
    <w:rsid w:val="009A2022"/>
    <w:rsid w:val="009A2ECA"/>
    <w:rsid w:val="009A4FCA"/>
    <w:rsid w:val="009A5F4D"/>
    <w:rsid w:val="009A7C96"/>
    <w:rsid w:val="009A7FB2"/>
    <w:rsid w:val="009B1312"/>
    <w:rsid w:val="009B181A"/>
    <w:rsid w:val="009B2512"/>
    <w:rsid w:val="009B3250"/>
    <w:rsid w:val="009B3894"/>
    <w:rsid w:val="009B437C"/>
    <w:rsid w:val="009B4B74"/>
    <w:rsid w:val="009B5455"/>
    <w:rsid w:val="009B7A68"/>
    <w:rsid w:val="009C5F37"/>
    <w:rsid w:val="009C5FF0"/>
    <w:rsid w:val="009C6D7F"/>
    <w:rsid w:val="009C6F8C"/>
    <w:rsid w:val="009C76EC"/>
    <w:rsid w:val="009D1F64"/>
    <w:rsid w:val="009D2957"/>
    <w:rsid w:val="009D3805"/>
    <w:rsid w:val="009D384C"/>
    <w:rsid w:val="009D43DB"/>
    <w:rsid w:val="009D53B4"/>
    <w:rsid w:val="009D651C"/>
    <w:rsid w:val="009D7161"/>
    <w:rsid w:val="009D7591"/>
    <w:rsid w:val="009D76BD"/>
    <w:rsid w:val="009E01D5"/>
    <w:rsid w:val="009E2236"/>
    <w:rsid w:val="009E2361"/>
    <w:rsid w:val="009E29C1"/>
    <w:rsid w:val="009E2DB2"/>
    <w:rsid w:val="009E339E"/>
    <w:rsid w:val="009E51F0"/>
    <w:rsid w:val="009E6DA0"/>
    <w:rsid w:val="009F0372"/>
    <w:rsid w:val="009F0437"/>
    <w:rsid w:val="009F17A7"/>
    <w:rsid w:val="009F214B"/>
    <w:rsid w:val="009F262D"/>
    <w:rsid w:val="009F342F"/>
    <w:rsid w:val="009F3C50"/>
    <w:rsid w:val="009F4242"/>
    <w:rsid w:val="009F4276"/>
    <w:rsid w:val="009F5F0C"/>
    <w:rsid w:val="009F6DDE"/>
    <w:rsid w:val="00A00210"/>
    <w:rsid w:val="00A02383"/>
    <w:rsid w:val="00A026AA"/>
    <w:rsid w:val="00A02D05"/>
    <w:rsid w:val="00A02DAC"/>
    <w:rsid w:val="00A04F77"/>
    <w:rsid w:val="00A05512"/>
    <w:rsid w:val="00A075D3"/>
    <w:rsid w:val="00A10F2F"/>
    <w:rsid w:val="00A12F07"/>
    <w:rsid w:val="00A130E0"/>
    <w:rsid w:val="00A134E6"/>
    <w:rsid w:val="00A161CF"/>
    <w:rsid w:val="00A20D5A"/>
    <w:rsid w:val="00A21209"/>
    <w:rsid w:val="00A2198E"/>
    <w:rsid w:val="00A227D9"/>
    <w:rsid w:val="00A25198"/>
    <w:rsid w:val="00A26131"/>
    <w:rsid w:val="00A26165"/>
    <w:rsid w:val="00A2674E"/>
    <w:rsid w:val="00A26BA7"/>
    <w:rsid w:val="00A271BD"/>
    <w:rsid w:val="00A322EB"/>
    <w:rsid w:val="00A322ED"/>
    <w:rsid w:val="00A345A9"/>
    <w:rsid w:val="00A35622"/>
    <w:rsid w:val="00A35EE7"/>
    <w:rsid w:val="00A36BA5"/>
    <w:rsid w:val="00A37127"/>
    <w:rsid w:val="00A37F87"/>
    <w:rsid w:val="00A407DA"/>
    <w:rsid w:val="00A40C70"/>
    <w:rsid w:val="00A422F4"/>
    <w:rsid w:val="00A428DD"/>
    <w:rsid w:val="00A43628"/>
    <w:rsid w:val="00A44341"/>
    <w:rsid w:val="00A4435B"/>
    <w:rsid w:val="00A4437E"/>
    <w:rsid w:val="00A44F43"/>
    <w:rsid w:val="00A466CF"/>
    <w:rsid w:val="00A51684"/>
    <w:rsid w:val="00A52BDA"/>
    <w:rsid w:val="00A54711"/>
    <w:rsid w:val="00A54D26"/>
    <w:rsid w:val="00A552AD"/>
    <w:rsid w:val="00A57BDB"/>
    <w:rsid w:val="00A6152F"/>
    <w:rsid w:val="00A62BAD"/>
    <w:rsid w:val="00A631D8"/>
    <w:rsid w:val="00A63545"/>
    <w:rsid w:val="00A64ABF"/>
    <w:rsid w:val="00A64D19"/>
    <w:rsid w:val="00A6745B"/>
    <w:rsid w:val="00A71242"/>
    <w:rsid w:val="00A7271C"/>
    <w:rsid w:val="00A73CAA"/>
    <w:rsid w:val="00A73FDC"/>
    <w:rsid w:val="00A74C0D"/>
    <w:rsid w:val="00A75010"/>
    <w:rsid w:val="00A76259"/>
    <w:rsid w:val="00A77079"/>
    <w:rsid w:val="00A80D80"/>
    <w:rsid w:val="00A81239"/>
    <w:rsid w:val="00A84E53"/>
    <w:rsid w:val="00A84E92"/>
    <w:rsid w:val="00A8552F"/>
    <w:rsid w:val="00A8596F"/>
    <w:rsid w:val="00A86178"/>
    <w:rsid w:val="00A864CD"/>
    <w:rsid w:val="00A870E7"/>
    <w:rsid w:val="00A90158"/>
    <w:rsid w:val="00A913B2"/>
    <w:rsid w:val="00A925CA"/>
    <w:rsid w:val="00A9273C"/>
    <w:rsid w:val="00A92EBC"/>
    <w:rsid w:val="00A9407E"/>
    <w:rsid w:val="00A944D9"/>
    <w:rsid w:val="00AA1330"/>
    <w:rsid w:val="00AA200F"/>
    <w:rsid w:val="00AA2FAF"/>
    <w:rsid w:val="00AA55FD"/>
    <w:rsid w:val="00AA5C5F"/>
    <w:rsid w:val="00AA7525"/>
    <w:rsid w:val="00AB0793"/>
    <w:rsid w:val="00AB1053"/>
    <w:rsid w:val="00AB1C2C"/>
    <w:rsid w:val="00AB2663"/>
    <w:rsid w:val="00AB4390"/>
    <w:rsid w:val="00AB4814"/>
    <w:rsid w:val="00AB6C1A"/>
    <w:rsid w:val="00AC05C3"/>
    <w:rsid w:val="00AC2A39"/>
    <w:rsid w:val="00AC3FA0"/>
    <w:rsid w:val="00AC4270"/>
    <w:rsid w:val="00AC5003"/>
    <w:rsid w:val="00AC6040"/>
    <w:rsid w:val="00AC60AE"/>
    <w:rsid w:val="00AD12D2"/>
    <w:rsid w:val="00AD2429"/>
    <w:rsid w:val="00AD41B0"/>
    <w:rsid w:val="00AD475C"/>
    <w:rsid w:val="00AD54A9"/>
    <w:rsid w:val="00AD7961"/>
    <w:rsid w:val="00AE0A5D"/>
    <w:rsid w:val="00AE1661"/>
    <w:rsid w:val="00AE42E4"/>
    <w:rsid w:val="00AF0616"/>
    <w:rsid w:val="00AF27F3"/>
    <w:rsid w:val="00AF2DFD"/>
    <w:rsid w:val="00AF65CE"/>
    <w:rsid w:val="00AF79DA"/>
    <w:rsid w:val="00B00756"/>
    <w:rsid w:val="00B022E6"/>
    <w:rsid w:val="00B06AAA"/>
    <w:rsid w:val="00B0771D"/>
    <w:rsid w:val="00B07E08"/>
    <w:rsid w:val="00B109A4"/>
    <w:rsid w:val="00B12874"/>
    <w:rsid w:val="00B13B0E"/>
    <w:rsid w:val="00B155EB"/>
    <w:rsid w:val="00B2058A"/>
    <w:rsid w:val="00B210B1"/>
    <w:rsid w:val="00B21CB2"/>
    <w:rsid w:val="00B225DE"/>
    <w:rsid w:val="00B226D0"/>
    <w:rsid w:val="00B22AD4"/>
    <w:rsid w:val="00B22F96"/>
    <w:rsid w:val="00B23426"/>
    <w:rsid w:val="00B23756"/>
    <w:rsid w:val="00B244BA"/>
    <w:rsid w:val="00B24AE2"/>
    <w:rsid w:val="00B25780"/>
    <w:rsid w:val="00B30D0A"/>
    <w:rsid w:val="00B34E32"/>
    <w:rsid w:val="00B361E0"/>
    <w:rsid w:val="00B411D3"/>
    <w:rsid w:val="00B4253B"/>
    <w:rsid w:val="00B43A82"/>
    <w:rsid w:val="00B4464D"/>
    <w:rsid w:val="00B46404"/>
    <w:rsid w:val="00B50361"/>
    <w:rsid w:val="00B509DC"/>
    <w:rsid w:val="00B53372"/>
    <w:rsid w:val="00B539E6"/>
    <w:rsid w:val="00B53BF5"/>
    <w:rsid w:val="00B55152"/>
    <w:rsid w:val="00B552FA"/>
    <w:rsid w:val="00B579B2"/>
    <w:rsid w:val="00B602F0"/>
    <w:rsid w:val="00B615B4"/>
    <w:rsid w:val="00B63F66"/>
    <w:rsid w:val="00B64A67"/>
    <w:rsid w:val="00B67751"/>
    <w:rsid w:val="00B72CC8"/>
    <w:rsid w:val="00B74DF0"/>
    <w:rsid w:val="00B7799E"/>
    <w:rsid w:val="00B77E4B"/>
    <w:rsid w:val="00B81771"/>
    <w:rsid w:val="00B82996"/>
    <w:rsid w:val="00B82E64"/>
    <w:rsid w:val="00B83815"/>
    <w:rsid w:val="00B83C22"/>
    <w:rsid w:val="00B850A4"/>
    <w:rsid w:val="00B86289"/>
    <w:rsid w:val="00B86296"/>
    <w:rsid w:val="00B87357"/>
    <w:rsid w:val="00B91050"/>
    <w:rsid w:val="00B9125E"/>
    <w:rsid w:val="00B9238C"/>
    <w:rsid w:val="00B9663B"/>
    <w:rsid w:val="00BA2C86"/>
    <w:rsid w:val="00BA32C7"/>
    <w:rsid w:val="00BA76BB"/>
    <w:rsid w:val="00BB2930"/>
    <w:rsid w:val="00BB29BF"/>
    <w:rsid w:val="00BB3F37"/>
    <w:rsid w:val="00BB5C4E"/>
    <w:rsid w:val="00BC04AB"/>
    <w:rsid w:val="00BC075F"/>
    <w:rsid w:val="00BC1F9B"/>
    <w:rsid w:val="00BC3B63"/>
    <w:rsid w:val="00BD18AC"/>
    <w:rsid w:val="00BD21B4"/>
    <w:rsid w:val="00BD2882"/>
    <w:rsid w:val="00BD2A95"/>
    <w:rsid w:val="00BD4B5F"/>
    <w:rsid w:val="00BE02F8"/>
    <w:rsid w:val="00BE03A7"/>
    <w:rsid w:val="00BF1C03"/>
    <w:rsid w:val="00BF2847"/>
    <w:rsid w:val="00BF3123"/>
    <w:rsid w:val="00BF398A"/>
    <w:rsid w:val="00BF5BFF"/>
    <w:rsid w:val="00BF6768"/>
    <w:rsid w:val="00BF6776"/>
    <w:rsid w:val="00C00E6D"/>
    <w:rsid w:val="00C0103D"/>
    <w:rsid w:val="00C01191"/>
    <w:rsid w:val="00C01C47"/>
    <w:rsid w:val="00C02BAE"/>
    <w:rsid w:val="00C03602"/>
    <w:rsid w:val="00C05392"/>
    <w:rsid w:val="00C066E1"/>
    <w:rsid w:val="00C1117C"/>
    <w:rsid w:val="00C1286F"/>
    <w:rsid w:val="00C12F24"/>
    <w:rsid w:val="00C13337"/>
    <w:rsid w:val="00C13CFF"/>
    <w:rsid w:val="00C14C2F"/>
    <w:rsid w:val="00C200EE"/>
    <w:rsid w:val="00C20A22"/>
    <w:rsid w:val="00C20B79"/>
    <w:rsid w:val="00C211C2"/>
    <w:rsid w:val="00C21EB5"/>
    <w:rsid w:val="00C24D16"/>
    <w:rsid w:val="00C26BA8"/>
    <w:rsid w:val="00C26BBD"/>
    <w:rsid w:val="00C31126"/>
    <w:rsid w:val="00C31CFB"/>
    <w:rsid w:val="00C32691"/>
    <w:rsid w:val="00C32A16"/>
    <w:rsid w:val="00C32CD7"/>
    <w:rsid w:val="00C33BB8"/>
    <w:rsid w:val="00C34B87"/>
    <w:rsid w:val="00C35319"/>
    <w:rsid w:val="00C3632F"/>
    <w:rsid w:val="00C3648E"/>
    <w:rsid w:val="00C372DF"/>
    <w:rsid w:val="00C4054D"/>
    <w:rsid w:val="00C40EBB"/>
    <w:rsid w:val="00C42604"/>
    <w:rsid w:val="00C452EE"/>
    <w:rsid w:val="00C47268"/>
    <w:rsid w:val="00C5100F"/>
    <w:rsid w:val="00C53588"/>
    <w:rsid w:val="00C55C00"/>
    <w:rsid w:val="00C56C2D"/>
    <w:rsid w:val="00C62521"/>
    <w:rsid w:val="00C6265C"/>
    <w:rsid w:val="00C628AC"/>
    <w:rsid w:val="00C62B0A"/>
    <w:rsid w:val="00C64A13"/>
    <w:rsid w:val="00C72EE2"/>
    <w:rsid w:val="00C73773"/>
    <w:rsid w:val="00C74050"/>
    <w:rsid w:val="00C75930"/>
    <w:rsid w:val="00C769A6"/>
    <w:rsid w:val="00C80812"/>
    <w:rsid w:val="00C82223"/>
    <w:rsid w:val="00C833F4"/>
    <w:rsid w:val="00C83C47"/>
    <w:rsid w:val="00C83D90"/>
    <w:rsid w:val="00C84740"/>
    <w:rsid w:val="00C8610E"/>
    <w:rsid w:val="00C901AD"/>
    <w:rsid w:val="00C90C06"/>
    <w:rsid w:val="00C90CFB"/>
    <w:rsid w:val="00C95822"/>
    <w:rsid w:val="00C96C31"/>
    <w:rsid w:val="00C973E0"/>
    <w:rsid w:val="00CA01E7"/>
    <w:rsid w:val="00CA09CE"/>
    <w:rsid w:val="00CA0BC4"/>
    <w:rsid w:val="00CA0C45"/>
    <w:rsid w:val="00CA3B80"/>
    <w:rsid w:val="00CA4272"/>
    <w:rsid w:val="00CA4A34"/>
    <w:rsid w:val="00CA78A1"/>
    <w:rsid w:val="00CA7B4B"/>
    <w:rsid w:val="00CB38A6"/>
    <w:rsid w:val="00CB547D"/>
    <w:rsid w:val="00CB60BF"/>
    <w:rsid w:val="00CB61AF"/>
    <w:rsid w:val="00CB75A7"/>
    <w:rsid w:val="00CC37B8"/>
    <w:rsid w:val="00CC3F79"/>
    <w:rsid w:val="00CC4A57"/>
    <w:rsid w:val="00CC6112"/>
    <w:rsid w:val="00CD1CA4"/>
    <w:rsid w:val="00CD1D91"/>
    <w:rsid w:val="00CD23F5"/>
    <w:rsid w:val="00CD4DF2"/>
    <w:rsid w:val="00CD4F7B"/>
    <w:rsid w:val="00CD619B"/>
    <w:rsid w:val="00CD6C68"/>
    <w:rsid w:val="00CD700B"/>
    <w:rsid w:val="00CE03E2"/>
    <w:rsid w:val="00CE170D"/>
    <w:rsid w:val="00CE1ADF"/>
    <w:rsid w:val="00CE66D2"/>
    <w:rsid w:val="00CE7C59"/>
    <w:rsid w:val="00CE7E32"/>
    <w:rsid w:val="00CF0768"/>
    <w:rsid w:val="00CF1169"/>
    <w:rsid w:val="00CF3F3A"/>
    <w:rsid w:val="00CF44D5"/>
    <w:rsid w:val="00CF4988"/>
    <w:rsid w:val="00CF71F0"/>
    <w:rsid w:val="00D0090B"/>
    <w:rsid w:val="00D014B4"/>
    <w:rsid w:val="00D01908"/>
    <w:rsid w:val="00D02E24"/>
    <w:rsid w:val="00D02EB4"/>
    <w:rsid w:val="00D05808"/>
    <w:rsid w:val="00D05A26"/>
    <w:rsid w:val="00D1140F"/>
    <w:rsid w:val="00D15DFD"/>
    <w:rsid w:val="00D21A0E"/>
    <w:rsid w:val="00D227DA"/>
    <w:rsid w:val="00D23360"/>
    <w:rsid w:val="00D2393C"/>
    <w:rsid w:val="00D24F72"/>
    <w:rsid w:val="00D271D2"/>
    <w:rsid w:val="00D27269"/>
    <w:rsid w:val="00D27561"/>
    <w:rsid w:val="00D30C14"/>
    <w:rsid w:val="00D325FA"/>
    <w:rsid w:val="00D32F62"/>
    <w:rsid w:val="00D33B29"/>
    <w:rsid w:val="00D354C5"/>
    <w:rsid w:val="00D3681C"/>
    <w:rsid w:val="00D40209"/>
    <w:rsid w:val="00D4053C"/>
    <w:rsid w:val="00D4361B"/>
    <w:rsid w:val="00D46147"/>
    <w:rsid w:val="00D4625E"/>
    <w:rsid w:val="00D46E36"/>
    <w:rsid w:val="00D531E0"/>
    <w:rsid w:val="00D53B85"/>
    <w:rsid w:val="00D567D3"/>
    <w:rsid w:val="00D62925"/>
    <w:rsid w:val="00D63311"/>
    <w:rsid w:val="00D64482"/>
    <w:rsid w:val="00D649CF"/>
    <w:rsid w:val="00D65076"/>
    <w:rsid w:val="00D65BF1"/>
    <w:rsid w:val="00D664C9"/>
    <w:rsid w:val="00D66C79"/>
    <w:rsid w:val="00D67437"/>
    <w:rsid w:val="00D7025B"/>
    <w:rsid w:val="00D71A37"/>
    <w:rsid w:val="00D72D2A"/>
    <w:rsid w:val="00D73E8D"/>
    <w:rsid w:val="00D76B65"/>
    <w:rsid w:val="00D775D3"/>
    <w:rsid w:val="00D8061D"/>
    <w:rsid w:val="00D8097F"/>
    <w:rsid w:val="00D8158D"/>
    <w:rsid w:val="00D8202B"/>
    <w:rsid w:val="00D826F1"/>
    <w:rsid w:val="00D83F21"/>
    <w:rsid w:val="00D8429E"/>
    <w:rsid w:val="00D84566"/>
    <w:rsid w:val="00D85381"/>
    <w:rsid w:val="00D92161"/>
    <w:rsid w:val="00D93EA7"/>
    <w:rsid w:val="00D946C0"/>
    <w:rsid w:val="00D9485A"/>
    <w:rsid w:val="00D94C27"/>
    <w:rsid w:val="00D953F1"/>
    <w:rsid w:val="00D9571D"/>
    <w:rsid w:val="00D9637E"/>
    <w:rsid w:val="00D974CE"/>
    <w:rsid w:val="00DA19B9"/>
    <w:rsid w:val="00DA3111"/>
    <w:rsid w:val="00DA3554"/>
    <w:rsid w:val="00DA4112"/>
    <w:rsid w:val="00DA4D70"/>
    <w:rsid w:val="00DA6270"/>
    <w:rsid w:val="00DA6CF4"/>
    <w:rsid w:val="00DA7735"/>
    <w:rsid w:val="00DA7E05"/>
    <w:rsid w:val="00DB22BB"/>
    <w:rsid w:val="00DB25D0"/>
    <w:rsid w:val="00DB2812"/>
    <w:rsid w:val="00DB2F8F"/>
    <w:rsid w:val="00DB4069"/>
    <w:rsid w:val="00DB4480"/>
    <w:rsid w:val="00DB45F3"/>
    <w:rsid w:val="00DB6BC9"/>
    <w:rsid w:val="00DC3A3E"/>
    <w:rsid w:val="00DC3C9C"/>
    <w:rsid w:val="00DC6925"/>
    <w:rsid w:val="00DC6965"/>
    <w:rsid w:val="00DC76D6"/>
    <w:rsid w:val="00DD0B26"/>
    <w:rsid w:val="00DD137E"/>
    <w:rsid w:val="00DD3D6E"/>
    <w:rsid w:val="00DD5B72"/>
    <w:rsid w:val="00DD5FB0"/>
    <w:rsid w:val="00DD7D5D"/>
    <w:rsid w:val="00DE005B"/>
    <w:rsid w:val="00DE0FB1"/>
    <w:rsid w:val="00DE3B7E"/>
    <w:rsid w:val="00DE4E3F"/>
    <w:rsid w:val="00DE4E5D"/>
    <w:rsid w:val="00DE4FAB"/>
    <w:rsid w:val="00DE6596"/>
    <w:rsid w:val="00DF08C8"/>
    <w:rsid w:val="00DF3C94"/>
    <w:rsid w:val="00DF4AC4"/>
    <w:rsid w:val="00DF553E"/>
    <w:rsid w:val="00DF6724"/>
    <w:rsid w:val="00DF6762"/>
    <w:rsid w:val="00DF67FB"/>
    <w:rsid w:val="00E01546"/>
    <w:rsid w:val="00E02F9D"/>
    <w:rsid w:val="00E03953"/>
    <w:rsid w:val="00E055EB"/>
    <w:rsid w:val="00E05D91"/>
    <w:rsid w:val="00E07776"/>
    <w:rsid w:val="00E112A1"/>
    <w:rsid w:val="00E11A7B"/>
    <w:rsid w:val="00E13A36"/>
    <w:rsid w:val="00E13D21"/>
    <w:rsid w:val="00E14158"/>
    <w:rsid w:val="00E14FDA"/>
    <w:rsid w:val="00E1658D"/>
    <w:rsid w:val="00E165D4"/>
    <w:rsid w:val="00E16A64"/>
    <w:rsid w:val="00E208DF"/>
    <w:rsid w:val="00E2175E"/>
    <w:rsid w:val="00E226D2"/>
    <w:rsid w:val="00E23EE3"/>
    <w:rsid w:val="00E24A0C"/>
    <w:rsid w:val="00E25E15"/>
    <w:rsid w:val="00E269BD"/>
    <w:rsid w:val="00E3211A"/>
    <w:rsid w:val="00E32FC6"/>
    <w:rsid w:val="00E4060A"/>
    <w:rsid w:val="00E40B1D"/>
    <w:rsid w:val="00E41848"/>
    <w:rsid w:val="00E41BBA"/>
    <w:rsid w:val="00E439F6"/>
    <w:rsid w:val="00E46146"/>
    <w:rsid w:val="00E46A2B"/>
    <w:rsid w:val="00E47660"/>
    <w:rsid w:val="00E50655"/>
    <w:rsid w:val="00E548E7"/>
    <w:rsid w:val="00E55532"/>
    <w:rsid w:val="00E6773B"/>
    <w:rsid w:val="00E678D7"/>
    <w:rsid w:val="00E70B7E"/>
    <w:rsid w:val="00E71937"/>
    <w:rsid w:val="00E77C0F"/>
    <w:rsid w:val="00E804DD"/>
    <w:rsid w:val="00E81FE7"/>
    <w:rsid w:val="00E82BD6"/>
    <w:rsid w:val="00E830A1"/>
    <w:rsid w:val="00E83D0F"/>
    <w:rsid w:val="00E848EC"/>
    <w:rsid w:val="00E84C1F"/>
    <w:rsid w:val="00E852D5"/>
    <w:rsid w:val="00E8656A"/>
    <w:rsid w:val="00E9137E"/>
    <w:rsid w:val="00E92658"/>
    <w:rsid w:val="00E958B9"/>
    <w:rsid w:val="00E95BEA"/>
    <w:rsid w:val="00E96C46"/>
    <w:rsid w:val="00E97DCF"/>
    <w:rsid w:val="00EA1721"/>
    <w:rsid w:val="00EA177C"/>
    <w:rsid w:val="00EA1C6F"/>
    <w:rsid w:val="00EA3F32"/>
    <w:rsid w:val="00EA43BC"/>
    <w:rsid w:val="00EA55C6"/>
    <w:rsid w:val="00EA780A"/>
    <w:rsid w:val="00EA7FD0"/>
    <w:rsid w:val="00EB1452"/>
    <w:rsid w:val="00EB1A58"/>
    <w:rsid w:val="00EB2DE1"/>
    <w:rsid w:val="00EB3671"/>
    <w:rsid w:val="00EB4FE9"/>
    <w:rsid w:val="00EB51E4"/>
    <w:rsid w:val="00EB7618"/>
    <w:rsid w:val="00EC0675"/>
    <w:rsid w:val="00EC0F74"/>
    <w:rsid w:val="00EC4402"/>
    <w:rsid w:val="00EC45B9"/>
    <w:rsid w:val="00EC4BE8"/>
    <w:rsid w:val="00EC643E"/>
    <w:rsid w:val="00EC6D4A"/>
    <w:rsid w:val="00EC7425"/>
    <w:rsid w:val="00ED48D4"/>
    <w:rsid w:val="00ED5267"/>
    <w:rsid w:val="00ED7FD1"/>
    <w:rsid w:val="00EE00CA"/>
    <w:rsid w:val="00EE2113"/>
    <w:rsid w:val="00EE508D"/>
    <w:rsid w:val="00EE6C37"/>
    <w:rsid w:val="00EF1833"/>
    <w:rsid w:val="00EF39B3"/>
    <w:rsid w:val="00EF6333"/>
    <w:rsid w:val="00EF69E9"/>
    <w:rsid w:val="00EF6CAF"/>
    <w:rsid w:val="00EF6D9B"/>
    <w:rsid w:val="00EF6F5C"/>
    <w:rsid w:val="00EF74B1"/>
    <w:rsid w:val="00EF7818"/>
    <w:rsid w:val="00F00EF0"/>
    <w:rsid w:val="00F02B64"/>
    <w:rsid w:val="00F02CD8"/>
    <w:rsid w:val="00F04D23"/>
    <w:rsid w:val="00F11033"/>
    <w:rsid w:val="00F11D7C"/>
    <w:rsid w:val="00F122F0"/>
    <w:rsid w:val="00F13A53"/>
    <w:rsid w:val="00F1613F"/>
    <w:rsid w:val="00F16FD1"/>
    <w:rsid w:val="00F17C1F"/>
    <w:rsid w:val="00F20540"/>
    <w:rsid w:val="00F20AF2"/>
    <w:rsid w:val="00F21038"/>
    <w:rsid w:val="00F22BFF"/>
    <w:rsid w:val="00F24F6E"/>
    <w:rsid w:val="00F2541F"/>
    <w:rsid w:val="00F27980"/>
    <w:rsid w:val="00F3118C"/>
    <w:rsid w:val="00F312CF"/>
    <w:rsid w:val="00F3230D"/>
    <w:rsid w:val="00F32357"/>
    <w:rsid w:val="00F33330"/>
    <w:rsid w:val="00F34D21"/>
    <w:rsid w:val="00F40914"/>
    <w:rsid w:val="00F41AA2"/>
    <w:rsid w:val="00F42F8C"/>
    <w:rsid w:val="00F4364E"/>
    <w:rsid w:val="00F454A9"/>
    <w:rsid w:val="00F459E6"/>
    <w:rsid w:val="00F46BAA"/>
    <w:rsid w:val="00F52734"/>
    <w:rsid w:val="00F551CE"/>
    <w:rsid w:val="00F5626E"/>
    <w:rsid w:val="00F57BE0"/>
    <w:rsid w:val="00F60C1A"/>
    <w:rsid w:val="00F641FB"/>
    <w:rsid w:val="00F660DB"/>
    <w:rsid w:val="00F661DD"/>
    <w:rsid w:val="00F662B5"/>
    <w:rsid w:val="00F665A4"/>
    <w:rsid w:val="00F6694B"/>
    <w:rsid w:val="00F70146"/>
    <w:rsid w:val="00F708B9"/>
    <w:rsid w:val="00F70F99"/>
    <w:rsid w:val="00F719C9"/>
    <w:rsid w:val="00F72170"/>
    <w:rsid w:val="00F730AB"/>
    <w:rsid w:val="00F7315A"/>
    <w:rsid w:val="00F73812"/>
    <w:rsid w:val="00F746CE"/>
    <w:rsid w:val="00F76666"/>
    <w:rsid w:val="00F831DB"/>
    <w:rsid w:val="00F84B2C"/>
    <w:rsid w:val="00F84F17"/>
    <w:rsid w:val="00F8629D"/>
    <w:rsid w:val="00F86FEF"/>
    <w:rsid w:val="00F874D8"/>
    <w:rsid w:val="00F87654"/>
    <w:rsid w:val="00F917FA"/>
    <w:rsid w:val="00F928CD"/>
    <w:rsid w:val="00F966E5"/>
    <w:rsid w:val="00FA04C5"/>
    <w:rsid w:val="00FA1171"/>
    <w:rsid w:val="00FA1CA2"/>
    <w:rsid w:val="00FA467E"/>
    <w:rsid w:val="00FA5DF5"/>
    <w:rsid w:val="00FA6D15"/>
    <w:rsid w:val="00FA6DB0"/>
    <w:rsid w:val="00FA6E7C"/>
    <w:rsid w:val="00FA7B3B"/>
    <w:rsid w:val="00FB1BA0"/>
    <w:rsid w:val="00FB53A3"/>
    <w:rsid w:val="00FB5A76"/>
    <w:rsid w:val="00FB5C42"/>
    <w:rsid w:val="00FB724E"/>
    <w:rsid w:val="00FB7E26"/>
    <w:rsid w:val="00FC2481"/>
    <w:rsid w:val="00FC5CB7"/>
    <w:rsid w:val="00FD045B"/>
    <w:rsid w:val="00FD0BD2"/>
    <w:rsid w:val="00FD2789"/>
    <w:rsid w:val="00FD594A"/>
    <w:rsid w:val="00FE01E9"/>
    <w:rsid w:val="00FE121B"/>
    <w:rsid w:val="00FE14B3"/>
    <w:rsid w:val="00FE3BC4"/>
    <w:rsid w:val="00FE4DA3"/>
    <w:rsid w:val="00FE50BD"/>
    <w:rsid w:val="00FF0DB5"/>
    <w:rsid w:val="00FF319B"/>
    <w:rsid w:val="00FF39F8"/>
    <w:rsid w:val="00FF3E2B"/>
    <w:rsid w:val="00FF49C7"/>
    <w:rsid w:val="00FF670A"/>
    <w:rsid w:val="00FF70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D0146F5-250A-4639-899E-C2F37C49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148"/>
    <w:rPr>
      <w:sz w:val="24"/>
      <w:szCs w:val="24"/>
      <w:lang w:val="es-ES" w:eastAsia="es-ES"/>
    </w:rPr>
  </w:style>
  <w:style w:type="paragraph" w:styleId="Ttulo1">
    <w:name w:val="heading 1"/>
    <w:basedOn w:val="Normal"/>
    <w:next w:val="Normal"/>
    <w:link w:val="Ttulo1Car"/>
    <w:qFormat/>
    <w:rsid w:val="004A494F"/>
    <w:pPr>
      <w:keepNext/>
      <w:spacing w:before="360"/>
      <w:jc w:val="right"/>
      <w:outlineLvl w:val="0"/>
    </w:pPr>
    <w:rPr>
      <w:rFonts w:ascii="Arial" w:hAnsi="Arial" w:cs="Arial"/>
      <w:b/>
      <w:bCs/>
    </w:rPr>
  </w:style>
  <w:style w:type="paragraph" w:styleId="Ttulo2">
    <w:name w:val="heading 2"/>
    <w:basedOn w:val="Normal"/>
    <w:next w:val="Normal"/>
    <w:qFormat/>
    <w:rsid w:val="00B509DC"/>
    <w:pPr>
      <w:keepNext/>
      <w:spacing w:before="360"/>
      <w:jc w:val="both"/>
      <w:outlineLvl w:val="1"/>
    </w:pPr>
    <w:rPr>
      <w:rFonts w:ascii="Arial" w:hAnsi="Arial"/>
      <w:i/>
      <w:szCs w:val="20"/>
    </w:rPr>
  </w:style>
  <w:style w:type="paragraph" w:styleId="Ttulo3">
    <w:name w:val="heading 3"/>
    <w:basedOn w:val="Normal"/>
    <w:next w:val="Normal"/>
    <w:link w:val="Ttulo3Car"/>
    <w:qFormat/>
    <w:rsid w:val="00B509DC"/>
    <w:pPr>
      <w:keepNext/>
      <w:spacing w:before="240"/>
      <w:jc w:val="both"/>
      <w:outlineLvl w:val="2"/>
    </w:pPr>
    <w:rPr>
      <w:b/>
      <w:szCs w:val="20"/>
    </w:rPr>
  </w:style>
  <w:style w:type="paragraph" w:styleId="Ttulo4">
    <w:name w:val="heading 4"/>
    <w:basedOn w:val="Normal"/>
    <w:next w:val="Normal"/>
    <w:qFormat/>
    <w:rsid w:val="001D6523"/>
    <w:pPr>
      <w:keepNext/>
      <w:outlineLvl w:val="3"/>
    </w:pPr>
    <w:rPr>
      <w:rFonts w:ascii="Arial Narrow" w:hAnsi="Arial Narrow"/>
      <w:szCs w:val="20"/>
    </w:rPr>
  </w:style>
  <w:style w:type="paragraph" w:styleId="Ttulo5">
    <w:name w:val="heading 5"/>
    <w:basedOn w:val="Normal"/>
    <w:next w:val="Normal"/>
    <w:qFormat/>
    <w:rsid w:val="001D6523"/>
    <w:pPr>
      <w:keepNext/>
      <w:outlineLvl w:val="4"/>
    </w:pPr>
    <w:rPr>
      <w:rFonts w:ascii="Arial Narrow" w:hAnsi="Arial Narrow"/>
      <w:b/>
      <w:szCs w:val="20"/>
    </w:rPr>
  </w:style>
  <w:style w:type="paragraph" w:styleId="Ttulo6">
    <w:name w:val="heading 6"/>
    <w:basedOn w:val="Normal"/>
    <w:next w:val="Normal"/>
    <w:qFormat/>
    <w:rsid w:val="001D6523"/>
    <w:pPr>
      <w:keepNext/>
      <w:spacing w:line="360" w:lineRule="auto"/>
      <w:jc w:val="both"/>
      <w:outlineLvl w:val="5"/>
    </w:pPr>
    <w:rPr>
      <w:rFonts w:ascii="Arial" w:hAnsi="Arial" w:cs="Arial"/>
      <w:b/>
      <w:sz w:val="22"/>
    </w:rPr>
  </w:style>
  <w:style w:type="paragraph" w:styleId="Ttulo7">
    <w:name w:val="heading 7"/>
    <w:basedOn w:val="Normal"/>
    <w:next w:val="Normal"/>
    <w:qFormat/>
    <w:rsid w:val="001D6523"/>
    <w:pPr>
      <w:keepNext/>
      <w:jc w:val="center"/>
      <w:outlineLvl w:val="6"/>
    </w:pPr>
    <w:rPr>
      <w:rFonts w:ascii="Arial" w:hAnsi="Arial" w:cs="Arial"/>
      <w:b/>
      <w:bCs/>
      <w:snapToGrid w:val="0"/>
      <w:sz w:val="22"/>
    </w:rPr>
  </w:style>
  <w:style w:type="paragraph" w:styleId="Ttulo8">
    <w:name w:val="heading 8"/>
    <w:basedOn w:val="Normal"/>
    <w:next w:val="Normal"/>
    <w:qFormat/>
    <w:rsid w:val="001D6523"/>
    <w:pPr>
      <w:keepNext/>
      <w:spacing w:line="360" w:lineRule="auto"/>
      <w:ind w:firstLine="2268"/>
      <w:jc w:val="both"/>
      <w:outlineLvl w:val="7"/>
    </w:pPr>
    <w:rPr>
      <w:rFonts w:ascii="Arial" w:hAnsi="Arial" w:cs="Arial"/>
      <w:snapToGrid w:val="0"/>
      <w:sz w:val="22"/>
      <w:u w:val="singl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D6523"/>
    <w:pPr>
      <w:spacing w:line="360" w:lineRule="auto"/>
      <w:jc w:val="both"/>
    </w:pPr>
    <w:rPr>
      <w:rFonts w:ascii="Arial" w:hAnsi="Arial" w:cs="Arial"/>
      <w:sz w:val="22"/>
    </w:rPr>
  </w:style>
  <w:style w:type="paragraph" w:styleId="Sangra2detindependiente">
    <w:name w:val="Body Text Indent 2"/>
    <w:basedOn w:val="Normal"/>
    <w:rsid w:val="001D6523"/>
    <w:pPr>
      <w:ind w:right="51" w:firstLine="1418"/>
      <w:jc w:val="both"/>
    </w:pPr>
    <w:rPr>
      <w:rFonts w:ascii="Arial" w:hAnsi="Arial" w:cs="Arial"/>
      <w:szCs w:val="20"/>
      <w:lang w:val="es-ES_tradnl"/>
    </w:rPr>
  </w:style>
  <w:style w:type="paragraph" w:styleId="Textoindependiente">
    <w:name w:val="Body Text"/>
    <w:basedOn w:val="Normal"/>
    <w:rsid w:val="001D6523"/>
    <w:pPr>
      <w:tabs>
        <w:tab w:val="left" w:pos="2340"/>
      </w:tabs>
    </w:pPr>
    <w:rPr>
      <w:rFonts w:ascii="Arial" w:hAnsi="Arial" w:cs="Arial"/>
      <w:sz w:val="22"/>
    </w:rPr>
  </w:style>
  <w:style w:type="paragraph" w:styleId="Textoindependiente3">
    <w:name w:val="Body Text 3"/>
    <w:basedOn w:val="Normal"/>
    <w:rsid w:val="001D6523"/>
    <w:pPr>
      <w:tabs>
        <w:tab w:val="left" w:pos="2340"/>
      </w:tabs>
      <w:jc w:val="both"/>
    </w:pPr>
    <w:rPr>
      <w:rFonts w:ascii="Arial" w:hAnsi="Arial" w:cs="Arial"/>
      <w:b/>
      <w:bCs/>
      <w:sz w:val="22"/>
    </w:rPr>
  </w:style>
  <w:style w:type="paragraph" w:styleId="Textonotapie">
    <w:name w:val="footnote text"/>
    <w:aliases w:val="Footnote Text Char Char Char Char,Footnote Text Char Char Char,Footnote Text.SES,Footnote Text Char Char Char Char Char,Footnote reference,FA Fu,Footnote Text Char,Footnote Text Char Char Char Char Char Char Char Char"/>
    <w:basedOn w:val="Normal"/>
    <w:link w:val="TextonotapieCar"/>
    <w:uiPriority w:val="99"/>
    <w:rsid w:val="001D6523"/>
    <w:rPr>
      <w:sz w:val="20"/>
      <w:szCs w:val="20"/>
    </w:rPr>
  </w:style>
  <w:style w:type="character" w:styleId="Refdenotaalpie">
    <w:name w:val="footnote reference"/>
    <w:uiPriority w:val="99"/>
    <w:rsid w:val="001D6523"/>
    <w:rPr>
      <w:vertAlign w:val="superscript"/>
    </w:rPr>
  </w:style>
  <w:style w:type="paragraph" w:styleId="Encabezado">
    <w:name w:val="header"/>
    <w:basedOn w:val="Normal"/>
    <w:link w:val="EncabezadoCar"/>
    <w:rsid w:val="001D6523"/>
    <w:pPr>
      <w:tabs>
        <w:tab w:val="center" w:pos="4419"/>
        <w:tab w:val="right" w:pos="8838"/>
      </w:tabs>
    </w:pPr>
  </w:style>
  <w:style w:type="paragraph" w:styleId="Piedepgina">
    <w:name w:val="footer"/>
    <w:basedOn w:val="Normal"/>
    <w:link w:val="PiedepginaCar"/>
    <w:uiPriority w:val="99"/>
    <w:rsid w:val="001D6523"/>
    <w:pPr>
      <w:tabs>
        <w:tab w:val="center" w:pos="4419"/>
        <w:tab w:val="right" w:pos="8838"/>
      </w:tabs>
    </w:pPr>
  </w:style>
  <w:style w:type="character" w:styleId="Nmerodepgina">
    <w:name w:val="page number"/>
    <w:basedOn w:val="Fuentedeprrafopredeter"/>
    <w:rsid w:val="001D6523"/>
  </w:style>
  <w:style w:type="paragraph" w:styleId="Sangradetextonormal">
    <w:name w:val="Body Text Indent"/>
    <w:basedOn w:val="Normal"/>
    <w:rsid w:val="001D6523"/>
    <w:pPr>
      <w:spacing w:before="120" w:after="120" w:line="360" w:lineRule="auto"/>
      <w:ind w:firstLine="709"/>
      <w:jc w:val="both"/>
    </w:pPr>
    <w:rPr>
      <w:rFonts w:ascii="Arial" w:hAnsi="Arial"/>
      <w:sz w:val="22"/>
    </w:rPr>
  </w:style>
  <w:style w:type="paragraph" w:styleId="Sangra3detindependiente">
    <w:name w:val="Body Text Indent 3"/>
    <w:basedOn w:val="Normal"/>
    <w:rsid w:val="001D6523"/>
    <w:pPr>
      <w:spacing w:line="360" w:lineRule="auto"/>
      <w:ind w:firstLine="2268"/>
      <w:jc w:val="both"/>
    </w:pPr>
    <w:rPr>
      <w:rFonts w:ascii="Arial" w:hAnsi="Arial" w:cs="Arial"/>
      <w:sz w:val="22"/>
    </w:rPr>
  </w:style>
  <w:style w:type="paragraph" w:styleId="Textodebloque">
    <w:name w:val="Block Text"/>
    <w:basedOn w:val="Normal"/>
    <w:rsid w:val="001D6523"/>
    <w:pPr>
      <w:spacing w:line="360" w:lineRule="auto"/>
      <w:ind w:left="1260" w:right="2000"/>
      <w:jc w:val="both"/>
    </w:pPr>
    <w:rPr>
      <w:rFonts w:ascii="Arial" w:hAnsi="Arial" w:cs="Arial"/>
      <w:snapToGrid w:val="0"/>
      <w:sz w:val="22"/>
    </w:rPr>
  </w:style>
  <w:style w:type="paragraph" w:styleId="Textocomentario">
    <w:name w:val="annotation text"/>
    <w:basedOn w:val="Normal"/>
    <w:semiHidden/>
    <w:rsid w:val="001D6523"/>
    <w:rPr>
      <w:sz w:val="20"/>
      <w:szCs w:val="20"/>
    </w:rPr>
  </w:style>
  <w:style w:type="character" w:styleId="Refdecomentario">
    <w:name w:val="annotation reference"/>
    <w:semiHidden/>
    <w:rsid w:val="001D6523"/>
    <w:rPr>
      <w:sz w:val="16"/>
    </w:rPr>
  </w:style>
  <w:style w:type="paragraph" w:customStyle="1" w:styleId="personal">
    <w:name w:val="personal"/>
    <w:basedOn w:val="Normal"/>
    <w:rsid w:val="001D6523"/>
    <w:pPr>
      <w:jc w:val="both"/>
    </w:pPr>
    <w:rPr>
      <w:rFonts w:ascii="Arial" w:hAnsi="Arial"/>
      <w:spacing w:val="6"/>
      <w:szCs w:val="20"/>
      <w:lang w:val="es-ES_tradnl"/>
    </w:rPr>
  </w:style>
  <w:style w:type="paragraph" w:styleId="Textodeglobo">
    <w:name w:val="Balloon Text"/>
    <w:basedOn w:val="Normal"/>
    <w:link w:val="TextodegloboCar"/>
    <w:rsid w:val="00366BE4"/>
    <w:rPr>
      <w:rFonts w:ascii="Tahoma" w:hAnsi="Tahoma" w:cs="Tahoma"/>
      <w:sz w:val="16"/>
      <w:szCs w:val="16"/>
    </w:rPr>
  </w:style>
  <w:style w:type="character" w:styleId="Hipervnculo">
    <w:name w:val="Hyperlink"/>
    <w:uiPriority w:val="99"/>
    <w:rsid w:val="00F02CD8"/>
    <w:rPr>
      <w:color w:val="0000FF"/>
      <w:u w:val="single"/>
    </w:rPr>
  </w:style>
  <w:style w:type="paragraph" w:styleId="TDC1">
    <w:name w:val="toc 1"/>
    <w:basedOn w:val="Normal"/>
    <w:next w:val="Normal"/>
    <w:autoRedefine/>
    <w:uiPriority w:val="39"/>
    <w:rsid w:val="00272722"/>
    <w:pPr>
      <w:spacing w:before="120" w:after="120"/>
    </w:pPr>
    <w:rPr>
      <w:rFonts w:ascii="Calibri" w:hAnsi="Calibri"/>
      <w:b/>
      <w:bCs/>
      <w:caps/>
      <w:sz w:val="20"/>
      <w:szCs w:val="20"/>
    </w:rPr>
  </w:style>
  <w:style w:type="paragraph" w:styleId="TDC2">
    <w:name w:val="toc 2"/>
    <w:basedOn w:val="Normal"/>
    <w:next w:val="Normal"/>
    <w:autoRedefine/>
    <w:uiPriority w:val="39"/>
    <w:rsid w:val="00272722"/>
    <w:pPr>
      <w:ind w:left="240"/>
    </w:pPr>
    <w:rPr>
      <w:rFonts w:ascii="Calibri" w:hAnsi="Calibri"/>
      <w:smallCaps/>
      <w:sz w:val="20"/>
      <w:szCs w:val="20"/>
    </w:rPr>
  </w:style>
  <w:style w:type="paragraph" w:styleId="TDC3">
    <w:name w:val="toc 3"/>
    <w:basedOn w:val="Normal"/>
    <w:next w:val="Normal"/>
    <w:autoRedefine/>
    <w:uiPriority w:val="39"/>
    <w:rsid w:val="00272722"/>
    <w:pPr>
      <w:ind w:left="480"/>
    </w:pPr>
    <w:rPr>
      <w:rFonts w:ascii="Calibri" w:hAnsi="Calibri"/>
      <w:i/>
      <w:iCs/>
      <w:sz w:val="20"/>
      <w:szCs w:val="20"/>
    </w:rPr>
  </w:style>
  <w:style w:type="paragraph" w:styleId="TDC4">
    <w:name w:val="toc 4"/>
    <w:basedOn w:val="Normal"/>
    <w:next w:val="Normal"/>
    <w:autoRedefine/>
    <w:semiHidden/>
    <w:rsid w:val="00272722"/>
    <w:pPr>
      <w:ind w:left="720"/>
    </w:pPr>
    <w:rPr>
      <w:rFonts w:ascii="Calibri" w:hAnsi="Calibri"/>
      <w:sz w:val="18"/>
      <w:szCs w:val="18"/>
    </w:rPr>
  </w:style>
  <w:style w:type="paragraph" w:styleId="TDC5">
    <w:name w:val="toc 5"/>
    <w:basedOn w:val="Normal"/>
    <w:next w:val="Normal"/>
    <w:autoRedefine/>
    <w:semiHidden/>
    <w:rsid w:val="00272722"/>
    <w:pPr>
      <w:ind w:left="960"/>
    </w:pPr>
    <w:rPr>
      <w:rFonts w:ascii="Calibri" w:hAnsi="Calibri"/>
      <w:sz w:val="18"/>
      <w:szCs w:val="18"/>
    </w:rPr>
  </w:style>
  <w:style w:type="paragraph" w:styleId="TDC6">
    <w:name w:val="toc 6"/>
    <w:basedOn w:val="Normal"/>
    <w:next w:val="Normal"/>
    <w:autoRedefine/>
    <w:semiHidden/>
    <w:rsid w:val="00272722"/>
    <w:pPr>
      <w:ind w:left="1200"/>
    </w:pPr>
    <w:rPr>
      <w:rFonts w:ascii="Calibri" w:hAnsi="Calibri"/>
      <w:sz w:val="18"/>
      <w:szCs w:val="18"/>
    </w:rPr>
  </w:style>
  <w:style w:type="paragraph" w:styleId="TDC7">
    <w:name w:val="toc 7"/>
    <w:basedOn w:val="Normal"/>
    <w:next w:val="Normal"/>
    <w:autoRedefine/>
    <w:semiHidden/>
    <w:rsid w:val="00272722"/>
    <w:pPr>
      <w:ind w:left="1440"/>
    </w:pPr>
    <w:rPr>
      <w:rFonts w:ascii="Calibri" w:hAnsi="Calibri"/>
      <w:sz w:val="18"/>
      <w:szCs w:val="18"/>
    </w:rPr>
  </w:style>
  <w:style w:type="paragraph" w:styleId="TDC8">
    <w:name w:val="toc 8"/>
    <w:basedOn w:val="Normal"/>
    <w:next w:val="Normal"/>
    <w:autoRedefine/>
    <w:semiHidden/>
    <w:rsid w:val="00272722"/>
    <w:pPr>
      <w:ind w:left="1680"/>
    </w:pPr>
    <w:rPr>
      <w:rFonts w:ascii="Calibri" w:hAnsi="Calibri"/>
      <w:sz w:val="18"/>
      <w:szCs w:val="18"/>
    </w:rPr>
  </w:style>
  <w:style w:type="paragraph" w:styleId="TDC9">
    <w:name w:val="toc 9"/>
    <w:basedOn w:val="Normal"/>
    <w:next w:val="Normal"/>
    <w:autoRedefine/>
    <w:semiHidden/>
    <w:rsid w:val="00272722"/>
    <w:pPr>
      <w:ind w:left="1920"/>
    </w:pPr>
    <w:rPr>
      <w:rFonts w:ascii="Calibri" w:hAnsi="Calibri"/>
      <w:sz w:val="18"/>
      <w:szCs w:val="18"/>
    </w:rPr>
  </w:style>
  <w:style w:type="paragraph" w:styleId="TtulodeTDC">
    <w:name w:val="TOC Heading"/>
    <w:basedOn w:val="Ttulo1"/>
    <w:next w:val="Normal"/>
    <w:uiPriority w:val="39"/>
    <w:unhideWhenUsed/>
    <w:qFormat/>
    <w:rsid w:val="00D826F1"/>
    <w:pPr>
      <w:keepLines/>
      <w:spacing w:before="240" w:line="259" w:lineRule="auto"/>
      <w:jc w:val="left"/>
      <w:outlineLvl w:val="9"/>
    </w:pPr>
    <w:rPr>
      <w:rFonts w:ascii="Calibri Light" w:hAnsi="Calibri Light" w:cs="Times New Roman"/>
      <w:b w:val="0"/>
      <w:bCs w:val="0"/>
      <w:color w:val="2E74B5"/>
      <w:sz w:val="32"/>
      <w:szCs w:val="32"/>
      <w:lang w:val="es-CL" w:eastAsia="es-CL"/>
    </w:rPr>
  </w:style>
  <w:style w:type="character" w:styleId="Hipervnculovisitado">
    <w:name w:val="FollowedHyperlink"/>
    <w:rsid w:val="00AA5C5F"/>
    <w:rPr>
      <w:color w:val="954F72"/>
      <w:u w:val="single"/>
    </w:rPr>
  </w:style>
  <w:style w:type="table" w:customStyle="1" w:styleId="Tabladelista1clara-nfasis31">
    <w:name w:val="Tabla de lista 1 clara - Énfasis 31"/>
    <w:basedOn w:val="Tablanormal"/>
    <w:uiPriority w:val="46"/>
    <w:rsid w:val="00FB5A76"/>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CharChar">
    <w:name w:val="Char Char"/>
    <w:basedOn w:val="Normal"/>
    <w:rsid w:val="00F708B9"/>
    <w:pPr>
      <w:spacing w:after="160" w:line="240" w:lineRule="exact"/>
      <w:ind w:left="500"/>
      <w:jc w:val="center"/>
    </w:pPr>
    <w:rPr>
      <w:rFonts w:ascii="Verdana" w:hAnsi="Verdana" w:cs="Arial"/>
      <w:b/>
      <w:sz w:val="20"/>
      <w:szCs w:val="20"/>
      <w:lang w:val="es-VE" w:eastAsia="en-US"/>
    </w:rPr>
  </w:style>
  <w:style w:type="character" w:customStyle="1" w:styleId="Ttulo3Car">
    <w:name w:val="Título 3 Car"/>
    <w:link w:val="Ttulo3"/>
    <w:rsid w:val="00056AFD"/>
    <w:rPr>
      <w:b/>
      <w:sz w:val="24"/>
      <w:lang w:val="es-ES" w:eastAsia="es-ES"/>
    </w:rPr>
  </w:style>
  <w:style w:type="character" w:customStyle="1" w:styleId="EncabezadoCar">
    <w:name w:val="Encabezado Car"/>
    <w:link w:val="Encabezado"/>
    <w:uiPriority w:val="99"/>
    <w:rsid w:val="007E4148"/>
    <w:rPr>
      <w:sz w:val="24"/>
      <w:szCs w:val="24"/>
      <w:lang w:val="es-ES" w:eastAsia="es-ES"/>
    </w:rPr>
  </w:style>
  <w:style w:type="character" w:customStyle="1" w:styleId="Textoindependiente2Car">
    <w:name w:val="Texto independiente 2 Car"/>
    <w:link w:val="Textoindependiente2"/>
    <w:rsid w:val="00E32FC6"/>
    <w:rPr>
      <w:rFonts w:ascii="Arial" w:hAnsi="Arial" w:cs="Arial"/>
      <w:sz w:val="22"/>
      <w:szCs w:val="24"/>
      <w:lang w:val="es-ES" w:eastAsia="es-ES"/>
    </w:rPr>
  </w:style>
  <w:style w:type="paragraph" w:styleId="Sinespaciado">
    <w:name w:val="No Spacing"/>
    <w:uiPriority w:val="1"/>
    <w:qFormat/>
    <w:rsid w:val="00974678"/>
    <w:rPr>
      <w:rFonts w:ascii="Calibri" w:eastAsia="Calibri" w:hAnsi="Calibri"/>
      <w:sz w:val="22"/>
      <w:szCs w:val="22"/>
      <w:lang w:eastAsia="en-US"/>
    </w:rPr>
  </w:style>
  <w:style w:type="paragraph" w:styleId="Prrafodelista">
    <w:name w:val="List Paragraph"/>
    <w:aliases w:val="Bullet List,FooterText,numbered,List Paragraph1,Paragraphe de liste1,Bulletr List Paragraph,列出段落,列出段落1,List Paragraph2,List Paragraph21,Listeafsnit1,Parágrafo da Lista1,リスト段落1,Bullet list,List Paragraph11,Listenabsatz1"/>
    <w:basedOn w:val="Normal"/>
    <w:link w:val="PrrafodelistaCar"/>
    <w:uiPriority w:val="34"/>
    <w:qFormat/>
    <w:rsid w:val="0056196E"/>
    <w:pPr>
      <w:spacing w:after="160" w:line="259" w:lineRule="auto"/>
      <w:ind w:left="720"/>
      <w:contextualSpacing/>
    </w:pPr>
    <w:rPr>
      <w:rFonts w:ascii="Calibri" w:eastAsia="Calibri" w:hAnsi="Calibri"/>
      <w:sz w:val="22"/>
      <w:szCs w:val="22"/>
      <w:lang w:val="es-CL" w:eastAsia="en-US"/>
    </w:rPr>
  </w:style>
  <w:style w:type="paragraph" w:customStyle="1" w:styleId="Estilo3">
    <w:name w:val="Estilo3"/>
    <w:basedOn w:val="Normal"/>
    <w:link w:val="Estilo3Car"/>
    <w:qFormat/>
    <w:rsid w:val="00344B7E"/>
    <w:pPr>
      <w:widowControl w:val="0"/>
      <w:autoSpaceDE w:val="0"/>
      <w:autoSpaceDN w:val="0"/>
      <w:adjustRightInd w:val="0"/>
      <w:jc w:val="both"/>
    </w:pPr>
    <w:rPr>
      <w:rFonts w:ascii="Verdana" w:hAnsi="Verdana"/>
      <w:sz w:val="22"/>
      <w:szCs w:val="22"/>
      <w:lang w:val="es-ES_tradnl"/>
    </w:rPr>
  </w:style>
  <w:style w:type="character" w:customStyle="1" w:styleId="Estilo3Car">
    <w:name w:val="Estilo3 Car"/>
    <w:link w:val="Estilo3"/>
    <w:rsid w:val="00344B7E"/>
    <w:rPr>
      <w:rFonts w:ascii="Verdana" w:hAnsi="Verdana"/>
      <w:sz w:val="22"/>
      <w:szCs w:val="22"/>
      <w:lang w:val="es-ES_tradnl" w:eastAsia="es-ES"/>
    </w:rPr>
  </w:style>
  <w:style w:type="character" w:customStyle="1" w:styleId="TextonotapieCar">
    <w:name w:val="Texto nota pie Car"/>
    <w:aliases w:val="Footnote Text Char Char Char Char Car,Footnote Text Char Char Char Car,Footnote Text.SES Car,Footnote Text Char Char Char Char Char Car,Footnote reference Car,FA Fu Car,Footnote Text Char Car"/>
    <w:basedOn w:val="Fuentedeprrafopredeter"/>
    <w:link w:val="Textonotapie"/>
    <w:uiPriority w:val="99"/>
    <w:rsid w:val="00344B7E"/>
    <w:rPr>
      <w:lang w:val="es-ES" w:eastAsia="es-ES"/>
    </w:rPr>
  </w:style>
  <w:style w:type="character" w:customStyle="1" w:styleId="PiedepginaCar">
    <w:name w:val="Pie de página Car"/>
    <w:basedOn w:val="Fuentedeprrafopredeter"/>
    <w:link w:val="Piedepgina"/>
    <w:uiPriority w:val="99"/>
    <w:rsid w:val="006746C7"/>
    <w:rPr>
      <w:sz w:val="24"/>
      <w:szCs w:val="24"/>
      <w:lang w:val="es-ES" w:eastAsia="es-ES"/>
    </w:rPr>
  </w:style>
  <w:style w:type="character" w:customStyle="1" w:styleId="TextodegloboCar">
    <w:name w:val="Texto de globo Car"/>
    <w:basedOn w:val="Fuentedeprrafopredeter"/>
    <w:link w:val="Textodeglobo"/>
    <w:uiPriority w:val="99"/>
    <w:semiHidden/>
    <w:rsid w:val="006746C7"/>
    <w:rPr>
      <w:rFonts w:ascii="Tahoma" w:hAnsi="Tahoma" w:cs="Tahoma"/>
      <w:sz w:val="16"/>
      <w:szCs w:val="16"/>
      <w:lang w:val="es-ES" w:eastAsia="es-ES"/>
    </w:rPr>
  </w:style>
  <w:style w:type="table" w:styleId="Tablaconcuadrcula">
    <w:name w:val="Table Grid"/>
    <w:basedOn w:val="Tablanormal"/>
    <w:rsid w:val="006746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B361E0"/>
  </w:style>
  <w:style w:type="table" w:customStyle="1" w:styleId="Tablaconcuadrcula1">
    <w:name w:val="Tabla con cuadrícula1"/>
    <w:basedOn w:val="Tablanormal"/>
    <w:uiPriority w:val="39"/>
    <w:rsid w:val="00B361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globo1">
    <w:name w:val="Texto de globo1"/>
    <w:basedOn w:val="Normal"/>
    <w:next w:val="Textodeglobo"/>
    <w:uiPriority w:val="99"/>
    <w:semiHidden/>
    <w:unhideWhenUsed/>
    <w:rsid w:val="00B361E0"/>
    <w:rPr>
      <w:rFonts w:ascii="Segoe UI" w:hAnsi="Segoe UI" w:cs="Segoe UI"/>
      <w:sz w:val="18"/>
      <w:szCs w:val="18"/>
    </w:rPr>
  </w:style>
  <w:style w:type="paragraph" w:customStyle="1" w:styleId="Encabezado1">
    <w:name w:val="Encabezado1"/>
    <w:basedOn w:val="Normal"/>
    <w:next w:val="Encabezado"/>
    <w:uiPriority w:val="99"/>
    <w:unhideWhenUsed/>
    <w:rsid w:val="00B361E0"/>
    <w:pPr>
      <w:tabs>
        <w:tab w:val="center" w:pos="4419"/>
        <w:tab w:val="right" w:pos="8838"/>
      </w:tabs>
    </w:pPr>
    <w:rPr>
      <w:rFonts w:ascii="Calibri" w:eastAsia="Calibri" w:hAnsi="Calibri"/>
      <w:sz w:val="22"/>
      <w:szCs w:val="22"/>
      <w:lang w:val="es-CL" w:eastAsia="en-US"/>
    </w:rPr>
  </w:style>
  <w:style w:type="paragraph" w:customStyle="1" w:styleId="Piedepgina1">
    <w:name w:val="Pie de página1"/>
    <w:basedOn w:val="Normal"/>
    <w:next w:val="Piedepgina"/>
    <w:uiPriority w:val="99"/>
    <w:unhideWhenUsed/>
    <w:rsid w:val="00B361E0"/>
    <w:pPr>
      <w:tabs>
        <w:tab w:val="center" w:pos="4419"/>
        <w:tab w:val="right" w:pos="8838"/>
      </w:tabs>
    </w:pPr>
    <w:rPr>
      <w:rFonts w:ascii="Calibri" w:eastAsia="Calibri" w:hAnsi="Calibri"/>
      <w:sz w:val="22"/>
      <w:szCs w:val="22"/>
      <w:lang w:val="es-CL" w:eastAsia="en-US"/>
    </w:rPr>
  </w:style>
  <w:style w:type="paragraph" w:customStyle="1" w:styleId="Prrafodelista1">
    <w:name w:val="Párrafo de lista1"/>
    <w:basedOn w:val="Normal"/>
    <w:next w:val="Prrafodelista"/>
    <w:uiPriority w:val="34"/>
    <w:qFormat/>
    <w:rsid w:val="00B361E0"/>
    <w:pPr>
      <w:spacing w:after="160" w:line="259" w:lineRule="auto"/>
      <w:ind w:left="720"/>
      <w:contextualSpacing/>
    </w:pPr>
    <w:rPr>
      <w:rFonts w:ascii="Calibri" w:eastAsia="Calibri" w:hAnsi="Calibri"/>
      <w:sz w:val="22"/>
      <w:szCs w:val="22"/>
      <w:lang w:val="es-CL" w:eastAsia="en-US"/>
    </w:rPr>
  </w:style>
  <w:style w:type="paragraph" w:customStyle="1" w:styleId="Textonotapie1">
    <w:name w:val="Texto nota pie1"/>
    <w:basedOn w:val="Normal"/>
    <w:next w:val="Textonotapie"/>
    <w:uiPriority w:val="99"/>
    <w:semiHidden/>
    <w:unhideWhenUsed/>
    <w:rsid w:val="00B361E0"/>
    <w:rPr>
      <w:sz w:val="20"/>
      <w:szCs w:val="20"/>
    </w:rPr>
  </w:style>
  <w:style w:type="character" w:customStyle="1" w:styleId="TextodegloboCar1">
    <w:name w:val="Texto de globo Car1"/>
    <w:basedOn w:val="Fuentedeprrafopredeter"/>
    <w:rsid w:val="00B361E0"/>
    <w:rPr>
      <w:rFonts w:ascii="Tahoma" w:hAnsi="Tahoma" w:cs="Tahoma"/>
      <w:sz w:val="16"/>
      <w:szCs w:val="16"/>
    </w:rPr>
  </w:style>
  <w:style w:type="character" w:customStyle="1" w:styleId="EncabezadoCar1">
    <w:name w:val="Encabezado Car1"/>
    <w:basedOn w:val="Fuentedeprrafopredeter"/>
    <w:rsid w:val="00B361E0"/>
    <w:rPr>
      <w:sz w:val="24"/>
      <w:szCs w:val="24"/>
    </w:rPr>
  </w:style>
  <w:style w:type="character" w:customStyle="1" w:styleId="PiedepginaCar1">
    <w:name w:val="Pie de página Car1"/>
    <w:basedOn w:val="Fuentedeprrafopredeter"/>
    <w:rsid w:val="00B361E0"/>
    <w:rPr>
      <w:sz w:val="24"/>
      <w:szCs w:val="24"/>
    </w:rPr>
  </w:style>
  <w:style w:type="character" w:customStyle="1" w:styleId="TextonotapieCar1">
    <w:name w:val="Texto nota pie Car1"/>
    <w:basedOn w:val="Fuentedeprrafopredeter"/>
    <w:rsid w:val="00B361E0"/>
  </w:style>
  <w:style w:type="character" w:customStyle="1" w:styleId="Ttulo1Car">
    <w:name w:val="Título 1 Car"/>
    <w:basedOn w:val="Fuentedeprrafopredeter"/>
    <w:link w:val="Ttulo1"/>
    <w:rsid w:val="00840AF5"/>
    <w:rPr>
      <w:rFonts w:ascii="Arial" w:hAnsi="Arial" w:cs="Arial"/>
      <w:b/>
      <w:bCs/>
      <w:sz w:val="24"/>
      <w:szCs w:val="24"/>
      <w:lang w:val="es-ES" w:eastAsia="es-ES"/>
    </w:rPr>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リスト段落1 Car"/>
    <w:link w:val="Prrafodelista"/>
    <w:uiPriority w:val="34"/>
    <w:qFormat/>
    <w:locked/>
    <w:rsid w:val="00215D5D"/>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829622">
      <w:bodyDiv w:val="1"/>
      <w:marLeft w:val="0"/>
      <w:marRight w:val="0"/>
      <w:marTop w:val="0"/>
      <w:marBottom w:val="0"/>
      <w:divBdr>
        <w:top w:val="none" w:sz="0" w:space="0" w:color="auto"/>
        <w:left w:val="none" w:sz="0" w:space="0" w:color="auto"/>
        <w:bottom w:val="none" w:sz="0" w:space="0" w:color="auto"/>
        <w:right w:val="none" w:sz="0" w:space="0" w:color="auto"/>
      </w:divBdr>
    </w:div>
    <w:div w:id="750664770">
      <w:bodyDiv w:val="1"/>
      <w:marLeft w:val="0"/>
      <w:marRight w:val="0"/>
      <w:marTop w:val="0"/>
      <w:marBottom w:val="0"/>
      <w:divBdr>
        <w:top w:val="none" w:sz="0" w:space="0" w:color="auto"/>
        <w:left w:val="none" w:sz="0" w:space="0" w:color="auto"/>
        <w:bottom w:val="none" w:sz="0" w:space="0" w:color="auto"/>
        <w:right w:val="none" w:sz="0" w:space="0" w:color="auto"/>
      </w:divBdr>
    </w:div>
    <w:div w:id="1050616222">
      <w:bodyDiv w:val="1"/>
      <w:marLeft w:val="0"/>
      <w:marRight w:val="0"/>
      <w:marTop w:val="0"/>
      <w:marBottom w:val="0"/>
      <w:divBdr>
        <w:top w:val="none" w:sz="0" w:space="0" w:color="auto"/>
        <w:left w:val="none" w:sz="0" w:space="0" w:color="auto"/>
        <w:bottom w:val="none" w:sz="0" w:space="0" w:color="auto"/>
        <w:right w:val="none" w:sz="0" w:space="0" w:color="auto"/>
      </w:divBdr>
    </w:div>
    <w:div w:id="1226405936">
      <w:bodyDiv w:val="1"/>
      <w:marLeft w:val="0"/>
      <w:marRight w:val="0"/>
      <w:marTop w:val="0"/>
      <w:marBottom w:val="0"/>
      <w:divBdr>
        <w:top w:val="none" w:sz="0" w:space="0" w:color="auto"/>
        <w:left w:val="none" w:sz="0" w:space="0" w:color="auto"/>
        <w:bottom w:val="none" w:sz="0" w:space="0" w:color="auto"/>
        <w:right w:val="none" w:sz="0" w:space="0" w:color="auto"/>
      </w:divBdr>
    </w:div>
    <w:div w:id="1237595150">
      <w:bodyDiv w:val="1"/>
      <w:marLeft w:val="0"/>
      <w:marRight w:val="0"/>
      <w:marTop w:val="0"/>
      <w:marBottom w:val="0"/>
      <w:divBdr>
        <w:top w:val="none" w:sz="0" w:space="0" w:color="auto"/>
        <w:left w:val="none" w:sz="0" w:space="0" w:color="auto"/>
        <w:bottom w:val="none" w:sz="0" w:space="0" w:color="auto"/>
        <w:right w:val="none" w:sz="0" w:space="0" w:color="auto"/>
      </w:divBdr>
    </w:div>
    <w:div w:id="1263761268">
      <w:bodyDiv w:val="1"/>
      <w:marLeft w:val="0"/>
      <w:marRight w:val="0"/>
      <w:marTop w:val="0"/>
      <w:marBottom w:val="0"/>
      <w:divBdr>
        <w:top w:val="none" w:sz="0" w:space="0" w:color="auto"/>
        <w:left w:val="none" w:sz="0" w:space="0" w:color="auto"/>
        <w:bottom w:val="none" w:sz="0" w:space="0" w:color="auto"/>
        <w:right w:val="none" w:sz="0" w:space="0" w:color="auto"/>
      </w:divBdr>
    </w:div>
    <w:div w:id="1278413608">
      <w:bodyDiv w:val="1"/>
      <w:marLeft w:val="0"/>
      <w:marRight w:val="0"/>
      <w:marTop w:val="0"/>
      <w:marBottom w:val="0"/>
      <w:divBdr>
        <w:top w:val="none" w:sz="0" w:space="0" w:color="auto"/>
        <w:left w:val="none" w:sz="0" w:space="0" w:color="auto"/>
        <w:bottom w:val="none" w:sz="0" w:space="0" w:color="auto"/>
        <w:right w:val="none" w:sz="0" w:space="0" w:color="auto"/>
      </w:divBdr>
    </w:div>
    <w:div w:id="1549993799">
      <w:bodyDiv w:val="1"/>
      <w:marLeft w:val="0"/>
      <w:marRight w:val="0"/>
      <w:marTop w:val="0"/>
      <w:marBottom w:val="0"/>
      <w:divBdr>
        <w:top w:val="none" w:sz="0" w:space="0" w:color="auto"/>
        <w:left w:val="none" w:sz="0" w:space="0" w:color="auto"/>
        <w:bottom w:val="none" w:sz="0" w:space="0" w:color="auto"/>
        <w:right w:val="none" w:sz="0" w:space="0" w:color="auto"/>
      </w:divBdr>
    </w:div>
    <w:div w:id="1564872808">
      <w:bodyDiv w:val="1"/>
      <w:marLeft w:val="0"/>
      <w:marRight w:val="0"/>
      <w:marTop w:val="0"/>
      <w:marBottom w:val="0"/>
      <w:divBdr>
        <w:top w:val="none" w:sz="0" w:space="0" w:color="auto"/>
        <w:left w:val="none" w:sz="0" w:space="0" w:color="auto"/>
        <w:bottom w:val="none" w:sz="0" w:space="0" w:color="auto"/>
        <w:right w:val="none" w:sz="0" w:space="0" w:color="auto"/>
      </w:divBdr>
    </w:div>
    <w:div w:id="1589776831">
      <w:bodyDiv w:val="1"/>
      <w:marLeft w:val="0"/>
      <w:marRight w:val="0"/>
      <w:marTop w:val="0"/>
      <w:marBottom w:val="0"/>
      <w:divBdr>
        <w:top w:val="none" w:sz="0" w:space="0" w:color="auto"/>
        <w:left w:val="none" w:sz="0" w:space="0" w:color="auto"/>
        <w:bottom w:val="none" w:sz="0" w:space="0" w:color="auto"/>
        <w:right w:val="none" w:sz="0" w:space="0" w:color="auto"/>
      </w:divBdr>
    </w:div>
    <w:div w:id="1873296920">
      <w:bodyDiv w:val="1"/>
      <w:marLeft w:val="0"/>
      <w:marRight w:val="0"/>
      <w:marTop w:val="0"/>
      <w:marBottom w:val="0"/>
      <w:divBdr>
        <w:top w:val="none" w:sz="0" w:space="0" w:color="auto"/>
        <w:left w:val="none" w:sz="0" w:space="0" w:color="auto"/>
        <w:bottom w:val="none" w:sz="0" w:space="0" w:color="auto"/>
        <w:right w:val="none" w:sz="0" w:space="0" w:color="auto"/>
      </w:divBdr>
    </w:div>
    <w:div w:id="2079593401">
      <w:bodyDiv w:val="1"/>
      <w:marLeft w:val="0"/>
      <w:marRight w:val="0"/>
      <w:marTop w:val="0"/>
      <w:marBottom w:val="0"/>
      <w:divBdr>
        <w:top w:val="none" w:sz="0" w:space="0" w:color="auto"/>
        <w:left w:val="none" w:sz="0" w:space="0" w:color="auto"/>
        <w:bottom w:val="none" w:sz="0" w:space="0" w:color="auto"/>
        <w:right w:val="none" w:sz="0" w:space="0" w:color="auto"/>
      </w:divBdr>
    </w:div>
    <w:div w:id="210233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E6F31-7788-4AAC-AFEC-8A1FE480A71B}">
  <ds:schemaRefs>
    <ds:schemaRef ds:uri="http://schemas.microsoft.com/sharepoint/v3/contenttype/forms"/>
  </ds:schemaRefs>
</ds:datastoreItem>
</file>

<file path=customXml/itemProps2.xml><?xml version="1.0" encoding="utf-8"?>
<ds:datastoreItem xmlns:ds="http://schemas.openxmlformats.org/officeDocument/2006/customXml" ds:itemID="{059078A7-A16F-4E0A-878E-BE49CDE36444}">
  <ds:schemaRefs>
    <ds:schemaRef ds:uri="http://schemas.microsoft.com/office/2006/metadata/properties"/>
  </ds:schemaRefs>
</ds:datastoreItem>
</file>

<file path=customXml/itemProps3.xml><?xml version="1.0" encoding="utf-8"?>
<ds:datastoreItem xmlns:ds="http://schemas.openxmlformats.org/officeDocument/2006/customXml" ds:itemID="{09EE9523-126D-40F0-AB13-A8AD7ADA8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E618D58-1645-4DDB-8E4A-DEB37A12A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3713</Words>
  <Characters>20427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INFORME DE LA COMISIÓN DE CONSTITUCIÓN, LEGISLACIÓN Y JUSTICIA RECAIDO EN EL PROYECTO DE LEY QUE ESTABLECE UN SISTEMA DE REGUL</vt:lpstr>
    </vt:vector>
  </TitlesOfParts>
  <Company>Camara de Diputados</Company>
  <LinksUpToDate>false</LinksUpToDate>
  <CharactersWithSpaces>24092</CharactersWithSpaces>
  <SharedDoc>false</SharedDoc>
  <HLinks>
    <vt:vector size="126" baseType="variant">
      <vt:variant>
        <vt:i4>1376312</vt:i4>
      </vt:variant>
      <vt:variant>
        <vt:i4>122</vt:i4>
      </vt:variant>
      <vt:variant>
        <vt:i4>0</vt:i4>
      </vt:variant>
      <vt:variant>
        <vt:i4>5</vt:i4>
      </vt:variant>
      <vt:variant>
        <vt:lpwstr/>
      </vt:variant>
      <vt:variant>
        <vt:lpwstr>_Toc499549174</vt:lpwstr>
      </vt:variant>
      <vt:variant>
        <vt:i4>1376312</vt:i4>
      </vt:variant>
      <vt:variant>
        <vt:i4>116</vt:i4>
      </vt:variant>
      <vt:variant>
        <vt:i4>0</vt:i4>
      </vt:variant>
      <vt:variant>
        <vt:i4>5</vt:i4>
      </vt:variant>
      <vt:variant>
        <vt:lpwstr/>
      </vt:variant>
      <vt:variant>
        <vt:lpwstr>_Toc499549173</vt:lpwstr>
      </vt:variant>
      <vt:variant>
        <vt:i4>1376312</vt:i4>
      </vt:variant>
      <vt:variant>
        <vt:i4>110</vt:i4>
      </vt:variant>
      <vt:variant>
        <vt:i4>0</vt:i4>
      </vt:variant>
      <vt:variant>
        <vt:i4>5</vt:i4>
      </vt:variant>
      <vt:variant>
        <vt:lpwstr/>
      </vt:variant>
      <vt:variant>
        <vt:lpwstr>_Toc499549172</vt:lpwstr>
      </vt:variant>
      <vt:variant>
        <vt:i4>1376312</vt:i4>
      </vt:variant>
      <vt:variant>
        <vt:i4>104</vt:i4>
      </vt:variant>
      <vt:variant>
        <vt:i4>0</vt:i4>
      </vt:variant>
      <vt:variant>
        <vt:i4>5</vt:i4>
      </vt:variant>
      <vt:variant>
        <vt:lpwstr/>
      </vt:variant>
      <vt:variant>
        <vt:lpwstr>_Toc499549171</vt:lpwstr>
      </vt:variant>
      <vt:variant>
        <vt:i4>1376312</vt:i4>
      </vt:variant>
      <vt:variant>
        <vt:i4>98</vt:i4>
      </vt:variant>
      <vt:variant>
        <vt:i4>0</vt:i4>
      </vt:variant>
      <vt:variant>
        <vt:i4>5</vt:i4>
      </vt:variant>
      <vt:variant>
        <vt:lpwstr/>
      </vt:variant>
      <vt:variant>
        <vt:lpwstr>_Toc499549170</vt:lpwstr>
      </vt:variant>
      <vt:variant>
        <vt:i4>1310776</vt:i4>
      </vt:variant>
      <vt:variant>
        <vt:i4>92</vt:i4>
      </vt:variant>
      <vt:variant>
        <vt:i4>0</vt:i4>
      </vt:variant>
      <vt:variant>
        <vt:i4>5</vt:i4>
      </vt:variant>
      <vt:variant>
        <vt:lpwstr/>
      </vt:variant>
      <vt:variant>
        <vt:lpwstr>_Toc499549169</vt:lpwstr>
      </vt:variant>
      <vt:variant>
        <vt:i4>1310776</vt:i4>
      </vt:variant>
      <vt:variant>
        <vt:i4>86</vt:i4>
      </vt:variant>
      <vt:variant>
        <vt:i4>0</vt:i4>
      </vt:variant>
      <vt:variant>
        <vt:i4>5</vt:i4>
      </vt:variant>
      <vt:variant>
        <vt:lpwstr/>
      </vt:variant>
      <vt:variant>
        <vt:lpwstr>_Toc499549168</vt:lpwstr>
      </vt:variant>
      <vt:variant>
        <vt:i4>1310776</vt:i4>
      </vt:variant>
      <vt:variant>
        <vt:i4>80</vt:i4>
      </vt:variant>
      <vt:variant>
        <vt:i4>0</vt:i4>
      </vt:variant>
      <vt:variant>
        <vt:i4>5</vt:i4>
      </vt:variant>
      <vt:variant>
        <vt:lpwstr/>
      </vt:variant>
      <vt:variant>
        <vt:lpwstr>_Toc499549167</vt:lpwstr>
      </vt:variant>
      <vt:variant>
        <vt:i4>1310776</vt:i4>
      </vt:variant>
      <vt:variant>
        <vt:i4>74</vt:i4>
      </vt:variant>
      <vt:variant>
        <vt:i4>0</vt:i4>
      </vt:variant>
      <vt:variant>
        <vt:i4>5</vt:i4>
      </vt:variant>
      <vt:variant>
        <vt:lpwstr/>
      </vt:variant>
      <vt:variant>
        <vt:lpwstr>_Toc499549166</vt:lpwstr>
      </vt:variant>
      <vt:variant>
        <vt:i4>1310776</vt:i4>
      </vt:variant>
      <vt:variant>
        <vt:i4>68</vt:i4>
      </vt:variant>
      <vt:variant>
        <vt:i4>0</vt:i4>
      </vt:variant>
      <vt:variant>
        <vt:i4>5</vt:i4>
      </vt:variant>
      <vt:variant>
        <vt:lpwstr/>
      </vt:variant>
      <vt:variant>
        <vt:lpwstr>_Toc499549165</vt:lpwstr>
      </vt:variant>
      <vt:variant>
        <vt:i4>1310776</vt:i4>
      </vt:variant>
      <vt:variant>
        <vt:i4>62</vt:i4>
      </vt:variant>
      <vt:variant>
        <vt:i4>0</vt:i4>
      </vt:variant>
      <vt:variant>
        <vt:i4>5</vt:i4>
      </vt:variant>
      <vt:variant>
        <vt:lpwstr/>
      </vt:variant>
      <vt:variant>
        <vt:lpwstr>_Toc499549164</vt:lpwstr>
      </vt:variant>
      <vt:variant>
        <vt:i4>1310776</vt:i4>
      </vt:variant>
      <vt:variant>
        <vt:i4>56</vt:i4>
      </vt:variant>
      <vt:variant>
        <vt:i4>0</vt:i4>
      </vt:variant>
      <vt:variant>
        <vt:i4>5</vt:i4>
      </vt:variant>
      <vt:variant>
        <vt:lpwstr/>
      </vt:variant>
      <vt:variant>
        <vt:lpwstr>_Toc499549163</vt:lpwstr>
      </vt:variant>
      <vt:variant>
        <vt:i4>1310776</vt:i4>
      </vt:variant>
      <vt:variant>
        <vt:i4>50</vt:i4>
      </vt:variant>
      <vt:variant>
        <vt:i4>0</vt:i4>
      </vt:variant>
      <vt:variant>
        <vt:i4>5</vt:i4>
      </vt:variant>
      <vt:variant>
        <vt:lpwstr/>
      </vt:variant>
      <vt:variant>
        <vt:lpwstr>_Toc499549162</vt:lpwstr>
      </vt:variant>
      <vt:variant>
        <vt:i4>1310776</vt:i4>
      </vt:variant>
      <vt:variant>
        <vt:i4>44</vt:i4>
      </vt:variant>
      <vt:variant>
        <vt:i4>0</vt:i4>
      </vt:variant>
      <vt:variant>
        <vt:i4>5</vt:i4>
      </vt:variant>
      <vt:variant>
        <vt:lpwstr/>
      </vt:variant>
      <vt:variant>
        <vt:lpwstr>_Toc499549161</vt:lpwstr>
      </vt:variant>
      <vt:variant>
        <vt:i4>1310776</vt:i4>
      </vt:variant>
      <vt:variant>
        <vt:i4>38</vt:i4>
      </vt:variant>
      <vt:variant>
        <vt:i4>0</vt:i4>
      </vt:variant>
      <vt:variant>
        <vt:i4>5</vt:i4>
      </vt:variant>
      <vt:variant>
        <vt:lpwstr/>
      </vt:variant>
      <vt:variant>
        <vt:lpwstr>_Toc499549160</vt:lpwstr>
      </vt:variant>
      <vt:variant>
        <vt:i4>1507384</vt:i4>
      </vt:variant>
      <vt:variant>
        <vt:i4>32</vt:i4>
      </vt:variant>
      <vt:variant>
        <vt:i4>0</vt:i4>
      </vt:variant>
      <vt:variant>
        <vt:i4>5</vt:i4>
      </vt:variant>
      <vt:variant>
        <vt:lpwstr/>
      </vt:variant>
      <vt:variant>
        <vt:lpwstr>_Toc499549159</vt:lpwstr>
      </vt:variant>
      <vt:variant>
        <vt:i4>1507384</vt:i4>
      </vt:variant>
      <vt:variant>
        <vt:i4>26</vt:i4>
      </vt:variant>
      <vt:variant>
        <vt:i4>0</vt:i4>
      </vt:variant>
      <vt:variant>
        <vt:i4>5</vt:i4>
      </vt:variant>
      <vt:variant>
        <vt:lpwstr/>
      </vt:variant>
      <vt:variant>
        <vt:lpwstr>_Toc499549158</vt:lpwstr>
      </vt:variant>
      <vt:variant>
        <vt:i4>1507384</vt:i4>
      </vt:variant>
      <vt:variant>
        <vt:i4>20</vt:i4>
      </vt:variant>
      <vt:variant>
        <vt:i4>0</vt:i4>
      </vt:variant>
      <vt:variant>
        <vt:i4>5</vt:i4>
      </vt:variant>
      <vt:variant>
        <vt:lpwstr/>
      </vt:variant>
      <vt:variant>
        <vt:lpwstr>_Toc499549157</vt:lpwstr>
      </vt:variant>
      <vt:variant>
        <vt:i4>1507384</vt:i4>
      </vt:variant>
      <vt:variant>
        <vt:i4>14</vt:i4>
      </vt:variant>
      <vt:variant>
        <vt:i4>0</vt:i4>
      </vt:variant>
      <vt:variant>
        <vt:i4>5</vt:i4>
      </vt:variant>
      <vt:variant>
        <vt:lpwstr/>
      </vt:variant>
      <vt:variant>
        <vt:lpwstr>_Toc499549156</vt:lpwstr>
      </vt:variant>
      <vt:variant>
        <vt:i4>1507384</vt:i4>
      </vt:variant>
      <vt:variant>
        <vt:i4>8</vt:i4>
      </vt:variant>
      <vt:variant>
        <vt:i4>0</vt:i4>
      </vt:variant>
      <vt:variant>
        <vt:i4>5</vt:i4>
      </vt:variant>
      <vt:variant>
        <vt:lpwstr/>
      </vt:variant>
      <vt:variant>
        <vt:lpwstr>_Toc499549155</vt:lpwstr>
      </vt:variant>
      <vt:variant>
        <vt:i4>1507384</vt:i4>
      </vt:variant>
      <vt:variant>
        <vt:i4>2</vt:i4>
      </vt:variant>
      <vt:variant>
        <vt:i4>0</vt:i4>
      </vt:variant>
      <vt:variant>
        <vt:i4>5</vt:i4>
      </vt:variant>
      <vt:variant>
        <vt:lpwstr/>
      </vt:variant>
      <vt:variant>
        <vt:lpwstr>_Toc499549154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CONSTITUCIÓN, LEGISLACIÓN Y JUSTICIA RECAIDO EN EL PROYECTO DE LEY QUE ESTABLECE UN SISTEMA DE REGUL</dc:title>
  <dc:creator>ASkoknic</dc:creator>
  <cp:lastModifiedBy>Maria Eugenia Silva Ferrer</cp:lastModifiedBy>
  <cp:revision>3</cp:revision>
  <cp:lastPrinted>2016-06-23T14:44:00Z</cp:lastPrinted>
  <dcterms:created xsi:type="dcterms:W3CDTF">2023-08-01T22:27:00Z</dcterms:created>
  <dcterms:modified xsi:type="dcterms:W3CDTF">2023-08-01T22:27:00Z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