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A6E" w:rsidRPr="00880540" w:rsidRDefault="009D1A6E" w:rsidP="009D1A6E">
      <w:pPr>
        <w:pStyle w:val="Encabezado"/>
        <w:spacing w:after="360"/>
        <w:jc w:val="center"/>
        <w:rPr>
          <w:rFonts w:ascii="Arial" w:hAnsi="Arial" w:cs="Arial"/>
          <w:b/>
          <w:i/>
          <w:sz w:val="22"/>
          <w:szCs w:val="22"/>
        </w:rPr>
      </w:pPr>
      <w:r w:rsidRPr="00880540">
        <w:rPr>
          <w:rFonts w:ascii="Arial" w:hAnsi="Arial" w:cs="Arial"/>
          <w:b/>
          <w:sz w:val="22"/>
          <w:szCs w:val="22"/>
        </w:rPr>
        <w:t>PROYECTOS DE LEY PENDIENTES EN LA COMISION DE CIENCIAS Y TECNOLOGÍA</w:t>
      </w:r>
    </w:p>
    <w:tbl>
      <w:tblPr>
        <w:tblW w:w="164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268"/>
        <w:gridCol w:w="2835"/>
        <w:gridCol w:w="5102"/>
        <w:gridCol w:w="5102"/>
      </w:tblGrid>
      <w:tr w:rsidR="00817EF0" w:rsidRPr="00285807" w:rsidTr="00880540">
        <w:trPr>
          <w:cantSplit/>
          <w:trHeight w:val="624"/>
          <w:tblHeader/>
        </w:trPr>
        <w:tc>
          <w:tcPr>
            <w:tcW w:w="1134" w:type="dxa"/>
            <w:tcBorders>
              <w:top w:val="single" w:sz="4" w:space="0" w:color="auto"/>
              <w:left w:val="single" w:sz="4" w:space="0" w:color="auto"/>
              <w:bottom w:val="single" w:sz="4" w:space="0" w:color="auto"/>
              <w:right w:val="single" w:sz="6" w:space="0" w:color="auto"/>
            </w:tcBorders>
            <w:shd w:val="clear" w:color="auto" w:fill="auto"/>
            <w:vAlign w:val="center"/>
            <w:hideMark/>
          </w:tcPr>
          <w:p w:rsidR="00E2415C" w:rsidRPr="00285807" w:rsidRDefault="00E2415C" w:rsidP="006B4B06">
            <w:pPr>
              <w:tabs>
                <w:tab w:val="left" w:pos="3060"/>
              </w:tabs>
              <w:jc w:val="center"/>
              <w:rPr>
                <w:rFonts w:ascii="Arial" w:hAnsi="Arial" w:cs="Arial"/>
                <w:b/>
                <w:snapToGrid w:val="0"/>
                <w:sz w:val="20"/>
                <w:szCs w:val="20"/>
              </w:rPr>
            </w:pPr>
            <w:r w:rsidRPr="00285807">
              <w:rPr>
                <w:rFonts w:ascii="Arial" w:hAnsi="Arial" w:cs="Arial"/>
                <w:b/>
                <w:snapToGrid w:val="0"/>
                <w:sz w:val="20"/>
                <w:szCs w:val="20"/>
              </w:rPr>
              <w:t>Boletín</w:t>
            </w:r>
          </w:p>
          <w:p w:rsidR="00E2415C" w:rsidRPr="00285807" w:rsidRDefault="00E2415C" w:rsidP="006B4B06">
            <w:pPr>
              <w:tabs>
                <w:tab w:val="left" w:pos="3060"/>
              </w:tabs>
              <w:jc w:val="center"/>
              <w:rPr>
                <w:rFonts w:ascii="Arial" w:hAnsi="Arial" w:cs="Arial"/>
                <w:b/>
                <w:snapToGrid w:val="0"/>
                <w:sz w:val="20"/>
                <w:szCs w:val="20"/>
              </w:rPr>
            </w:pPr>
            <w:r w:rsidRPr="00285807">
              <w:rPr>
                <w:rFonts w:ascii="Arial" w:hAnsi="Arial" w:cs="Arial"/>
                <w:b/>
                <w:snapToGrid w:val="0"/>
                <w:sz w:val="20"/>
                <w:szCs w:val="20"/>
              </w:rPr>
              <w:t>Ingreso</w:t>
            </w:r>
          </w:p>
        </w:tc>
        <w:tc>
          <w:tcPr>
            <w:tcW w:w="2268"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E2415C" w:rsidRPr="00285807" w:rsidRDefault="00E2415C" w:rsidP="006B4B06">
            <w:pPr>
              <w:tabs>
                <w:tab w:val="left" w:pos="3060"/>
              </w:tabs>
              <w:jc w:val="center"/>
              <w:rPr>
                <w:rFonts w:ascii="Arial" w:hAnsi="Arial" w:cs="Arial"/>
                <w:b/>
                <w:snapToGrid w:val="0"/>
                <w:sz w:val="20"/>
                <w:szCs w:val="20"/>
              </w:rPr>
            </w:pPr>
            <w:r w:rsidRPr="00285807">
              <w:rPr>
                <w:rFonts w:ascii="Arial" w:hAnsi="Arial" w:cs="Arial"/>
                <w:b/>
                <w:snapToGrid w:val="0"/>
                <w:sz w:val="20"/>
                <w:szCs w:val="20"/>
              </w:rPr>
              <w:t>Origen</w:t>
            </w:r>
          </w:p>
        </w:tc>
        <w:tc>
          <w:tcPr>
            <w:tcW w:w="2835"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E2415C" w:rsidRPr="00285807" w:rsidRDefault="00E2415C" w:rsidP="006B4B06">
            <w:pPr>
              <w:tabs>
                <w:tab w:val="left" w:pos="3060"/>
              </w:tabs>
              <w:jc w:val="center"/>
              <w:rPr>
                <w:rFonts w:ascii="Arial" w:hAnsi="Arial" w:cs="Arial"/>
                <w:sz w:val="20"/>
                <w:szCs w:val="20"/>
              </w:rPr>
            </w:pPr>
            <w:r w:rsidRPr="00285807">
              <w:rPr>
                <w:rFonts w:ascii="Arial" w:hAnsi="Arial" w:cs="Arial"/>
                <w:b/>
                <w:snapToGrid w:val="0"/>
                <w:sz w:val="20"/>
                <w:szCs w:val="20"/>
              </w:rPr>
              <w:t>Materia</w:t>
            </w:r>
          </w:p>
        </w:tc>
        <w:tc>
          <w:tcPr>
            <w:tcW w:w="5102" w:type="dxa"/>
            <w:tcBorders>
              <w:top w:val="single" w:sz="4" w:space="0" w:color="auto"/>
              <w:left w:val="single" w:sz="6" w:space="0" w:color="auto"/>
              <w:bottom w:val="single" w:sz="4" w:space="0" w:color="auto"/>
              <w:right w:val="single" w:sz="6" w:space="0" w:color="auto"/>
            </w:tcBorders>
            <w:vAlign w:val="center"/>
          </w:tcPr>
          <w:p w:rsidR="00E2415C" w:rsidRPr="00285807" w:rsidRDefault="00E2415C" w:rsidP="006B4B06">
            <w:pPr>
              <w:jc w:val="center"/>
              <w:rPr>
                <w:rFonts w:ascii="Arial" w:hAnsi="Arial" w:cs="Arial"/>
                <w:b/>
                <w:snapToGrid w:val="0"/>
                <w:sz w:val="20"/>
                <w:szCs w:val="20"/>
              </w:rPr>
            </w:pPr>
            <w:r w:rsidRPr="00285807">
              <w:rPr>
                <w:rFonts w:ascii="Arial" w:hAnsi="Arial" w:cs="Arial"/>
                <w:b/>
                <w:snapToGrid w:val="0"/>
                <w:sz w:val="20"/>
                <w:szCs w:val="20"/>
              </w:rPr>
              <w:t>Objetivo</w:t>
            </w:r>
          </w:p>
        </w:tc>
        <w:tc>
          <w:tcPr>
            <w:tcW w:w="5102"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E2415C" w:rsidRPr="00285807" w:rsidRDefault="00E2415C" w:rsidP="006B4B06">
            <w:pPr>
              <w:jc w:val="center"/>
              <w:rPr>
                <w:rFonts w:ascii="Arial" w:hAnsi="Arial" w:cs="Arial"/>
                <w:b/>
                <w:snapToGrid w:val="0"/>
                <w:sz w:val="20"/>
                <w:szCs w:val="20"/>
              </w:rPr>
            </w:pPr>
            <w:r w:rsidRPr="00285807">
              <w:rPr>
                <w:rFonts w:ascii="Arial" w:hAnsi="Arial" w:cs="Arial"/>
                <w:b/>
                <w:snapToGrid w:val="0"/>
                <w:sz w:val="20"/>
                <w:szCs w:val="20"/>
              </w:rPr>
              <w:t>Observaciones</w:t>
            </w:r>
          </w:p>
        </w:tc>
      </w:tr>
      <w:tr w:rsidR="00817EF0" w:rsidRPr="00285807" w:rsidTr="00880540">
        <w:tc>
          <w:tcPr>
            <w:tcW w:w="1134" w:type="dxa"/>
            <w:tcBorders>
              <w:top w:val="single" w:sz="4" w:space="0" w:color="auto"/>
              <w:left w:val="single" w:sz="4" w:space="0" w:color="auto"/>
              <w:bottom w:val="single" w:sz="4" w:space="0" w:color="auto"/>
              <w:right w:val="single" w:sz="4" w:space="0" w:color="auto"/>
            </w:tcBorders>
            <w:hideMark/>
          </w:tcPr>
          <w:p w:rsidR="00E2415C" w:rsidRPr="00285807" w:rsidRDefault="00E2415C" w:rsidP="00C6639D">
            <w:pPr>
              <w:tabs>
                <w:tab w:val="left" w:pos="3060"/>
              </w:tabs>
              <w:jc w:val="both"/>
              <w:rPr>
                <w:rFonts w:ascii="Arial" w:hAnsi="Arial" w:cs="Arial"/>
                <w:b/>
                <w:sz w:val="20"/>
                <w:szCs w:val="20"/>
              </w:rPr>
            </w:pPr>
            <w:r w:rsidRPr="00285807">
              <w:rPr>
                <w:rFonts w:ascii="Arial" w:hAnsi="Arial" w:cs="Arial"/>
                <w:b/>
                <w:sz w:val="20"/>
                <w:szCs w:val="20"/>
              </w:rPr>
              <w:t>6153-19</w:t>
            </w:r>
          </w:p>
          <w:p w:rsidR="00E2415C" w:rsidRPr="00285807" w:rsidRDefault="00E2415C" w:rsidP="00C6639D">
            <w:pPr>
              <w:tabs>
                <w:tab w:val="left" w:pos="3060"/>
              </w:tabs>
              <w:jc w:val="both"/>
              <w:rPr>
                <w:rFonts w:ascii="Arial" w:hAnsi="Arial" w:cs="Arial"/>
                <w:sz w:val="20"/>
                <w:szCs w:val="20"/>
              </w:rPr>
            </w:pPr>
            <w:r w:rsidRPr="00285807">
              <w:rPr>
                <w:rFonts w:ascii="Arial" w:hAnsi="Arial" w:cs="Arial"/>
                <w:sz w:val="20"/>
                <w:szCs w:val="20"/>
              </w:rPr>
              <w:t>14 de octubre de 2008</w:t>
            </w:r>
          </w:p>
        </w:tc>
        <w:tc>
          <w:tcPr>
            <w:tcW w:w="2268" w:type="dxa"/>
            <w:tcBorders>
              <w:top w:val="single" w:sz="4" w:space="0" w:color="auto"/>
              <w:left w:val="single" w:sz="4" w:space="0" w:color="auto"/>
              <w:bottom w:val="single" w:sz="4" w:space="0" w:color="auto"/>
              <w:right w:val="single" w:sz="4" w:space="0" w:color="auto"/>
            </w:tcBorders>
            <w:hideMark/>
          </w:tcPr>
          <w:p w:rsidR="00E2415C" w:rsidRPr="00285807" w:rsidRDefault="00E2415C" w:rsidP="009B3B3F">
            <w:pPr>
              <w:pStyle w:val="Textoindependiente2"/>
              <w:tabs>
                <w:tab w:val="left" w:pos="3060"/>
              </w:tabs>
              <w:rPr>
                <w:rFonts w:cs="Arial"/>
                <w:szCs w:val="20"/>
              </w:rPr>
            </w:pPr>
            <w:r w:rsidRPr="00285807">
              <w:rPr>
                <w:rFonts w:cs="Arial"/>
                <w:szCs w:val="20"/>
              </w:rPr>
              <w:t>Moción del diputado</w:t>
            </w:r>
            <w:r w:rsidR="009B3B3F" w:rsidRPr="00285807">
              <w:rPr>
                <w:rFonts w:cs="Arial"/>
                <w:szCs w:val="20"/>
              </w:rPr>
              <w:t xml:space="preserve"> </w:t>
            </w:r>
            <w:proofErr w:type="spellStart"/>
            <w:r w:rsidR="009B3B3F" w:rsidRPr="00285807">
              <w:rPr>
                <w:rFonts w:cs="Arial"/>
                <w:szCs w:val="20"/>
              </w:rPr>
              <w:t>Tucapel</w:t>
            </w:r>
            <w:proofErr w:type="spellEnd"/>
            <w:r w:rsidRPr="00285807">
              <w:rPr>
                <w:rFonts w:cs="Arial"/>
                <w:szCs w:val="20"/>
              </w:rPr>
              <w:t xml:space="preserve"> Jiménez y de los exdiputados </w:t>
            </w:r>
            <w:r w:rsidR="009D1A6E" w:rsidRPr="00285807">
              <w:rPr>
                <w:rFonts w:cs="Arial"/>
                <w:szCs w:val="20"/>
              </w:rPr>
              <w:t xml:space="preserve">Enrique </w:t>
            </w:r>
            <w:proofErr w:type="spellStart"/>
            <w:r w:rsidRPr="00285807">
              <w:rPr>
                <w:rFonts w:cs="Arial"/>
                <w:szCs w:val="20"/>
              </w:rPr>
              <w:t>Accorsi</w:t>
            </w:r>
            <w:proofErr w:type="spellEnd"/>
            <w:r w:rsidRPr="00285807">
              <w:rPr>
                <w:rFonts w:cs="Arial"/>
                <w:szCs w:val="20"/>
              </w:rPr>
              <w:t xml:space="preserve">; </w:t>
            </w:r>
            <w:r w:rsidR="009D1A6E" w:rsidRPr="00285807">
              <w:rPr>
                <w:rFonts w:cs="Arial"/>
                <w:szCs w:val="20"/>
              </w:rPr>
              <w:t xml:space="preserve">Marco </w:t>
            </w:r>
            <w:r w:rsidRPr="00285807">
              <w:rPr>
                <w:rFonts w:cs="Arial"/>
                <w:szCs w:val="20"/>
              </w:rPr>
              <w:t>Enr</w:t>
            </w:r>
            <w:r w:rsidR="006D4F7A" w:rsidRPr="00285807">
              <w:rPr>
                <w:rFonts w:cs="Arial"/>
                <w:szCs w:val="20"/>
              </w:rPr>
              <w:t>í</w:t>
            </w:r>
            <w:r w:rsidRPr="00285807">
              <w:rPr>
                <w:rFonts w:cs="Arial"/>
                <w:szCs w:val="20"/>
              </w:rPr>
              <w:t>quez-</w:t>
            </w:r>
            <w:proofErr w:type="spellStart"/>
            <w:r w:rsidRPr="00285807">
              <w:rPr>
                <w:rFonts w:cs="Arial"/>
                <w:szCs w:val="20"/>
              </w:rPr>
              <w:t>Ominami</w:t>
            </w:r>
            <w:proofErr w:type="spellEnd"/>
            <w:r w:rsidRPr="00285807">
              <w:rPr>
                <w:rFonts w:cs="Arial"/>
                <w:szCs w:val="20"/>
              </w:rPr>
              <w:t xml:space="preserve">, </w:t>
            </w:r>
            <w:r w:rsidR="009D1A6E" w:rsidRPr="00285807">
              <w:rPr>
                <w:rFonts w:cs="Arial"/>
                <w:szCs w:val="20"/>
              </w:rPr>
              <w:t xml:space="preserve">Álvaro </w:t>
            </w:r>
            <w:r w:rsidRPr="00285807">
              <w:rPr>
                <w:rFonts w:cs="Arial"/>
                <w:szCs w:val="20"/>
              </w:rPr>
              <w:t xml:space="preserve">Escobar; </w:t>
            </w:r>
            <w:r w:rsidR="009D1A6E" w:rsidRPr="00285807">
              <w:rPr>
                <w:rFonts w:cs="Arial"/>
                <w:szCs w:val="20"/>
              </w:rPr>
              <w:t xml:space="preserve">Ramón </w:t>
            </w:r>
            <w:r w:rsidRPr="00285807">
              <w:rPr>
                <w:rFonts w:cs="Arial"/>
                <w:szCs w:val="20"/>
              </w:rPr>
              <w:t xml:space="preserve">Farías, </w:t>
            </w:r>
            <w:r w:rsidR="009D1A6E" w:rsidRPr="00285807">
              <w:rPr>
                <w:rFonts w:cs="Arial"/>
                <w:szCs w:val="20"/>
              </w:rPr>
              <w:t xml:space="preserve">Claudia </w:t>
            </w:r>
            <w:r w:rsidRPr="00285807">
              <w:rPr>
                <w:rFonts w:cs="Arial"/>
                <w:szCs w:val="20"/>
              </w:rPr>
              <w:t xml:space="preserve">Nogueira, </w:t>
            </w:r>
            <w:r w:rsidR="009D1A6E" w:rsidRPr="00285807">
              <w:rPr>
                <w:rFonts w:cs="Arial"/>
                <w:szCs w:val="20"/>
              </w:rPr>
              <w:t>Lil</w:t>
            </w:r>
            <w:r w:rsidR="009B3B3F" w:rsidRPr="00285807">
              <w:rPr>
                <w:rFonts w:cs="Arial"/>
                <w:szCs w:val="20"/>
              </w:rPr>
              <w:t>y</w:t>
            </w:r>
            <w:r w:rsidR="009D1A6E" w:rsidRPr="00285807">
              <w:rPr>
                <w:rFonts w:cs="Arial"/>
                <w:szCs w:val="20"/>
              </w:rPr>
              <w:t xml:space="preserve"> </w:t>
            </w:r>
            <w:r w:rsidRPr="00285807">
              <w:rPr>
                <w:rFonts w:cs="Arial"/>
                <w:szCs w:val="20"/>
              </w:rPr>
              <w:t xml:space="preserve">Pérez, </w:t>
            </w:r>
            <w:r w:rsidR="009B3B3F" w:rsidRPr="00285807">
              <w:rPr>
                <w:rFonts w:cs="Arial"/>
                <w:szCs w:val="20"/>
              </w:rPr>
              <w:t>O</w:t>
            </w:r>
            <w:r w:rsidR="00880540">
              <w:rPr>
                <w:rFonts w:cs="Arial"/>
                <w:szCs w:val="20"/>
              </w:rPr>
              <w:t>s</w:t>
            </w:r>
            <w:r w:rsidR="009B3B3F" w:rsidRPr="00285807">
              <w:rPr>
                <w:rFonts w:cs="Arial"/>
                <w:szCs w:val="20"/>
              </w:rPr>
              <w:t xml:space="preserve">valdo </w:t>
            </w:r>
            <w:r w:rsidRPr="00285807">
              <w:rPr>
                <w:rFonts w:cs="Arial"/>
                <w:szCs w:val="20"/>
              </w:rPr>
              <w:t xml:space="preserve">Palma, </w:t>
            </w:r>
            <w:r w:rsidR="009D1A6E" w:rsidRPr="00285807">
              <w:rPr>
                <w:rFonts w:cs="Arial"/>
                <w:szCs w:val="20"/>
              </w:rPr>
              <w:t xml:space="preserve">Karla </w:t>
            </w:r>
            <w:proofErr w:type="spellStart"/>
            <w:r w:rsidRPr="00285807">
              <w:rPr>
                <w:rFonts w:cs="Arial"/>
                <w:szCs w:val="20"/>
              </w:rPr>
              <w:t>Rubilar</w:t>
            </w:r>
            <w:proofErr w:type="spellEnd"/>
            <w:r w:rsidRPr="00285807">
              <w:rPr>
                <w:rFonts w:cs="Arial"/>
                <w:szCs w:val="20"/>
              </w:rPr>
              <w:t xml:space="preserve"> y </w:t>
            </w:r>
            <w:r w:rsidR="009B3B3F" w:rsidRPr="00285807">
              <w:rPr>
                <w:rFonts w:cs="Arial"/>
                <w:szCs w:val="20"/>
              </w:rPr>
              <w:t xml:space="preserve">Esteban </w:t>
            </w:r>
            <w:r w:rsidRPr="00285807">
              <w:rPr>
                <w:rFonts w:cs="Arial"/>
                <w:szCs w:val="20"/>
              </w:rPr>
              <w:t>Valenzuela</w:t>
            </w:r>
          </w:p>
        </w:tc>
        <w:tc>
          <w:tcPr>
            <w:tcW w:w="2835" w:type="dxa"/>
            <w:tcBorders>
              <w:top w:val="single" w:sz="4" w:space="0" w:color="auto"/>
              <w:left w:val="single" w:sz="4" w:space="0" w:color="auto"/>
              <w:bottom w:val="single" w:sz="4" w:space="0" w:color="auto"/>
              <w:right w:val="single" w:sz="4" w:space="0" w:color="auto"/>
            </w:tcBorders>
            <w:hideMark/>
          </w:tcPr>
          <w:p w:rsidR="00E2415C" w:rsidRPr="00285807" w:rsidRDefault="00E2415C" w:rsidP="00C6639D">
            <w:pPr>
              <w:pStyle w:val="Textoindependiente2"/>
              <w:tabs>
                <w:tab w:val="left" w:pos="3060"/>
              </w:tabs>
              <w:rPr>
                <w:rFonts w:cs="Arial"/>
                <w:szCs w:val="20"/>
              </w:rPr>
            </w:pPr>
            <w:r w:rsidRPr="00285807">
              <w:rPr>
                <w:rFonts w:cs="Arial"/>
                <w:szCs w:val="20"/>
              </w:rPr>
              <w:t xml:space="preserve">Modifica </w:t>
            </w:r>
            <w:r w:rsidR="006D4F7A" w:rsidRPr="00285807">
              <w:rPr>
                <w:rFonts w:cs="Arial"/>
                <w:szCs w:val="20"/>
              </w:rPr>
              <w:t>el artículo</w:t>
            </w:r>
            <w:r w:rsidRPr="00285807">
              <w:rPr>
                <w:rFonts w:cs="Arial"/>
                <w:szCs w:val="20"/>
              </w:rPr>
              <w:t xml:space="preserve"> 12 de ley N°</w:t>
            </w:r>
            <w:r w:rsidR="006D4F7A" w:rsidRPr="00285807">
              <w:rPr>
                <w:rFonts w:cs="Arial"/>
                <w:szCs w:val="20"/>
              </w:rPr>
              <w:t xml:space="preserve"> </w:t>
            </w:r>
            <w:r w:rsidRPr="00285807">
              <w:rPr>
                <w:rFonts w:cs="Arial"/>
                <w:szCs w:val="20"/>
              </w:rPr>
              <w:t>18.838, que crea el Consejo Nacional de Televisión, con el objeto de otorgarle la atribución de establecer en las concesionarias de televisión, la obligación de subtitular los programas que indica, en los porcentajes y horarios que se señalan</w:t>
            </w:r>
          </w:p>
        </w:tc>
        <w:tc>
          <w:tcPr>
            <w:tcW w:w="5102" w:type="dxa"/>
            <w:tcBorders>
              <w:top w:val="single" w:sz="4" w:space="0" w:color="auto"/>
              <w:left w:val="single" w:sz="4" w:space="0" w:color="auto"/>
              <w:bottom w:val="single" w:sz="4" w:space="0" w:color="auto"/>
              <w:right w:val="single" w:sz="4" w:space="0" w:color="auto"/>
            </w:tcBorders>
          </w:tcPr>
          <w:p w:rsidR="00E2415C" w:rsidRPr="00285807" w:rsidRDefault="00817EF0" w:rsidP="00C6639D">
            <w:pPr>
              <w:tabs>
                <w:tab w:val="left" w:pos="3060"/>
              </w:tabs>
              <w:jc w:val="both"/>
              <w:rPr>
                <w:rFonts w:ascii="Arial" w:hAnsi="Arial" w:cs="Arial"/>
                <w:snapToGrid w:val="0"/>
                <w:sz w:val="20"/>
                <w:szCs w:val="20"/>
              </w:rPr>
            </w:pPr>
            <w:r w:rsidRPr="00285807">
              <w:rPr>
                <w:rFonts w:ascii="Arial" w:hAnsi="Arial" w:cs="Arial"/>
                <w:snapToGrid w:val="0"/>
                <w:sz w:val="20"/>
                <w:szCs w:val="20"/>
              </w:rPr>
              <w:t>Consiste en aprovechar el potencial de los medios para motivar a las personas a aprender idiomas, para facilitar el aprendizaje y el diálogo intercultural, mediante la transmisión del 30% de todos los programas que no sean bajo modalidad “en vivo”; dentro de las 18:00 horas y 22:00 horas, junto a la programación infantil y juvenil, con subtítulos en inglés, en atención a que el subtitulado electrónico para televisión es una herramienta para el acceso y la enseñanza y práctica de idiomas de personas discapacitadas o de idiomas diferentes.</w:t>
            </w:r>
          </w:p>
        </w:tc>
        <w:tc>
          <w:tcPr>
            <w:tcW w:w="5102" w:type="dxa"/>
            <w:tcBorders>
              <w:top w:val="single" w:sz="4" w:space="0" w:color="auto"/>
              <w:left w:val="single" w:sz="4" w:space="0" w:color="auto"/>
              <w:bottom w:val="single" w:sz="4" w:space="0" w:color="auto"/>
              <w:right w:val="single" w:sz="4" w:space="0" w:color="auto"/>
            </w:tcBorders>
            <w:hideMark/>
          </w:tcPr>
          <w:p w:rsidR="00E2415C" w:rsidRPr="00285807" w:rsidRDefault="00271ECA" w:rsidP="00C6639D">
            <w:pPr>
              <w:tabs>
                <w:tab w:val="left" w:pos="3060"/>
              </w:tabs>
              <w:jc w:val="both"/>
              <w:rPr>
                <w:rFonts w:ascii="Arial" w:hAnsi="Arial" w:cs="Arial"/>
                <w:sz w:val="20"/>
                <w:szCs w:val="20"/>
              </w:rPr>
            </w:pPr>
            <w:r w:rsidRPr="00285807">
              <w:rPr>
                <w:rFonts w:ascii="Arial" w:hAnsi="Arial" w:cs="Arial"/>
                <w:b/>
                <w:snapToGrid w:val="0"/>
                <w:sz w:val="20"/>
                <w:szCs w:val="20"/>
              </w:rPr>
              <w:t>El 12 de julio de 2011</w:t>
            </w:r>
            <w:r w:rsidR="00E2415C" w:rsidRPr="00285807">
              <w:rPr>
                <w:rFonts w:ascii="Arial" w:hAnsi="Arial" w:cs="Arial"/>
                <w:b/>
                <w:snapToGrid w:val="0"/>
                <w:sz w:val="20"/>
                <w:szCs w:val="20"/>
              </w:rPr>
              <w:t xml:space="preserve"> </w:t>
            </w:r>
            <w:r w:rsidR="00E2415C" w:rsidRPr="00285807">
              <w:rPr>
                <w:rFonts w:ascii="Arial" w:hAnsi="Arial" w:cs="Arial"/>
                <w:snapToGrid w:val="0"/>
                <w:sz w:val="20"/>
                <w:szCs w:val="20"/>
              </w:rPr>
              <w:t>se escuchó</w:t>
            </w:r>
            <w:r w:rsidR="00E2415C" w:rsidRPr="00285807">
              <w:rPr>
                <w:rFonts w:ascii="Arial" w:hAnsi="Arial" w:cs="Arial"/>
                <w:sz w:val="20"/>
                <w:szCs w:val="20"/>
              </w:rPr>
              <w:t xml:space="preserve"> </w:t>
            </w:r>
            <w:r w:rsidR="00285807" w:rsidRPr="00285807">
              <w:rPr>
                <w:rFonts w:ascii="Arial" w:hAnsi="Arial" w:cs="Arial"/>
                <w:sz w:val="20"/>
                <w:szCs w:val="20"/>
              </w:rPr>
              <w:t xml:space="preserve">a la </w:t>
            </w:r>
            <w:r w:rsidR="00E2415C" w:rsidRPr="00285807">
              <w:rPr>
                <w:rFonts w:ascii="Arial" w:hAnsi="Arial" w:cs="Arial"/>
                <w:sz w:val="20"/>
                <w:szCs w:val="20"/>
              </w:rPr>
              <w:t>Asociación Chilena de Sordos (ASOCH) y el Servicio Nacional de la Discapacidad (SENADIS).</w:t>
            </w:r>
          </w:p>
          <w:p w:rsidR="00E2415C" w:rsidRPr="00285807" w:rsidRDefault="00E2415C" w:rsidP="00C6639D">
            <w:pPr>
              <w:tabs>
                <w:tab w:val="left" w:pos="3060"/>
              </w:tabs>
              <w:jc w:val="both"/>
              <w:rPr>
                <w:rFonts w:ascii="Arial" w:hAnsi="Arial" w:cs="Arial"/>
                <w:sz w:val="20"/>
                <w:szCs w:val="20"/>
              </w:rPr>
            </w:pPr>
            <w:r w:rsidRPr="00285807">
              <w:rPr>
                <w:rFonts w:ascii="Arial" w:hAnsi="Arial" w:cs="Arial"/>
                <w:sz w:val="20"/>
                <w:szCs w:val="20"/>
              </w:rPr>
              <w:t>Se ofició a Ministerios de Planificación y Transporte para solicitarle se de urgencia a la aprobación del Reglamento a que se refiere el artículo 25 de la ley N° 20.422, que establece normas sobre igualdad de oportunidades e inclusión social de personas con discapacidad.</w:t>
            </w:r>
          </w:p>
          <w:p w:rsidR="00271ECA" w:rsidRPr="00285807" w:rsidRDefault="00271ECA" w:rsidP="00271ECA">
            <w:pPr>
              <w:tabs>
                <w:tab w:val="left" w:pos="3060"/>
              </w:tabs>
              <w:jc w:val="both"/>
              <w:rPr>
                <w:rFonts w:ascii="Arial" w:hAnsi="Arial" w:cs="Arial"/>
                <w:snapToGrid w:val="0"/>
                <w:sz w:val="20"/>
                <w:szCs w:val="20"/>
              </w:rPr>
            </w:pPr>
            <w:r w:rsidRPr="00285807">
              <w:rPr>
                <w:rFonts w:ascii="Arial" w:hAnsi="Arial" w:cs="Arial"/>
                <w:snapToGrid w:val="0"/>
                <w:sz w:val="20"/>
                <w:szCs w:val="20"/>
              </w:rPr>
              <w:t>Proyecto que cumple los requisitos establecidos en el artículo 17 del Reglamento, esto es, puede archivarse si la Comisión así lo acuerda, atendido que no ha tenido tramitación alguna en los últimos dos años.</w:t>
            </w:r>
          </w:p>
        </w:tc>
      </w:tr>
      <w:tr w:rsidR="00817EF0" w:rsidRPr="00285807" w:rsidTr="00880540">
        <w:tc>
          <w:tcPr>
            <w:tcW w:w="1134" w:type="dxa"/>
            <w:tcBorders>
              <w:top w:val="single" w:sz="4" w:space="0" w:color="auto"/>
              <w:left w:val="single" w:sz="4" w:space="0" w:color="auto"/>
              <w:bottom w:val="single" w:sz="4" w:space="0" w:color="auto"/>
              <w:right w:val="single" w:sz="4" w:space="0" w:color="auto"/>
            </w:tcBorders>
          </w:tcPr>
          <w:p w:rsidR="00E2415C" w:rsidRPr="00285807" w:rsidRDefault="00E2415C" w:rsidP="00C6639D">
            <w:pPr>
              <w:tabs>
                <w:tab w:val="left" w:pos="3060"/>
              </w:tabs>
              <w:jc w:val="both"/>
              <w:rPr>
                <w:rFonts w:ascii="Arial" w:hAnsi="Arial" w:cs="Arial"/>
                <w:b/>
                <w:sz w:val="20"/>
                <w:szCs w:val="20"/>
              </w:rPr>
            </w:pPr>
            <w:r w:rsidRPr="00285807">
              <w:rPr>
                <w:rFonts w:ascii="Arial" w:hAnsi="Arial" w:cs="Arial"/>
                <w:b/>
                <w:sz w:val="20"/>
                <w:szCs w:val="20"/>
              </w:rPr>
              <w:t>10145-07</w:t>
            </w:r>
          </w:p>
          <w:p w:rsidR="00E2415C" w:rsidRPr="00285807" w:rsidRDefault="00E2415C" w:rsidP="00C6639D">
            <w:pPr>
              <w:tabs>
                <w:tab w:val="left" w:pos="3060"/>
              </w:tabs>
              <w:jc w:val="both"/>
              <w:rPr>
                <w:rFonts w:ascii="Arial" w:hAnsi="Arial" w:cs="Arial"/>
                <w:sz w:val="20"/>
                <w:szCs w:val="20"/>
              </w:rPr>
            </w:pPr>
            <w:r w:rsidRPr="00285807">
              <w:rPr>
                <w:rFonts w:ascii="Arial" w:hAnsi="Arial" w:cs="Arial"/>
                <w:sz w:val="20"/>
                <w:szCs w:val="20"/>
              </w:rPr>
              <w:t>1 de julio de 2015</w:t>
            </w:r>
          </w:p>
        </w:tc>
        <w:tc>
          <w:tcPr>
            <w:tcW w:w="2268" w:type="dxa"/>
            <w:tcBorders>
              <w:top w:val="single" w:sz="4" w:space="0" w:color="auto"/>
              <w:left w:val="single" w:sz="4" w:space="0" w:color="auto"/>
              <w:bottom w:val="single" w:sz="4" w:space="0" w:color="auto"/>
              <w:right w:val="single" w:sz="4" w:space="0" w:color="auto"/>
            </w:tcBorders>
          </w:tcPr>
          <w:p w:rsidR="00E2415C" w:rsidRPr="00285807" w:rsidRDefault="00E2415C" w:rsidP="009B3B3F">
            <w:pPr>
              <w:pStyle w:val="Textoindependiente2"/>
              <w:tabs>
                <w:tab w:val="left" w:pos="3060"/>
              </w:tabs>
              <w:rPr>
                <w:rFonts w:cs="Arial"/>
                <w:szCs w:val="20"/>
              </w:rPr>
            </w:pPr>
            <w:r w:rsidRPr="00285807">
              <w:rPr>
                <w:rFonts w:cs="Arial"/>
                <w:szCs w:val="20"/>
              </w:rPr>
              <w:t xml:space="preserve">Moción de </w:t>
            </w:r>
            <w:r w:rsidR="004C389D" w:rsidRPr="00285807">
              <w:rPr>
                <w:rFonts w:cs="Arial"/>
                <w:szCs w:val="20"/>
              </w:rPr>
              <w:t xml:space="preserve">los diputados </w:t>
            </w:r>
            <w:r w:rsidR="009B3B3F" w:rsidRPr="00285807">
              <w:rPr>
                <w:rFonts w:cs="Arial"/>
                <w:szCs w:val="20"/>
              </w:rPr>
              <w:t xml:space="preserve">Pepe </w:t>
            </w:r>
            <w:proofErr w:type="spellStart"/>
            <w:r w:rsidR="004C389D" w:rsidRPr="00285807">
              <w:rPr>
                <w:rFonts w:cs="Arial"/>
                <w:szCs w:val="20"/>
              </w:rPr>
              <w:t>Auth</w:t>
            </w:r>
            <w:proofErr w:type="spellEnd"/>
            <w:r w:rsidR="009B3B3F" w:rsidRPr="00285807">
              <w:rPr>
                <w:rFonts w:cs="Arial"/>
                <w:szCs w:val="20"/>
              </w:rPr>
              <w:t>, Juan Antonio</w:t>
            </w:r>
            <w:r w:rsidR="004C389D" w:rsidRPr="00285807">
              <w:rPr>
                <w:rFonts w:cs="Arial"/>
                <w:szCs w:val="20"/>
              </w:rPr>
              <w:t xml:space="preserve"> Coloma, </w:t>
            </w:r>
            <w:r w:rsidR="009B3B3F" w:rsidRPr="00285807">
              <w:rPr>
                <w:rFonts w:cs="Arial"/>
                <w:szCs w:val="20"/>
              </w:rPr>
              <w:t xml:space="preserve">René </w:t>
            </w:r>
            <w:proofErr w:type="spellStart"/>
            <w:r w:rsidR="004C389D" w:rsidRPr="00285807">
              <w:rPr>
                <w:rFonts w:cs="Arial"/>
                <w:szCs w:val="20"/>
              </w:rPr>
              <w:t>Saffirio</w:t>
            </w:r>
            <w:proofErr w:type="spellEnd"/>
            <w:r w:rsidR="004C389D" w:rsidRPr="00285807">
              <w:rPr>
                <w:rFonts w:cs="Arial"/>
                <w:szCs w:val="20"/>
              </w:rPr>
              <w:t xml:space="preserve">, </w:t>
            </w:r>
            <w:r w:rsidR="009B3B3F" w:rsidRPr="00285807">
              <w:rPr>
                <w:rFonts w:cs="Arial"/>
                <w:szCs w:val="20"/>
              </w:rPr>
              <w:t xml:space="preserve">Renzo </w:t>
            </w:r>
            <w:proofErr w:type="spellStart"/>
            <w:r w:rsidR="004C389D" w:rsidRPr="00285807">
              <w:rPr>
                <w:rFonts w:cs="Arial"/>
                <w:szCs w:val="20"/>
              </w:rPr>
              <w:t>Trisotti</w:t>
            </w:r>
            <w:proofErr w:type="spellEnd"/>
            <w:r w:rsidR="004C389D" w:rsidRPr="00285807">
              <w:rPr>
                <w:rFonts w:cs="Arial"/>
                <w:szCs w:val="20"/>
              </w:rPr>
              <w:t xml:space="preserve"> Osvaldo Urrutia </w:t>
            </w:r>
            <w:r w:rsidR="009B3B3F" w:rsidRPr="00285807">
              <w:rPr>
                <w:rFonts w:cs="Arial"/>
                <w:szCs w:val="20"/>
              </w:rPr>
              <w:t>y</w:t>
            </w:r>
            <w:r w:rsidR="004C389D" w:rsidRPr="00285807">
              <w:rPr>
                <w:rFonts w:cs="Arial"/>
                <w:szCs w:val="20"/>
              </w:rPr>
              <w:t xml:space="preserve"> </w:t>
            </w:r>
            <w:r w:rsidR="009B3B3F" w:rsidRPr="00285807">
              <w:rPr>
                <w:rFonts w:cs="Arial"/>
                <w:szCs w:val="20"/>
              </w:rPr>
              <w:t xml:space="preserve">Matías </w:t>
            </w:r>
            <w:r w:rsidR="004C389D" w:rsidRPr="00285807">
              <w:rPr>
                <w:rFonts w:cs="Arial"/>
                <w:szCs w:val="20"/>
              </w:rPr>
              <w:t>Walker y de los ex diputados</w:t>
            </w:r>
            <w:r w:rsidR="009B3B3F" w:rsidRPr="00285807">
              <w:rPr>
                <w:rFonts w:cs="Arial"/>
                <w:szCs w:val="20"/>
              </w:rPr>
              <w:t xml:space="preserve"> Osvaldo</w:t>
            </w:r>
            <w:r w:rsidR="004C389D" w:rsidRPr="00285807">
              <w:rPr>
                <w:rFonts w:cs="Arial"/>
                <w:szCs w:val="20"/>
              </w:rPr>
              <w:t xml:space="preserve"> </w:t>
            </w:r>
            <w:r w:rsidRPr="00285807">
              <w:rPr>
                <w:rFonts w:cs="Arial"/>
                <w:szCs w:val="20"/>
              </w:rPr>
              <w:t>Andrade</w:t>
            </w:r>
            <w:r w:rsidR="004C389D" w:rsidRPr="00285807">
              <w:rPr>
                <w:rFonts w:cs="Arial"/>
                <w:szCs w:val="20"/>
              </w:rPr>
              <w:t xml:space="preserve">, </w:t>
            </w:r>
            <w:r w:rsidR="009B3B3F" w:rsidRPr="00285807">
              <w:rPr>
                <w:rFonts w:cs="Arial"/>
                <w:szCs w:val="20"/>
              </w:rPr>
              <w:t xml:space="preserve">Ramón </w:t>
            </w:r>
            <w:r w:rsidRPr="00285807">
              <w:rPr>
                <w:rFonts w:cs="Arial"/>
                <w:szCs w:val="20"/>
              </w:rPr>
              <w:t xml:space="preserve">Farías, </w:t>
            </w:r>
            <w:r w:rsidR="009B3B3F" w:rsidRPr="00285807">
              <w:rPr>
                <w:rFonts w:cs="Arial"/>
                <w:szCs w:val="20"/>
              </w:rPr>
              <w:t xml:space="preserve">Arturo </w:t>
            </w:r>
            <w:proofErr w:type="spellStart"/>
            <w:r w:rsidRPr="00285807">
              <w:rPr>
                <w:rFonts w:cs="Arial"/>
                <w:szCs w:val="20"/>
              </w:rPr>
              <w:t>Squella</w:t>
            </w:r>
            <w:proofErr w:type="spellEnd"/>
            <w:r w:rsidR="004C389D" w:rsidRPr="00285807">
              <w:rPr>
                <w:rFonts w:cs="Arial"/>
                <w:szCs w:val="20"/>
              </w:rPr>
              <w:t xml:space="preserve"> y</w:t>
            </w:r>
            <w:r w:rsidRPr="00285807">
              <w:rPr>
                <w:rFonts w:cs="Arial"/>
                <w:szCs w:val="20"/>
              </w:rPr>
              <w:t xml:space="preserve"> </w:t>
            </w:r>
            <w:proofErr w:type="spellStart"/>
            <w:r w:rsidR="009B3B3F" w:rsidRPr="00285807">
              <w:rPr>
                <w:rFonts w:cs="Arial"/>
                <w:szCs w:val="20"/>
              </w:rPr>
              <w:t>Marisol</w:t>
            </w:r>
            <w:r w:rsidRPr="00285807">
              <w:rPr>
                <w:rFonts w:cs="Arial"/>
                <w:szCs w:val="20"/>
              </w:rPr>
              <w:t>Turres</w:t>
            </w:r>
            <w:proofErr w:type="spellEnd"/>
          </w:p>
        </w:tc>
        <w:tc>
          <w:tcPr>
            <w:tcW w:w="2835" w:type="dxa"/>
            <w:tcBorders>
              <w:top w:val="single" w:sz="4" w:space="0" w:color="auto"/>
              <w:left w:val="single" w:sz="4" w:space="0" w:color="auto"/>
              <w:bottom w:val="single" w:sz="4" w:space="0" w:color="auto"/>
              <w:right w:val="single" w:sz="4" w:space="0" w:color="auto"/>
            </w:tcBorders>
          </w:tcPr>
          <w:p w:rsidR="00E2415C" w:rsidRPr="00285807" w:rsidRDefault="00E2415C" w:rsidP="00C6639D">
            <w:pPr>
              <w:pStyle w:val="Textoindependiente2"/>
              <w:tabs>
                <w:tab w:val="left" w:pos="3060"/>
              </w:tabs>
              <w:rPr>
                <w:rFonts w:cs="Arial"/>
                <w:szCs w:val="20"/>
              </w:rPr>
            </w:pPr>
            <w:r w:rsidRPr="00285807">
              <w:rPr>
                <w:rFonts w:cs="Arial"/>
                <w:szCs w:val="20"/>
              </w:rPr>
              <w:t>Tipifica y sanciona los delitos informáticos y deroga la ley N° 19.223.</w:t>
            </w:r>
          </w:p>
        </w:tc>
        <w:tc>
          <w:tcPr>
            <w:tcW w:w="5102" w:type="dxa"/>
            <w:tcBorders>
              <w:top w:val="single" w:sz="4" w:space="0" w:color="auto"/>
              <w:left w:val="single" w:sz="4" w:space="0" w:color="auto"/>
              <w:bottom w:val="single" w:sz="4" w:space="0" w:color="auto"/>
              <w:right w:val="single" w:sz="4" w:space="0" w:color="auto"/>
            </w:tcBorders>
          </w:tcPr>
          <w:p w:rsidR="0019371F" w:rsidRPr="00285807" w:rsidRDefault="0019371F" w:rsidP="0019371F">
            <w:pPr>
              <w:tabs>
                <w:tab w:val="left" w:pos="3060"/>
              </w:tabs>
              <w:jc w:val="both"/>
              <w:rPr>
                <w:rFonts w:ascii="Arial" w:hAnsi="Arial" w:cs="Arial"/>
                <w:snapToGrid w:val="0"/>
                <w:sz w:val="20"/>
                <w:szCs w:val="20"/>
              </w:rPr>
            </w:pPr>
            <w:r w:rsidRPr="00285807">
              <w:rPr>
                <w:rFonts w:ascii="Arial" w:hAnsi="Arial" w:cs="Arial"/>
                <w:snapToGrid w:val="0"/>
                <w:sz w:val="20"/>
                <w:szCs w:val="20"/>
              </w:rPr>
              <w:t>Aborda las normas penales materiales que tipifican y sancionan las acciones que atentan contra los derechos de las personas en materia informática y ahonda también en algunas normas de carácter procesal penal, que faciliten y hagan más eficiente la investigación y sanción de los delitos informáticos, toda vez que la evolución de las tecnologías de la información y la comunicación, así como de las actividades humanas vinculadas a ellas y, por cierto, de las conductas antijurídicas que se han desarrollado desde la promulgación de esta ley, hacen urgente una revisión completa y minuciosa de su estructura y contenido con la finalidad ineludible de actualizarla a esta nueva realidad.</w:t>
            </w:r>
          </w:p>
        </w:tc>
        <w:tc>
          <w:tcPr>
            <w:tcW w:w="5102" w:type="dxa"/>
            <w:tcBorders>
              <w:top w:val="single" w:sz="4" w:space="0" w:color="auto"/>
              <w:left w:val="single" w:sz="4" w:space="0" w:color="auto"/>
              <w:bottom w:val="single" w:sz="4" w:space="0" w:color="auto"/>
              <w:right w:val="single" w:sz="4" w:space="0" w:color="auto"/>
            </w:tcBorders>
          </w:tcPr>
          <w:p w:rsidR="00E2415C" w:rsidRPr="00880540" w:rsidRDefault="00880540" w:rsidP="00C6639D">
            <w:pPr>
              <w:tabs>
                <w:tab w:val="left" w:pos="3060"/>
              </w:tabs>
              <w:jc w:val="both"/>
              <w:rPr>
                <w:rFonts w:ascii="Arial" w:hAnsi="Arial" w:cs="Arial"/>
                <w:snapToGrid w:val="0"/>
                <w:sz w:val="20"/>
                <w:szCs w:val="20"/>
              </w:rPr>
            </w:pPr>
            <w:r>
              <w:rPr>
                <w:rFonts w:ascii="Arial" w:hAnsi="Arial" w:cs="Arial"/>
                <w:snapToGrid w:val="0"/>
                <w:sz w:val="20"/>
                <w:szCs w:val="20"/>
              </w:rPr>
              <w:t>Se d</w:t>
            </w:r>
            <w:r w:rsidR="00E2415C" w:rsidRPr="00880540">
              <w:rPr>
                <w:rFonts w:ascii="Arial" w:hAnsi="Arial" w:cs="Arial"/>
                <w:snapToGrid w:val="0"/>
                <w:sz w:val="20"/>
                <w:szCs w:val="20"/>
              </w:rPr>
              <w:t>iscu</w:t>
            </w:r>
            <w:r>
              <w:rPr>
                <w:rFonts w:ascii="Arial" w:hAnsi="Arial" w:cs="Arial"/>
                <w:snapToGrid w:val="0"/>
                <w:sz w:val="20"/>
                <w:szCs w:val="20"/>
              </w:rPr>
              <w:t>tió en g</w:t>
            </w:r>
            <w:r w:rsidR="00E2415C" w:rsidRPr="00880540">
              <w:rPr>
                <w:rFonts w:ascii="Arial" w:hAnsi="Arial" w:cs="Arial"/>
                <w:snapToGrid w:val="0"/>
                <w:sz w:val="20"/>
                <w:szCs w:val="20"/>
              </w:rPr>
              <w:t>eneral</w:t>
            </w:r>
            <w:r>
              <w:rPr>
                <w:rFonts w:ascii="Arial" w:hAnsi="Arial" w:cs="Arial"/>
                <w:snapToGrid w:val="0"/>
                <w:sz w:val="20"/>
                <w:szCs w:val="20"/>
              </w:rPr>
              <w:t xml:space="preserve"> en las a</w:t>
            </w:r>
            <w:r w:rsidR="00E2415C" w:rsidRPr="00880540">
              <w:rPr>
                <w:rFonts w:ascii="Arial" w:hAnsi="Arial" w:cs="Arial"/>
                <w:snapToGrid w:val="0"/>
                <w:sz w:val="20"/>
                <w:szCs w:val="20"/>
              </w:rPr>
              <w:t xml:space="preserve">ctas </w:t>
            </w:r>
            <w:r>
              <w:rPr>
                <w:rFonts w:ascii="Arial" w:hAnsi="Arial" w:cs="Arial"/>
                <w:snapToGrid w:val="0"/>
                <w:sz w:val="20"/>
                <w:szCs w:val="20"/>
              </w:rPr>
              <w:t xml:space="preserve">de las sesiones </w:t>
            </w:r>
            <w:r w:rsidR="00E2415C" w:rsidRPr="00880540">
              <w:rPr>
                <w:rFonts w:ascii="Arial" w:hAnsi="Arial" w:cs="Arial"/>
                <w:snapToGrid w:val="0"/>
                <w:sz w:val="20"/>
                <w:szCs w:val="20"/>
              </w:rPr>
              <w:t>37</w:t>
            </w:r>
            <w:r>
              <w:rPr>
                <w:rFonts w:ascii="Arial" w:hAnsi="Arial" w:cs="Arial"/>
                <w:snapToGrid w:val="0"/>
                <w:sz w:val="20"/>
                <w:szCs w:val="20"/>
              </w:rPr>
              <w:t>ª</w:t>
            </w:r>
            <w:r w:rsidR="00E2415C" w:rsidRPr="00880540">
              <w:rPr>
                <w:rFonts w:ascii="Arial" w:hAnsi="Arial" w:cs="Arial"/>
                <w:snapToGrid w:val="0"/>
                <w:sz w:val="20"/>
                <w:szCs w:val="20"/>
              </w:rPr>
              <w:t>, 38</w:t>
            </w:r>
            <w:r>
              <w:rPr>
                <w:rFonts w:ascii="Arial" w:hAnsi="Arial" w:cs="Arial"/>
                <w:snapToGrid w:val="0"/>
                <w:sz w:val="20"/>
                <w:szCs w:val="20"/>
              </w:rPr>
              <w:t>ª</w:t>
            </w:r>
            <w:r w:rsidR="00E2415C" w:rsidRPr="00880540">
              <w:rPr>
                <w:rFonts w:ascii="Arial" w:hAnsi="Arial" w:cs="Arial"/>
                <w:snapToGrid w:val="0"/>
                <w:sz w:val="20"/>
                <w:szCs w:val="20"/>
              </w:rPr>
              <w:t>, 40</w:t>
            </w:r>
            <w:r>
              <w:rPr>
                <w:rFonts w:ascii="Arial" w:hAnsi="Arial" w:cs="Arial"/>
                <w:snapToGrid w:val="0"/>
                <w:sz w:val="20"/>
                <w:szCs w:val="20"/>
              </w:rPr>
              <w:t>ª</w:t>
            </w:r>
            <w:r w:rsidR="00E2415C" w:rsidRPr="00880540">
              <w:rPr>
                <w:rFonts w:ascii="Arial" w:hAnsi="Arial" w:cs="Arial"/>
                <w:snapToGrid w:val="0"/>
                <w:sz w:val="20"/>
                <w:szCs w:val="20"/>
              </w:rPr>
              <w:t>, 41</w:t>
            </w:r>
            <w:r>
              <w:rPr>
                <w:rFonts w:ascii="Arial" w:hAnsi="Arial" w:cs="Arial"/>
                <w:snapToGrid w:val="0"/>
                <w:sz w:val="20"/>
                <w:szCs w:val="20"/>
              </w:rPr>
              <w:t>ª</w:t>
            </w:r>
            <w:r w:rsidR="00E2415C" w:rsidRPr="00880540">
              <w:rPr>
                <w:rFonts w:ascii="Arial" w:hAnsi="Arial" w:cs="Arial"/>
                <w:snapToGrid w:val="0"/>
                <w:sz w:val="20"/>
                <w:szCs w:val="20"/>
              </w:rPr>
              <w:t>, 43</w:t>
            </w:r>
            <w:r>
              <w:rPr>
                <w:rFonts w:ascii="Arial" w:hAnsi="Arial" w:cs="Arial"/>
                <w:snapToGrid w:val="0"/>
                <w:sz w:val="20"/>
                <w:szCs w:val="20"/>
              </w:rPr>
              <w:t>ª</w:t>
            </w:r>
            <w:r w:rsidR="00E2415C" w:rsidRPr="00880540">
              <w:rPr>
                <w:rFonts w:ascii="Arial" w:hAnsi="Arial" w:cs="Arial"/>
                <w:snapToGrid w:val="0"/>
                <w:sz w:val="20"/>
                <w:szCs w:val="20"/>
              </w:rPr>
              <w:t xml:space="preserve"> y 81</w:t>
            </w:r>
            <w:r>
              <w:rPr>
                <w:rFonts w:ascii="Arial" w:hAnsi="Arial" w:cs="Arial"/>
                <w:snapToGrid w:val="0"/>
                <w:sz w:val="20"/>
                <w:szCs w:val="20"/>
              </w:rPr>
              <w:t>ª</w:t>
            </w:r>
            <w:r w:rsidR="00E2415C" w:rsidRPr="00880540">
              <w:rPr>
                <w:rFonts w:ascii="Arial" w:hAnsi="Arial" w:cs="Arial"/>
                <w:snapToGrid w:val="0"/>
                <w:sz w:val="20"/>
                <w:szCs w:val="20"/>
              </w:rPr>
              <w:t>.</w:t>
            </w:r>
          </w:p>
          <w:p w:rsidR="00E2415C" w:rsidRPr="00285807" w:rsidRDefault="00E2415C" w:rsidP="00C6639D">
            <w:pPr>
              <w:tabs>
                <w:tab w:val="left" w:pos="3060"/>
              </w:tabs>
              <w:jc w:val="both"/>
              <w:rPr>
                <w:rFonts w:ascii="Arial" w:hAnsi="Arial" w:cs="Arial"/>
                <w:snapToGrid w:val="0"/>
                <w:sz w:val="20"/>
                <w:szCs w:val="20"/>
              </w:rPr>
            </w:pPr>
            <w:r w:rsidRPr="00285807">
              <w:rPr>
                <w:rFonts w:ascii="Arial" w:hAnsi="Arial" w:cs="Arial"/>
                <w:snapToGrid w:val="0"/>
                <w:sz w:val="20"/>
                <w:szCs w:val="20"/>
              </w:rPr>
              <w:t>Iniciativa sin votación general. Quedó su tramitación suspendida por cuanto el Ejecutivo se encuentra redactando un anteproyecto de ley sobre esta misma materia que tiene por finalidad adecuar la legislación nacional al Convenio de Budapest, donde se incorporar tipos penales nuevos y donde las modificaciones se hacen en los respectivos códigos sustantivos y procedimentales y no bajo la figura de una ley especial, como ocurre con el boletín en estudio</w:t>
            </w:r>
          </w:p>
        </w:tc>
      </w:tr>
      <w:tr w:rsidR="00C6639D" w:rsidRPr="00285807" w:rsidTr="00880540">
        <w:tc>
          <w:tcPr>
            <w:tcW w:w="1134"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tabs>
                <w:tab w:val="left" w:pos="3060"/>
              </w:tabs>
              <w:jc w:val="both"/>
              <w:rPr>
                <w:rFonts w:ascii="Arial" w:hAnsi="Arial" w:cs="Arial"/>
                <w:b/>
                <w:sz w:val="20"/>
                <w:szCs w:val="20"/>
              </w:rPr>
            </w:pPr>
            <w:r w:rsidRPr="00285807">
              <w:rPr>
                <w:rFonts w:ascii="Arial" w:hAnsi="Arial" w:cs="Arial"/>
                <w:b/>
                <w:sz w:val="20"/>
                <w:szCs w:val="20"/>
              </w:rPr>
              <w:lastRenderedPageBreak/>
              <w:t>10256-19</w:t>
            </w:r>
          </w:p>
          <w:p w:rsidR="00C6639D" w:rsidRPr="00285807" w:rsidRDefault="00C6639D" w:rsidP="00C6639D">
            <w:pPr>
              <w:tabs>
                <w:tab w:val="left" w:pos="3060"/>
              </w:tabs>
              <w:jc w:val="both"/>
              <w:rPr>
                <w:rFonts w:ascii="Arial" w:hAnsi="Arial" w:cs="Arial"/>
                <w:sz w:val="20"/>
                <w:szCs w:val="20"/>
              </w:rPr>
            </w:pPr>
            <w:r w:rsidRPr="00285807">
              <w:rPr>
                <w:rFonts w:ascii="Arial" w:hAnsi="Arial" w:cs="Arial"/>
                <w:sz w:val="20"/>
                <w:szCs w:val="20"/>
              </w:rPr>
              <w:t>13 de enero de 2015</w:t>
            </w:r>
          </w:p>
        </w:tc>
        <w:tc>
          <w:tcPr>
            <w:tcW w:w="2268" w:type="dxa"/>
            <w:tcBorders>
              <w:top w:val="single" w:sz="4" w:space="0" w:color="auto"/>
              <w:left w:val="single" w:sz="4" w:space="0" w:color="auto"/>
              <w:bottom w:val="single" w:sz="4" w:space="0" w:color="auto"/>
              <w:right w:val="single" w:sz="4" w:space="0" w:color="auto"/>
            </w:tcBorders>
          </w:tcPr>
          <w:p w:rsidR="00C6639D" w:rsidRPr="00285807" w:rsidRDefault="00C86C6B" w:rsidP="00C86C6B">
            <w:pPr>
              <w:pStyle w:val="Textoindependiente2"/>
              <w:tabs>
                <w:tab w:val="left" w:pos="3060"/>
              </w:tabs>
              <w:rPr>
                <w:rFonts w:cs="Arial"/>
                <w:szCs w:val="20"/>
              </w:rPr>
            </w:pPr>
            <w:r w:rsidRPr="00285807">
              <w:rPr>
                <w:rFonts w:cs="Arial"/>
                <w:szCs w:val="20"/>
              </w:rPr>
              <w:t xml:space="preserve">Moción de los diputados </w:t>
            </w:r>
            <w:r w:rsidR="00C6639D" w:rsidRPr="00285807">
              <w:rPr>
                <w:rFonts w:cs="Arial"/>
                <w:szCs w:val="20"/>
              </w:rPr>
              <w:t>Juan Luis</w:t>
            </w:r>
            <w:r w:rsidRPr="00285807">
              <w:rPr>
                <w:rFonts w:cs="Arial"/>
                <w:szCs w:val="20"/>
              </w:rPr>
              <w:t xml:space="preserve"> Castro, Vlado</w:t>
            </w:r>
            <w:r w:rsidR="00C6639D" w:rsidRPr="00285807">
              <w:rPr>
                <w:rFonts w:cs="Arial"/>
                <w:szCs w:val="20"/>
              </w:rPr>
              <w:t xml:space="preserve"> Mirosevic, Víctor</w:t>
            </w:r>
            <w:r w:rsidRPr="00285807">
              <w:rPr>
                <w:rFonts w:cs="Arial"/>
                <w:szCs w:val="20"/>
              </w:rPr>
              <w:t xml:space="preserve"> Torres y Camila </w:t>
            </w:r>
            <w:r w:rsidR="00C6639D" w:rsidRPr="00285807">
              <w:rPr>
                <w:rFonts w:cs="Arial"/>
                <w:szCs w:val="20"/>
              </w:rPr>
              <w:t>Vallejo</w:t>
            </w:r>
          </w:p>
        </w:tc>
        <w:tc>
          <w:tcPr>
            <w:tcW w:w="2835"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pStyle w:val="Textoindependiente2"/>
              <w:tabs>
                <w:tab w:val="left" w:pos="3060"/>
              </w:tabs>
              <w:rPr>
                <w:rFonts w:cs="Arial"/>
                <w:szCs w:val="20"/>
              </w:rPr>
            </w:pPr>
            <w:r w:rsidRPr="00285807">
              <w:rPr>
                <w:rFonts w:cs="Arial"/>
                <w:szCs w:val="20"/>
              </w:rPr>
              <w:t>Modifica el Código Aeronáutico en materia de Aeronaves sin piloto</w:t>
            </w:r>
          </w:p>
        </w:tc>
        <w:tc>
          <w:tcPr>
            <w:tcW w:w="5102" w:type="dxa"/>
            <w:tcBorders>
              <w:top w:val="single" w:sz="4" w:space="0" w:color="auto"/>
              <w:left w:val="single" w:sz="4" w:space="0" w:color="auto"/>
              <w:bottom w:val="single" w:sz="4" w:space="0" w:color="auto"/>
              <w:right w:val="single" w:sz="4" w:space="0" w:color="auto"/>
            </w:tcBorders>
          </w:tcPr>
          <w:p w:rsidR="00C6639D" w:rsidRPr="00285807" w:rsidRDefault="00C86C6B" w:rsidP="00C6639D">
            <w:pPr>
              <w:tabs>
                <w:tab w:val="left" w:pos="3060"/>
              </w:tabs>
              <w:jc w:val="both"/>
              <w:rPr>
                <w:rFonts w:ascii="Arial" w:hAnsi="Arial" w:cs="Arial"/>
                <w:snapToGrid w:val="0"/>
                <w:sz w:val="20"/>
                <w:szCs w:val="20"/>
              </w:rPr>
            </w:pPr>
            <w:r w:rsidRPr="00285807">
              <w:rPr>
                <w:rFonts w:ascii="Arial" w:hAnsi="Arial" w:cs="Arial"/>
                <w:snapToGrid w:val="0"/>
                <w:sz w:val="20"/>
                <w:szCs w:val="20"/>
              </w:rPr>
              <w:t>C</w:t>
            </w:r>
            <w:r w:rsidR="00C6639D" w:rsidRPr="00285807">
              <w:rPr>
                <w:rFonts w:ascii="Arial" w:hAnsi="Arial" w:cs="Arial"/>
                <w:snapToGrid w:val="0"/>
                <w:sz w:val="20"/>
                <w:szCs w:val="20"/>
              </w:rPr>
              <w:t>onsiste en modificar el Código de Aeronáutica a fin de ajustarlo a los avances tecnológicos en materia de aeronaves sin piloto (drones).</w:t>
            </w:r>
          </w:p>
          <w:p w:rsidR="00C6639D" w:rsidRPr="00285807" w:rsidRDefault="00C6639D" w:rsidP="00C6639D">
            <w:pPr>
              <w:tabs>
                <w:tab w:val="left" w:pos="3060"/>
              </w:tabs>
              <w:jc w:val="both"/>
              <w:rPr>
                <w:rFonts w:ascii="Arial" w:hAnsi="Arial" w:cs="Arial"/>
                <w:b/>
                <w:snapToGrid w:val="0"/>
                <w:sz w:val="20"/>
                <w:szCs w:val="20"/>
              </w:rPr>
            </w:pPr>
            <w:r w:rsidRPr="00285807">
              <w:rPr>
                <w:rFonts w:ascii="Arial" w:hAnsi="Arial" w:cs="Arial"/>
                <w:snapToGrid w:val="0"/>
                <w:sz w:val="20"/>
                <w:szCs w:val="20"/>
              </w:rPr>
              <w:t xml:space="preserve">El proyecto consta de un artículo único que introduce los artículos 5 bis y 31 </w:t>
            </w:r>
            <w:proofErr w:type="gramStart"/>
            <w:r w:rsidRPr="00285807">
              <w:rPr>
                <w:rFonts w:ascii="Arial" w:hAnsi="Arial" w:cs="Arial"/>
                <w:snapToGrid w:val="0"/>
                <w:sz w:val="20"/>
                <w:szCs w:val="20"/>
              </w:rPr>
              <w:t>bis</w:t>
            </w:r>
            <w:proofErr w:type="gramEnd"/>
            <w:r w:rsidRPr="00285807">
              <w:rPr>
                <w:rFonts w:ascii="Arial" w:hAnsi="Arial" w:cs="Arial"/>
                <w:snapToGrid w:val="0"/>
                <w:sz w:val="20"/>
                <w:szCs w:val="20"/>
              </w:rPr>
              <w:t xml:space="preserve"> del Código Aeronáutico. Además, modifica el artículo 64; incorpora en el capítulo IV del título IV, un nuevo artículo 87 bis; en el capítulo II del título IX un artículo 160 bis, y en el título XIII los artículos 190 bis y 201 bis.</w:t>
            </w:r>
          </w:p>
        </w:tc>
        <w:tc>
          <w:tcPr>
            <w:tcW w:w="5102"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tabs>
                <w:tab w:val="left" w:pos="3060"/>
              </w:tabs>
              <w:jc w:val="both"/>
              <w:rPr>
                <w:rFonts w:ascii="Arial" w:hAnsi="Arial" w:cs="Arial"/>
                <w:b/>
                <w:snapToGrid w:val="0"/>
                <w:sz w:val="20"/>
                <w:szCs w:val="20"/>
              </w:rPr>
            </w:pPr>
            <w:r w:rsidRPr="00285807">
              <w:rPr>
                <w:rFonts w:ascii="Arial" w:hAnsi="Arial" w:cs="Arial"/>
                <w:b/>
                <w:snapToGrid w:val="0"/>
                <w:sz w:val="20"/>
                <w:szCs w:val="20"/>
              </w:rPr>
              <w:t>Discusión General: Actas 35, 36, 66 y 82.</w:t>
            </w:r>
          </w:p>
          <w:p w:rsidR="00C6639D" w:rsidRPr="00285807" w:rsidRDefault="00C6639D" w:rsidP="00C6639D">
            <w:pPr>
              <w:tabs>
                <w:tab w:val="left" w:pos="3060"/>
              </w:tabs>
              <w:jc w:val="both"/>
              <w:rPr>
                <w:rFonts w:ascii="Arial" w:hAnsi="Arial" w:cs="Arial"/>
                <w:snapToGrid w:val="0"/>
                <w:sz w:val="20"/>
                <w:szCs w:val="20"/>
              </w:rPr>
            </w:pPr>
            <w:r w:rsidRPr="00285807">
              <w:rPr>
                <w:rFonts w:ascii="Arial" w:hAnsi="Arial" w:cs="Arial"/>
                <w:snapToGrid w:val="0"/>
                <w:sz w:val="20"/>
                <w:szCs w:val="20"/>
              </w:rPr>
              <w:t>Iniciativa sin votación general. Quedó detenida su tramitación visto la general oposición a la idea de legislar sobre la materia</w:t>
            </w:r>
          </w:p>
        </w:tc>
      </w:tr>
      <w:tr w:rsidR="00C6639D" w:rsidRPr="00285807" w:rsidTr="00880540">
        <w:tc>
          <w:tcPr>
            <w:tcW w:w="1134"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tabs>
                <w:tab w:val="left" w:pos="3060"/>
              </w:tabs>
              <w:jc w:val="both"/>
              <w:rPr>
                <w:rFonts w:ascii="Arial" w:hAnsi="Arial" w:cs="Arial"/>
                <w:b/>
                <w:sz w:val="20"/>
                <w:szCs w:val="20"/>
              </w:rPr>
            </w:pPr>
            <w:r w:rsidRPr="00285807">
              <w:rPr>
                <w:rFonts w:ascii="Arial" w:hAnsi="Arial" w:cs="Arial"/>
                <w:b/>
                <w:sz w:val="20"/>
                <w:szCs w:val="20"/>
              </w:rPr>
              <w:t>10485-19</w:t>
            </w:r>
          </w:p>
          <w:p w:rsidR="00C6639D" w:rsidRPr="00285807" w:rsidRDefault="00C6639D" w:rsidP="00C86C6B">
            <w:pPr>
              <w:tabs>
                <w:tab w:val="left" w:pos="3060"/>
              </w:tabs>
              <w:jc w:val="both"/>
              <w:rPr>
                <w:rFonts w:ascii="Arial" w:hAnsi="Arial" w:cs="Arial"/>
                <w:sz w:val="20"/>
                <w:szCs w:val="20"/>
              </w:rPr>
            </w:pPr>
            <w:r w:rsidRPr="00285807">
              <w:rPr>
                <w:rFonts w:ascii="Arial" w:hAnsi="Arial" w:cs="Arial"/>
                <w:sz w:val="20"/>
                <w:szCs w:val="20"/>
              </w:rPr>
              <w:t>6</w:t>
            </w:r>
            <w:r w:rsidR="00C86C6B" w:rsidRPr="00285807">
              <w:rPr>
                <w:rFonts w:ascii="Arial" w:hAnsi="Arial" w:cs="Arial"/>
                <w:sz w:val="20"/>
                <w:szCs w:val="20"/>
              </w:rPr>
              <w:t xml:space="preserve"> de enero de </w:t>
            </w:r>
            <w:r w:rsidRPr="00285807">
              <w:rPr>
                <w:rFonts w:ascii="Arial" w:hAnsi="Arial" w:cs="Arial"/>
                <w:sz w:val="20"/>
                <w:szCs w:val="20"/>
              </w:rPr>
              <w:t>2016</w:t>
            </w:r>
          </w:p>
        </w:tc>
        <w:tc>
          <w:tcPr>
            <w:tcW w:w="2268" w:type="dxa"/>
            <w:tcBorders>
              <w:top w:val="single" w:sz="4" w:space="0" w:color="auto"/>
              <w:left w:val="single" w:sz="4" w:space="0" w:color="auto"/>
              <w:bottom w:val="single" w:sz="4" w:space="0" w:color="auto"/>
              <w:right w:val="single" w:sz="4" w:space="0" w:color="auto"/>
            </w:tcBorders>
          </w:tcPr>
          <w:p w:rsidR="00C6639D" w:rsidRPr="00285807" w:rsidRDefault="00C86C6B" w:rsidP="009B3B3F">
            <w:pPr>
              <w:pStyle w:val="Textoindependiente2"/>
              <w:tabs>
                <w:tab w:val="left" w:pos="3060"/>
              </w:tabs>
              <w:rPr>
                <w:rFonts w:cs="Arial"/>
                <w:szCs w:val="20"/>
              </w:rPr>
            </w:pPr>
            <w:r w:rsidRPr="00285807">
              <w:rPr>
                <w:rFonts w:cs="Arial"/>
                <w:szCs w:val="20"/>
              </w:rPr>
              <w:t xml:space="preserve">Moción de los diputados </w:t>
            </w:r>
            <w:r w:rsidR="009B3B3F" w:rsidRPr="00285807">
              <w:rPr>
                <w:rFonts w:cs="Arial"/>
                <w:szCs w:val="20"/>
              </w:rPr>
              <w:t xml:space="preserve">Osvaldo </w:t>
            </w:r>
            <w:r w:rsidR="00C6639D" w:rsidRPr="00285807">
              <w:rPr>
                <w:rFonts w:cs="Arial"/>
                <w:szCs w:val="20"/>
              </w:rPr>
              <w:t>Urrutia,</w:t>
            </w:r>
            <w:r w:rsidR="009B3B3F" w:rsidRPr="00285807">
              <w:rPr>
                <w:rFonts w:cs="Arial"/>
                <w:szCs w:val="20"/>
              </w:rPr>
              <w:t xml:space="preserve"> Javier</w:t>
            </w:r>
            <w:r w:rsidR="00C6639D" w:rsidRPr="00285807">
              <w:rPr>
                <w:rFonts w:cs="Arial"/>
                <w:szCs w:val="20"/>
              </w:rPr>
              <w:t xml:space="preserve"> </w:t>
            </w:r>
            <w:proofErr w:type="spellStart"/>
            <w:r w:rsidR="00C6639D" w:rsidRPr="00285807">
              <w:rPr>
                <w:rFonts w:cs="Arial"/>
                <w:szCs w:val="20"/>
              </w:rPr>
              <w:t>Macaya</w:t>
            </w:r>
            <w:proofErr w:type="spellEnd"/>
            <w:r w:rsidR="009B3B3F" w:rsidRPr="00285807">
              <w:rPr>
                <w:rFonts w:cs="Arial"/>
                <w:szCs w:val="20"/>
              </w:rPr>
              <w:t>, Iván</w:t>
            </w:r>
            <w:r w:rsidR="00C6639D" w:rsidRPr="00285807">
              <w:rPr>
                <w:rFonts w:cs="Arial"/>
                <w:szCs w:val="20"/>
              </w:rPr>
              <w:t xml:space="preserve"> Norambuena</w:t>
            </w:r>
            <w:r w:rsidR="009B3B3F" w:rsidRPr="00285807">
              <w:rPr>
                <w:rFonts w:cs="Arial"/>
                <w:szCs w:val="20"/>
              </w:rPr>
              <w:t>, Renzo</w:t>
            </w:r>
            <w:r w:rsidR="00C6639D" w:rsidRPr="00285807">
              <w:rPr>
                <w:rFonts w:cs="Arial"/>
                <w:szCs w:val="20"/>
              </w:rPr>
              <w:t xml:space="preserve"> </w:t>
            </w:r>
            <w:proofErr w:type="spellStart"/>
            <w:r w:rsidR="00C6639D" w:rsidRPr="00285807">
              <w:rPr>
                <w:rFonts w:cs="Arial"/>
                <w:szCs w:val="20"/>
              </w:rPr>
              <w:t>Trisotti</w:t>
            </w:r>
            <w:proofErr w:type="spellEnd"/>
            <w:r w:rsidR="009B3B3F" w:rsidRPr="00285807">
              <w:rPr>
                <w:rFonts w:cs="Arial"/>
                <w:szCs w:val="20"/>
              </w:rPr>
              <w:t>, Jorge</w:t>
            </w:r>
            <w:r w:rsidR="00C6639D" w:rsidRPr="00285807">
              <w:rPr>
                <w:rFonts w:cs="Arial"/>
                <w:szCs w:val="20"/>
              </w:rPr>
              <w:t xml:space="preserve"> Ulloa y</w:t>
            </w:r>
            <w:r w:rsidR="009B3B3F" w:rsidRPr="00285807">
              <w:rPr>
                <w:rFonts w:cs="Arial"/>
                <w:szCs w:val="20"/>
              </w:rPr>
              <w:t xml:space="preserve"> Felipe</w:t>
            </w:r>
            <w:r w:rsidR="00C6639D" w:rsidRPr="00285807">
              <w:rPr>
                <w:rFonts w:cs="Arial"/>
                <w:szCs w:val="20"/>
              </w:rPr>
              <w:t xml:space="preserve"> Ward</w:t>
            </w:r>
          </w:p>
        </w:tc>
        <w:tc>
          <w:tcPr>
            <w:tcW w:w="2835"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pStyle w:val="Textoindependiente2"/>
              <w:tabs>
                <w:tab w:val="left" w:pos="3060"/>
              </w:tabs>
              <w:rPr>
                <w:rFonts w:cs="Arial"/>
                <w:szCs w:val="20"/>
              </w:rPr>
            </w:pPr>
            <w:r w:rsidRPr="00285807">
              <w:rPr>
                <w:rFonts w:cs="Arial"/>
                <w:bCs/>
                <w:szCs w:val="20"/>
                <w:lang w:val="es-ES_tradnl"/>
              </w:rPr>
              <w:t>Establece la responsabilidad solidaria del operador de redes sociales por los perjuicios ocasionados con motivo de la suplantación de identidad de los usuarios</w:t>
            </w:r>
          </w:p>
        </w:tc>
        <w:tc>
          <w:tcPr>
            <w:tcW w:w="5102" w:type="dxa"/>
            <w:tcBorders>
              <w:top w:val="single" w:sz="4" w:space="0" w:color="auto"/>
              <w:left w:val="single" w:sz="4" w:space="0" w:color="auto"/>
              <w:bottom w:val="single" w:sz="4" w:space="0" w:color="auto"/>
              <w:right w:val="single" w:sz="4" w:space="0" w:color="auto"/>
            </w:tcBorders>
          </w:tcPr>
          <w:p w:rsidR="007D6BD9" w:rsidRDefault="00C86C6B" w:rsidP="000F5CA2">
            <w:pPr>
              <w:tabs>
                <w:tab w:val="left" w:pos="3060"/>
              </w:tabs>
              <w:jc w:val="both"/>
              <w:rPr>
                <w:rFonts w:ascii="Arial" w:hAnsi="Arial" w:cs="Arial"/>
                <w:snapToGrid w:val="0"/>
                <w:sz w:val="20"/>
                <w:szCs w:val="20"/>
              </w:rPr>
            </w:pPr>
            <w:r w:rsidRPr="00285807">
              <w:rPr>
                <w:rFonts w:ascii="Arial" w:hAnsi="Arial" w:cs="Arial"/>
                <w:snapToGrid w:val="0"/>
                <w:sz w:val="20"/>
                <w:szCs w:val="20"/>
              </w:rPr>
              <w:t>El objetivo de la moción citada es complementar la regulación del tipo penal consagrado en el artículo 214 del Código Penal, esto es el delito de usurpación de nombre, estableciendo la obligación de los administradores de redes sociales de denunciar a la autoridad competente los hechos que revistan el carácter de delito de usurpación de nombre, cuando el medio utilizado sea la red social que administren.</w:t>
            </w:r>
          </w:p>
          <w:p w:rsidR="00C6639D" w:rsidRPr="00285807" w:rsidRDefault="00C86C6B" w:rsidP="000F5CA2">
            <w:pPr>
              <w:tabs>
                <w:tab w:val="left" w:pos="3060"/>
              </w:tabs>
              <w:jc w:val="both"/>
              <w:rPr>
                <w:rFonts w:ascii="Arial" w:hAnsi="Arial" w:cs="Arial"/>
                <w:snapToGrid w:val="0"/>
                <w:sz w:val="20"/>
                <w:szCs w:val="20"/>
              </w:rPr>
            </w:pPr>
            <w:r w:rsidRPr="00285807">
              <w:rPr>
                <w:rFonts w:ascii="Arial" w:hAnsi="Arial" w:cs="Arial"/>
                <w:snapToGrid w:val="0"/>
                <w:sz w:val="20"/>
                <w:szCs w:val="20"/>
              </w:rPr>
              <w:t>En concreto, estas empresas deberán denunciar a la autoridad dentro de un plazo de 24 horas desde que hubieren tomado conocimiento de los hechos, y en caso de no hacerlo, serán responsables solidariamente de los perjuicios de carácter civil que el afectado sufriere y la justicia ordinaria declare.</w:t>
            </w:r>
          </w:p>
        </w:tc>
        <w:tc>
          <w:tcPr>
            <w:tcW w:w="5102"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tabs>
                <w:tab w:val="left" w:pos="3060"/>
              </w:tabs>
              <w:jc w:val="both"/>
              <w:rPr>
                <w:rFonts w:ascii="Arial" w:hAnsi="Arial" w:cs="Arial"/>
                <w:snapToGrid w:val="0"/>
                <w:sz w:val="20"/>
                <w:szCs w:val="20"/>
              </w:rPr>
            </w:pPr>
            <w:r w:rsidRPr="00285807">
              <w:rPr>
                <w:rFonts w:ascii="Arial" w:hAnsi="Arial" w:cs="Arial"/>
                <w:snapToGrid w:val="0"/>
                <w:sz w:val="20"/>
                <w:szCs w:val="20"/>
              </w:rPr>
              <w:t>En estado de tabla</w:t>
            </w:r>
          </w:p>
        </w:tc>
      </w:tr>
      <w:tr w:rsidR="00C6639D" w:rsidRPr="00285807" w:rsidTr="00880540">
        <w:tc>
          <w:tcPr>
            <w:tcW w:w="1134"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tabs>
                <w:tab w:val="left" w:pos="3060"/>
              </w:tabs>
              <w:jc w:val="both"/>
              <w:rPr>
                <w:rFonts w:ascii="Arial" w:hAnsi="Arial" w:cs="Arial"/>
                <w:b/>
                <w:sz w:val="20"/>
                <w:szCs w:val="20"/>
              </w:rPr>
            </w:pPr>
            <w:r w:rsidRPr="00285807">
              <w:rPr>
                <w:rFonts w:ascii="Arial" w:hAnsi="Arial" w:cs="Arial"/>
                <w:b/>
                <w:sz w:val="20"/>
                <w:szCs w:val="20"/>
              </w:rPr>
              <w:t>10797-19</w:t>
            </w:r>
          </w:p>
          <w:p w:rsidR="00C6639D" w:rsidRPr="00285807" w:rsidRDefault="00C6639D" w:rsidP="00C86C6B">
            <w:pPr>
              <w:tabs>
                <w:tab w:val="left" w:pos="3060"/>
              </w:tabs>
              <w:jc w:val="both"/>
              <w:rPr>
                <w:rFonts w:ascii="Arial" w:hAnsi="Arial" w:cs="Arial"/>
                <w:sz w:val="20"/>
                <w:szCs w:val="20"/>
              </w:rPr>
            </w:pPr>
            <w:r w:rsidRPr="00285807">
              <w:rPr>
                <w:rFonts w:ascii="Arial" w:hAnsi="Arial" w:cs="Arial"/>
                <w:sz w:val="20"/>
                <w:szCs w:val="20"/>
              </w:rPr>
              <w:t>14</w:t>
            </w:r>
            <w:r w:rsidR="00C86C6B" w:rsidRPr="00285807">
              <w:rPr>
                <w:rFonts w:ascii="Arial" w:hAnsi="Arial" w:cs="Arial"/>
                <w:sz w:val="20"/>
                <w:szCs w:val="20"/>
              </w:rPr>
              <w:t xml:space="preserve"> de junio de </w:t>
            </w:r>
            <w:r w:rsidRPr="00285807">
              <w:rPr>
                <w:rFonts w:ascii="Arial" w:hAnsi="Arial" w:cs="Arial"/>
                <w:sz w:val="20"/>
                <w:szCs w:val="20"/>
              </w:rPr>
              <w:t>2016</w:t>
            </w:r>
          </w:p>
        </w:tc>
        <w:tc>
          <w:tcPr>
            <w:tcW w:w="2268" w:type="dxa"/>
            <w:tcBorders>
              <w:top w:val="single" w:sz="4" w:space="0" w:color="auto"/>
              <w:left w:val="single" w:sz="4" w:space="0" w:color="auto"/>
              <w:bottom w:val="single" w:sz="4" w:space="0" w:color="auto"/>
              <w:right w:val="single" w:sz="4" w:space="0" w:color="auto"/>
            </w:tcBorders>
          </w:tcPr>
          <w:p w:rsidR="00C6639D" w:rsidRPr="00285807" w:rsidRDefault="009B3B3F" w:rsidP="009B3B3F">
            <w:pPr>
              <w:pStyle w:val="Textoindependiente2"/>
              <w:tabs>
                <w:tab w:val="left" w:pos="3060"/>
              </w:tabs>
              <w:rPr>
                <w:rFonts w:cs="Arial"/>
                <w:szCs w:val="20"/>
              </w:rPr>
            </w:pPr>
            <w:r w:rsidRPr="00285807">
              <w:rPr>
                <w:rFonts w:cs="Arial"/>
                <w:szCs w:val="20"/>
              </w:rPr>
              <w:t xml:space="preserve">Moción de los diputados Giorgio </w:t>
            </w:r>
            <w:r w:rsidR="00C6639D" w:rsidRPr="00285807">
              <w:rPr>
                <w:rFonts w:cs="Arial"/>
                <w:szCs w:val="20"/>
              </w:rPr>
              <w:t>Jackson</w:t>
            </w:r>
            <w:r w:rsidRPr="00285807">
              <w:rPr>
                <w:rFonts w:cs="Arial"/>
                <w:szCs w:val="20"/>
              </w:rPr>
              <w:t>, Daniel</w:t>
            </w:r>
            <w:r w:rsidR="00C6639D" w:rsidRPr="00285807">
              <w:rPr>
                <w:rFonts w:cs="Arial"/>
                <w:szCs w:val="20"/>
              </w:rPr>
              <w:t xml:space="preserve"> Núñez, </w:t>
            </w:r>
            <w:r w:rsidRPr="00285807">
              <w:rPr>
                <w:rFonts w:cs="Arial"/>
                <w:szCs w:val="20"/>
              </w:rPr>
              <w:t xml:space="preserve">Guillermo </w:t>
            </w:r>
            <w:proofErr w:type="spellStart"/>
            <w:r w:rsidRPr="00285807">
              <w:rPr>
                <w:rFonts w:cs="Arial"/>
                <w:szCs w:val="20"/>
              </w:rPr>
              <w:t>Teillier</w:t>
            </w:r>
            <w:proofErr w:type="spellEnd"/>
            <w:r w:rsidRPr="00285807">
              <w:rPr>
                <w:rFonts w:cs="Arial"/>
                <w:szCs w:val="20"/>
              </w:rPr>
              <w:t xml:space="preserve">; Víctor Torres, Renzo </w:t>
            </w:r>
            <w:proofErr w:type="spellStart"/>
            <w:r w:rsidRPr="00285807">
              <w:rPr>
                <w:rFonts w:cs="Arial"/>
                <w:szCs w:val="20"/>
              </w:rPr>
              <w:t>Trisotti</w:t>
            </w:r>
            <w:proofErr w:type="spellEnd"/>
            <w:r w:rsidRPr="00285807">
              <w:rPr>
                <w:rFonts w:cs="Arial"/>
                <w:szCs w:val="20"/>
              </w:rPr>
              <w:t xml:space="preserve"> y Camila Vallejo, y de los </w:t>
            </w:r>
            <w:r w:rsidRPr="00285807">
              <w:rPr>
                <w:rFonts w:cs="Arial"/>
                <w:szCs w:val="20"/>
              </w:rPr>
              <w:lastRenderedPageBreak/>
              <w:t xml:space="preserve">exdiputados Ramón Farías y Alberto </w:t>
            </w:r>
            <w:r w:rsidR="00C6639D" w:rsidRPr="00285807">
              <w:rPr>
                <w:rFonts w:cs="Arial"/>
                <w:szCs w:val="20"/>
              </w:rPr>
              <w:t>Robles</w:t>
            </w:r>
          </w:p>
        </w:tc>
        <w:tc>
          <w:tcPr>
            <w:tcW w:w="2835" w:type="dxa"/>
            <w:tcBorders>
              <w:top w:val="single" w:sz="4" w:space="0" w:color="auto"/>
              <w:left w:val="single" w:sz="4" w:space="0" w:color="auto"/>
              <w:bottom w:val="single" w:sz="4" w:space="0" w:color="auto"/>
              <w:right w:val="single" w:sz="4" w:space="0" w:color="auto"/>
            </w:tcBorders>
          </w:tcPr>
          <w:p w:rsidR="00C6639D" w:rsidRPr="00285807" w:rsidRDefault="00C6639D" w:rsidP="00C6639D">
            <w:pPr>
              <w:pStyle w:val="Textoindependiente2"/>
              <w:tabs>
                <w:tab w:val="left" w:pos="3060"/>
              </w:tabs>
              <w:rPr>
                <w:rFonts w:cs="Arial"/>
                <w:bCs/>
                <w:szCs w:val="20"/>
                <w:lang w:val="es-ES_tradnl"/>
              </w:rPr>
            </w:pPr>
            <w:r w:rsidRPr="00285807">
              <w:rPr>
                <w:rFonts w:cs="Arial"/>
                <w:bCs/>
                <w:szCs w:val="20"/>
              </w:rPr>
              <w:lastRenderedPageBreak/>
              <w:t xml:space="preserve">Modifica la ley N° 18.838, que Crea el Consejo Nacional de Televisión, con el objeto de reconocer a los municipios y a las corporaciones y fundaciones municipales la titularidad de concesiones de </w:t>
            </w:r>
            <w:r w:rsidRPr="00285807">
              <w:rPr>
                <w:rFonts w:cs="Arial"/>
                <w:bCs/>
                <w:szCs w:val="20"/>
              </w:rPr>
              <w:lastRenderedPageBreak/>
              <w:t>radiodifusión televisiva de libre recepción de cobertura local</w:t>
            </w:r>
          </w:p>
        </w:tc>
        <w:tc>
          <w:tcPr>
            <w:tcW w:w="5102" w:type="dxa"/>
            <w:tcBorders>
              <w:top w:val="single" w:sz="4" w:space="0" w:color="auto"/>
              <w:left w:val="single" w:sz="4" w:space="0" w:color="auto"/>
              <w:bottom w:val="single" w:sz="4" w:space="0" w:color="auto"/>
              <w:right w:val="single" w:sz="4" w:space="0" w:color="auto"/>
            </w:tcBorders>
          </w:tcPr>
          <w:p w:rsidR="00C563A7" w:rsidRPr="00285807" w:rsidRDefault="007D6BD9" w:rsidP="00C563A7">
            <w:pPr>
              <w:pStyle w:val="Textoindependiente2"/>
              <w:tabs>
                <w:tab w:val="left" w:pos="3060"/>
              </w:tabs>
              <w:rPr>
                <w:rFonts w:cs="Arial"/>
                <w:bCs/>
                <w:szCs w:val="20"/>
              </w:rPr>
            </w:pPr>
            <w:r>
              <w:rPr>
                <w:rFonts w:cs="Arial"/>
                <w:bCs/>
                <w:szCs w:val="20"/>
              </w:rPr>
              <w:lastRenderedPageBreak/>
              <w:t>L</w:t>
            </w:r>
            <w:r w:rsidR="00C563A7" w:rsidRPr="00285807">
              <w:rPr>
                <w:rFonts w:cs="Arial"/>
                <w:bCs/>
                <w:szCs w:val="20"/>
              </w:rPr>
              <w:t>a ley N° 20.750, que permite la introducción de la televisión digital terrestre, reformó la ley N° 18.838 que crea un Consejo Nacional de Televisión, modificando el régimen de titularidad de las concesiones televisivas</w:t>
            </w:r>
            <w:r>
              <w:rPr>
                <w:rFonts w:cs="Arial"/>
                <w:bCs/>
                <w:szCs w:val="20"/>
              </w:rPr>
              <w:t xml:space="preserve">, </w:t>
            </w:r>
            <w:r w:rsidR="00C563A7" w:rsidRPr="00285807">
              <w:rPr>
                <w:rFonts w:cs="Arial"/>
                <w:bCs/>
                <w:szCs w:val="20"/>
              </w:rPr>
              <w:t>suprimi</w:t>
            </w:r>
            <w:r>
              <w:rPr>
                <w:rFonts w:cs="Arial"/>
                <w:bCs/>
                <w:szCs w:val="20"/>
              </w:rPr>
              <w:t>endo</w:t>
            </w:r>
            <w:r w:rsidR="00C563A7" w:rsidRPr="00285807">
              <w:rPr>
                <w:rFonts w:cs="Arial"/>
                <w:bCs/>
                <w:szCs w:val="20"/>
              </w:rPr>
              <w:t xml:space="preserve"> por completo la posibilidad que los municipios, las corporaciones y las fundaciones </w:t>
            </w:r>
            <w:r w:rsidR="00C563A7" w:rsidRPr="00285807">
              <w:rPr>
                <w:rFonts w:cs="Arial"/>
                <w:bCs/>
                <w:szCs w:val="20"/>
              </w:rPr>
              <w:lastRenderedPageBreak/>
              <w:t xml:space="preserve">municipales puedan dirigir o contar con canales de televisión en el ámbito comunal. </w:t>
            </w:r>
          </w:p>
          <w:p w:rsidR="007D6BD9" w:rsidRDefault="007D6BD9" w:rsidP="007D6BD9">
            <w:pPr>
              <w:pStyle w:val="Textoindependiente2"/>
              <w:tabs>
                <w:tab w:val="left" w:pos="3060"/>
              </w:tabs>
              <w:rPr>
                <w:rFonts w:cs="Arial"/>
                <w:bCs/>
                <w:szCs w:val="20"/>
              </w:rPr>
            </w:pPr>
            <w:r>
              <w:rPr>
                <w:rFonts w:cs="Arial"/>
                <w:bCs/>
                <w:szCs w:val="20"/>
              </w:rPr>
              <w:t>L</w:t>
            </w:r>
            <w:r w:rsidR="00C563A7" w:rsidRPr="00285807">
              <w:rPr>
                <w:rFonts w:cs="Arial"/>
                <w:bCs/>
                <w:szCs w:val="20"/>
              </w:rPr>
              <w:t xml:space="preserve">a razón de esta proscripción habría sido que </w:t>
            </w:r>
            <w:r>
              <w:rPr>
                <w:rFonts w:cs="Arial"/>
                <w:bCs/>
                <w:szCs w:val="20"/>
              </w:rPr>
              <w:t>lo</w:t>
            </w:r>
            <w:r w:rsidR="00C563A7" w:rsidRPr="00285807">
              <w:rPr>
                <w:rFonts w:cs="Arial"/>
                <w:bCs/>
                <w:szCs w:val="20"/>
              </w:rPr>
              <w:t xml:space="preserve">s canales municipales se terminan convirtiendo en instrumentos propagandísticos de los propios alcaldes, además, de que las municipalidades no garantizarían pluralismo, imparcialidad y objetividad en la televisión local. </w:t>
            </w:r>
            <w:r>
              <w:rPr>
                <w:rFonts w:cs="Arial"/>
                <w:bCs/>
                <w:szCs w:val="20"/>
              </w:rPr>
              <w:t xml:space="preserve">Sin embargo, </w:t>
            </w:r>
            <w:r w:rsidR="00C563A7" w:rsidRPr="00285807">
              <w:rPr>
                <w:rFonts w:cs="Arial"/>
                <w:bCs/>
                <w:szCs w:val="20"/>
              </w:rPr>
              <w:t>la posibilidad que las municipalidades, corporaciones y fundaciones municipales puedan ser titulares de concesiones de televisión terrestre responde a la necesidad de garantizar el derecho constitucional de libertad de opinión e información contenida en el artículo 19 Nº 12 de la Constitución Política.</w:t>
            </w:r>
          </w:p>
          <w:p w:rsidR="00C6639D" w:rsidRPr="00285807" w:rsidRDefault="00C563A7" w:rsidP="007D6BD9">
            <w:pPr>
              <w:pStyle w:val="Textoindependiente2"/>
              <w:tabs>
                <w:tab w:val="left" w:pos="3060"/>
              </w:tabs>
              <w:rPr>
                <w:rFonts w:cs="Arial"/>
                <w:bCs/>
                <w:szCs w:val="20"/>
              </w:rPr>
            </w:pPr>
            <w:r w:rsidRPr="00285807">
              <w:rPr>
                <w:rFonts w:cs="Arial"/>
                <w:bCs/>
                <w:szCs w:val="20"/>
              </w:rPr>
              <w:t xml:space="preserve">En ese sentido, </w:t>
            </w:r>
            <w:r w:rsidR="007D6BD9">
              <w:rPr>
                <w:rFonts w:cs="Arial"/>
                <w:bCs/>
                <w:szCs w:val="20"/>
              </w:rPr>
              <w:t xml:space="preserve">se </w:t>
            </w:r>
            <w:r w:rsidRPr="00285807">
              <w:rPr>
                <w:rFonts w:cs="Arial"/>
                <w:bCs/>
                <w:szCs w:val="20"/>
              </w:rPr>
              <w:t>señala que se hace necesario cambiar una norma legal restrictiva de la libertad de expresión que, en la práctica, priva a la comunidad local de conocer los proyectos comunicacionales locales desarrollados por sus representantes electos democráticamente.</w:t>
            </w:r>
          </w:p>
        </w:tc>
        <w:tc>
          <w:tcPr>
            <w:tcW w:w="5102" w:type="dxa"/>
            <w:tcBorders>
              <w:top w:val="single" w:sz="4" w:space="0" w:color="auto"/>
              <w:left w:val="single" w:sz="4" w:space="0" w:color="auto"/>
              <w:bottom w:val="single" w:sz="4" w:space="0" w:color="auto"/>
              <w:right w:val="single" w:sz="4" w:space="0" w:color="auto"/>
            </w:tcBorders>
          </w:tcPr>
          <w:p w:rsidR="00C6639D" w:rsidRPr="00285807" w:rsidRDefault="00C563A7" w:rsidP="00C6639D">
            <w:pPr>
              <w:tabs>
                <w:tab w:val="left" w:pos="3060"/>
              </w:tabs>
              <w:jc w:val="both"/>
              <w:rPr>
                <w:rFonts w:ascii="Arial" w:hAnsi="Arial" w:cs="Arial"/>
                <w:snapToGrid w:val="0"/>
                <w:sz w:val="20"/>
                <w:szCs w:val="20"/>
              </w:rPr>
            </w:pPr>
            <w:r w:rsidRPr="00285807">
              <w:rPr>
                <w:rFonts w:ascii="Arial" w:hAnsi="Arial" w:cs="Arial"/>
                <w:snapToGrid w:val="0"/>
                <w:sz w:val="20"/>
                <w:szCs w:val="20"/>
              </w:rPr>
              <w:lastRenderedPageBreak/>
              <w:t>Se d</w:t>
            </w:r>
            <w:r w:rsidR="00C6639D" w:rsidRPr="00285807">
              <w:rPr>
                <w:rFonts w:ascii="Arial" w:hAnsi="Arial" w:cs="Arial"/>
                <w:snapToGrid w:val="0"/>
                <w:sz w:val="20"/>
                <w:szCs w:val="20"/>
              </w:rPr>
              <w:t>iscu</w:t>
            </w:r>
            <w:r w:rsidRPr="00285807">
              <w:rPr>
                <w:rFonts w:ascii="Arial" w:hAnsi="Arial" w:cs="Arial"/>
                <w:snapToGrid w:val="0"/>
                <w:sz w:val="20"/>
                <w:szCs w:val="20"/>
              </w:rPr>
              <w:t>t</w:t>
            </w:r>
            <w:r w:rsidR="00C6639D" w:rsidRPr="00285807">
              <w:rPr>
                <w:rFonts w:ascii="Arial" w:hAnsi="Arial" w:cs="Arial"/>
                <w:snapToGrid w:val="0"/>
                <w:sz w:val="20"/>
                <w:szCs w:val="20"/>
              </w:rPr>
              <w:t>ió</w:t>
            </w:r>
            <w:r w:rsidRPr="00285807">
              <w:rPr>
                <w:rFonts w:ascii="Arial" w:hAnsi="Arial" w:cs="Arial"/>
                <w:snapToGrid w:val="0"/>
                <w:sz w:val="20"/>
                <w:szCs w:val="20"/>
              </w:rPr>
              <w:t xml:space="preserve"> en g</w:t>
            </w:r>
            <w:r w:rsidR="00C6639D" w:rsidRPr="00285807">
              <w:rPr>
                <w:rFonts w:ascii="Arial" w:hAnsi="Arial" w:cs="Arial"/>
                <w:snapToGrid w:val="0"/>
                <w:sz w:val="20"/>
                <w:szCs w:val="20"/>
              </w:rPr>
              <w:t>eneral</w:t>
            </w:r>
            <w:r w:rsidRPr="00285807">
              <w:rPr>
                <w:rFonts w:ascii="Arial" w:hAnsi="Arial" w:cs="Arial"/>
                <w:snapToGrid w:val="0"/>
                <w:sz w:val="20"/>
                <w:szCs w:val="20"/>
              </w:rPr>
              <w:t xml:space="preserve"> en las a</w:t>
            </w:r>
            <w:r w:rsidR="00C6639D" w:rsidRPr="00285807">
              <w:rPr>
                <w:rFonts w:ascii="Arial" w:hAnsi="Arial" w:cs="Arial"/>
                <w:snapToGrid w:val="0"/>
                <w:sz w:val="20"/>
                <w:szCs w:val="20"/>
              </w:rPr>
              <w:t xml:space="preserve">ctas </w:t>
            </w:r>
            <w:r w:rsidRPr="00285807">
              <w:rPr>
                <w:rFonts w:ascii="Arial" w:hAnsi="Arial" w:cs="Arial"/>
                <w:snapToGrid w:val="0"/>
                <w:sz w:val="20"/>
                <w:szCs w:val="20"/>
              </w:rPr>
              <w:t xml:space="preserve">de las sesiones </w:t>
            </w:r>
            <w:r w:rsidR="00C6639D" w:rsidRPr="00285807">
              <w:rPr>
                <w:rFonts w:ascii="Arial" w:hAnsi="Arial" w:cs="Arial"/>
                <w:snapToGrid w:val="0"/>
                <w:sz w:val="20"/>
                <w:szCs w:val="20"/>
              </w:rPr>
              <w:t>57</w:t>
            </w:r>
            <w:r w:rsidRPr="00285807">
              <w:rPr>
                <w:rFonts w:ascii="Arial" w:hAnsi="Arial" w:cs="Arial"/>
                <w:snapToGrid w:val="0"/>
                <w:sz w:val="20"/>
                <w:szCs w:val="20"/>
              </w:rPr>
              <w:t>ª</w:t>
            </w:r>
            <w:r w:rsidR="00C6639D" w:rsidRPr="00285807">
              <w:rPr>
                <w:rFonts w:ascii="Arial" w:hAnsi="Arial" w:cs="Arial"/>
                <w:snapToGrid w:val="0"/>
                <w:sz w:val="20"/>
                <w:szCs w:val="20"/>
              </w:rPr>
              <w:t>, 58</w:t>
            </w:r>
            <w:r w:rsidRPr="00285807">
              <w:rPr>
                <w:rFonts w:ascii="Arial" w:hAnsi="Arial" w:cs="Arial"/>
                <w:snapToGrid w:val="0"/>
                <w:sz w:val="20"/>
                <w:szCs w:val="20"/>
              </w:rPr>
              <w:t>ª</w:t>
            </w:r>
            <w:r w:rsidR="00C6639D" w:rsidRPr="00285807">
              <w:rPr>
                <w:rFonts w:ascii="Arial" w:hAnsi="Arial" w:cs="Arial"/>
                <w:snapToGrid w:val="0"/>
                <w:sz w:val="20"/>
                <w:szCs w:val="20"/>
              </w:rPr>
              <w:t>, 59</w:t>
            </w:r>
            <w:r w:rsidRPr="00285807">
              <w:rPr>
                <w:rFonts w:ascii="Arial" w:hAnsi="Arial" w:cs="Arial"/>
                <w:snapToGrid w:val="0"/>
                <w:sz w:val="20"/>
                <w:szCs w:val="20"/>
              </w:rPr>
              <w:t>ª</w:t>
            </w:r>
            <w:r w:rsidR="00C6639D" w:rsidRPr="00285807">
              <w:rPr>
                <w:rFonts w:ascii="Arial" w:hAnsi="Arial" w:cs="Arial"/>
                <w:snapToGrid w:val="0"/>
                <w:sz w:val="20"/>
                <w:szCs w:val="20"/>
              </w:rPr>
              <w:t>, 60</w:t>
            </w:r>
            <w:r w:rsidRPr="00285807">
              <w:rPr>
                <w:rFonts w:ascii="Arial" w:hAnsi="Arial" w:cs="Arial"/>
                <w:snapToGrid w:val="0"/>
                <w:sz w:val="20"/>
                <w:szCs w:val="20"/>
              </w:rPr>
              <w:t>ª</w:t>
            </w:r>
            <w:r w:rsidR="00C6639D" w:rsidRPr="00285807">
              <w:rPr>
                <w:rFonts w:ascii="Arial" w:hAnsi="Arial" w:cs="Arial"/>
                <w:snapToGrid w:val="0"/>
                <w:sz w:val="20"/>
                <w:szCs w:val="20"/>
              </w:rPr>
              <w:t>, 61</w:t>
            </w:r>
            <w:r w:rsidRPr="00285807">
              <w:rPr>
                <w:rFonts w:ascii="Arial" w:hAnsi="Arial" w:cs="Arial"/>
                <w:snapToGrid w:val="0"/>
                <w:sz w:val="20"/>
                <w:szCs w:val="20"/>
              </w:rPr>
              <w:t>ª</w:t>
            </w:r>
            <w:r w:rsidR="00C6639D" w:rsidRPr="00285807">
              <w:rPr>
                <w:rFonts w:ascii="Arial" w:hAnsi="Arial" w:cs="Arial"/>
                <w:snapToGrid w:val="0"/>
                <w:sz w:val="20"/>
                <w:szCs w:val="20"/>
              </w:rPr>
              <w:t>, 62</w:t>
            </w:r>
            <w:r w:rsidRPr="00285807">
              <w:rPr>
                <w:rFonts w:ascii="Arial" w:hAnsi="Arial" w:cs="Arial"/>
                <w:snapToGrid w:val="0"/>
                <w:sz w:val="20"/>
                <w:szCs w:val="20"/>
              </w:rPr>
              <w:t>ª</w:t>
            </w:r>
            <w:r w:rsidR="00C6639D" w:rsidRPr="00285807">
              <w:rPr>
                <w:rFonts w:ascii="Arial" w:hAnsi="Arial" w:cs="Arial"/>
                <w:snapToGrid w:val="0"/>
                <w:sz w:val="20"/>
                <w:szCs w:val="20"/>
              </w:rPr>
              <w:t>, 63</w:t>
            </w:r>
            <w:r w:rsidRPr="00285807">
              <w:rPr>
                <w:rFonts w:ascii="Arial" w:hAnsi="Arial" w:cs="Arial"/>
                <w:snapToGrid w:val="0"/>
                <w:sz w:val="20"/>
                <w:szCs w:val="20"/>
              </w:rPr>
              <w:t>ª</w:t>
            </w:r>
            <w:r w:rsidR="00C6639D" w:rsidRPr="00285807">
              <w:rPr>
                <w:rFonts w:ascii="Arial" w:hAnsi="Arial" w:cs="Arial"/>
                <w:snapToGrid w:val="0"/>
                <w:sz w:val="20"/>
                <w:szCs w:val="20"/>
              </w:rPr>
              <w:t>, 64</w:t>
            </w:r>
            <w:r w:rsidRPr="00285807">
              <w:rPr>
                <w:rFonts w:ascii="Arial" w:hAnsi="Arial" w:cs="Arial"/>
                <w:snapToGrid w:val="0"/>
                <w:sz w:val="20"/>
                <w:szCs w:val="20"/>
              </w:rPr>
              <w:t>ª</w:t>
            </w:r>
            <w:r w:rsidR="00C6639D" w:rsidRPr="00285807">
              <w:rPr>
                <w:rFonts w:ascii="Arial" w:hAnsi="Arial" w:cs="Arial"/>
                <w:snapToGrid w:val="0"/>
                <w:sz w:val="20"/>
                <w:szCs w:val="20"/>
              </w:rPr>
              <w:t>, 65</w:t>
            </w:r>
            <w:r w:rsidRPr="00285807">
              <w:rPr>
                <w:rFonts w:ascii="Arial" w:hAnsi="Arial" w:cs="Arial"/>
                <w:snapToGrid w:val="0"/>
                <w:sz w:val="20"/>
                <w:szCs w:val="20"/>
              </w:rPr>
              <w:t>ª</w:t>
            </w:r>
            <w:r w:rsidR="00C6639D" w:rsidRPr="00285807">
              <w:rPr>
                <w:rFonts w:ascii="Arial" w:hAnsi="Arial" w:cs="Arial"/>
                <w:snapToGrid w:val="0"/>
                <w:sz w:val="20"/>
                <w:szCs w:val="20"/>
              </w:rPr>
              <w:t>, 66</w:t>
            </w:r>
            <w:r w:rsidRPr="00285807">
              <w:rPr>
                <w:rFonts w:ascii="Arial" w:hAnsi="Arial" w:cs="Arial"/>
                <w:snapToGrid w:val="0"/>
                <w:sz w:val="20"/>
                <w:szCs w:val="20"/>
              </w:rPr>
              <w:t>ª</w:t>
            </w:r>
            <w:r w:rsidR="00C6639D" w:rsidRPr="00285807">
              <w:rPr>
                <w:rFonts w:ascii="Arial" w:hAnsi="Arial" w:cs="Arial"/>
                <w:snapToGrid w:val="0"/>
                <w:sz w:val="20"/>
                <w:szCs w:val="20"/>
              </w:rPr>
              <w:t>, 72</w:t>
            </w:r>
            <w:r w:rsidRPr="00285807">
              <w:rPr>
                <w:rFonts w:ascii="Arial" w:hAnsi="Arial" w:cs="Arial"/>
                <w:snapToGrid w:val="0"/>
                <w:sz w:val="20"/>
                <w:szCs w:val="20"/>
              </w:rPr>
              <w:t>ª</w:t>
            </w:r>
            <w:r w:rsidR="00C6639D" w:rsidRPr="00285807">
              <w:rPr>
                <w:rFonts w:ascii="Arial" w:hAnsi="Arial" w:cs="Arial"/>
                <w:snapToGrid w:val="0"/>
                <w:sz w:val="20"/>
                <w:szCs w:val="20"/>
              </w:rPr>
              <w:t>, 77</w:t>
            </w:r>
            <w:r w:rsidRPr="00285807">
              <w:rPr>
                <w:rFonts w:ascii="Arial" w:hAnsi="Arial" w:cs="Arial"/>
                <w:snapToGrid w:val="0"/>
                <w:sz w:val="20"/>
                <w:szCs w:val="20"/>
              </w:rPr>
              <w:t>ª</w:t>
            </w:r>
            <w:r w:rsidR="00C6639D" w:rsidRPr="00285807">
              <w:rPr>
                <w:rFonts w:ascii="Arial" w:hAnsi="Arial" w:cs="Arial"/>
                <w:snapToGrid w:val="0"/>
                <w:sz w:val="20"/>
                <w:szCs w:val="20"/>
              </w:rPr>
              <w:t>, 78</w:t>
            </w:r>
            <w:r w:rsidRPr="00285807">
              <w:rPr>
                <w:rFonts w:ascii="Arial" w:hAnsi="Arial" w:cs="Arial"/>
                <w:snapToGrid w:val="0"/>
                <w:sz w:val="20"/>
                <w:szCs w:val="20"/>
              </w:rPr>
              <w:t>ª</w:t>
            </w:r>
            <w:r w:rsidR="00C6639D" w:rsidRPr="00285807">
              <w:rPr>
                <w:rFonts w:ascii="Arial" w:hAnsi="Arial" w:cs="Arial"/>
                <w:snapToGrid w:val="0"/>
                <w:sz w:val="20"/>
                <w:szCs w:val="20"/>
              </w:rPr>
              <w:t>, y 79</w:t>
            </w:r>
            <w:r w:rsidRPr="00285807">
              <w:rPr>
                <w:rFonts w:ascii="Arial" w:hAnsi="Arial" w:cs="Arial"/>
                <w:snapToGrid w:val="0"/>
                <w:sz w:val="20"/>
                <w:szCs w:val="20"/>
              </w:rPr>
              <w:t>ª</w:t>
            </w:r>
            <w:r w:rsidR="00C6639D" w:rsidRPr="00285807">
              <w:rPr>
                <w:rFonts w:ascii="Arial" w:hAnsi="Arial" w:cs="Arial"/>
                <w:snapToGrid w:val="0"/>
                <w:sz w:val="20"/>
                <w:szCs w:val="20"/>
              </w:rPr>
              <w:t>.</w:t>
            </w:r>
          </w:p>
          <w:p w:rsidR="00C6639D" w:rsidRPr="00285807" w:rsidRDefault="00C563A7" w:rsidP="00C563A7">
            <w:pPr>
              <w:tabs>
                <w:tab w:val="left" w:pos="3060"/>
              </w:tabs>
              <w:jc w:val="both"/>
              <w:rPr>
                <w:rFonts w:ascii="Arial" w:hAnsi="Arial" w:cs="Arial"/>
                <w:snapToGrid w:val="0"/>
                <w:sz w:val="20"/>
                <w:szCs w:val="20"/>
              </w:rPr>
            </w:pPr>
            <w:r w:rsidRPr="00285807">
              <w:rPr>
                <w:rFonts w:ascii="Arial" w:hAnsi="Arial" w:cs="Arial"/>
                <w:snapToGrid w:val="0"/>
                <w:sz w:val="20"/>
                <w:szCs w:val="20"/>
              </w:rPr>
              <w:t xml:space="preserve">Fue </w:t>
            </w:r>
            <w:r w:rsidRPr="00285807">
              <w:rPr>
                <w:rFonts w:ascii="Arial" w:hAnsi="Arial" w:cs="Arial"/>
                <w:b/>
                <w:snapToGrid w:val="0"/>
                <w:sz w:val="20"/>
                <w:szCs w:val="20"/>
              </w:rPr>
              <w:t>a</w:t>
            </w:r>
            <w:r w:rsidR="00C6639D" w:rsidRPr="00285807">
              <w:rPr>
                <w:rFonts w:ascii="Arial" w:hAnsi="Arial" w:cs="Arial"/>
                <w:b/>
                <w:snapToGrid w:val="0"/>
                <w:sz w:val="20"/>
                <w:szCs w:val="20"/>
              </w:rPr>
              <w:t>probad</w:t>
            </w:r>
            <w:r w:rsidRPr="00285807">
              <w:rPr>
                <w:rFonts w:ascii="Arial" w:hAnsi="Arial" w:cs="Arial"/>
                <w:b/>
                <w:snapToGrid w:val="0"/>
                <w:sz w:val="20"/>
                <w:szCs w:val="20"/>
              </w:rPr>
              <w:t>a</w:t>
            </w:r>
            <w:r w:rsidR="00C6639D" w:rsidRPr="00285807">
              <w:rPr>
                <w:rFonts w:ascii="Arial" w:hAnsi="Arial" w:cs="Arial"/>
                <w:b/>
                <w:snapToGrid w:val="0"/>
                <w:sz w:val="20"/>
                <w:szCs w:val="20"/>
              </w:rPr>
              <w:t xml:space="preserve"> en general</w:t>
            </w:r>
            <w:r w:rsidRPr="00285807">
              <w:rPr>
                <w:rFonts w:ascii="Arial" w:hAnsi="Arial" w:cs="Arial"/>
                <w:snapToGrid w:val="0"/>
                <w:sz w:val="20"/>
                <w:szCs w:val="20"/>
              </w:rPr>
              <w:t xml:space="preserve"> y quedó pendiente a la espera de indicaciones del </w:t>
            </w:r>
            <w:r w:rsidR="00C6639D" w:rsidRPr="00285807">
              <w:rPr>
                <w:rFonts w:ascii="Arial" w:hAnsi="Arial" w:cs="Arial"/>
                <w:snapToGrid w:val="0"/>
                <w:sz w:val="20"/>
                <w:szCs w:val="20"/>
              </w:rPr>
              <w:t>Ejecutivo</w:t>
            </w:r>
            <w:r w:rsidRPr="00285807">
              <w:rPr>
                <w:rFonts w:ascii="Arial" w:hAnsi="Arial" w:cs="Arial"/>
                <w:snapToGrid w:val="0"/>
                <w:sz w:val="20"/>
                <w:szCs w:val="20"/>
              </w:rPr>
              <w:t>. Estas fueron</w:t>
            </w:r>
            <w:r w:rsidR="00C6639D" w:rsidRPr="00285807">
              <w:rPr>
                <w:rFonts w:ascii="Arial" w:hAnsi="Arial" w:cs="Arial"/>
                <w:snapToGrid w:val="0"/>
                <w:sz w:val="20"/>
                <w:szCs w:val="20"/>
              </w:rPr>
              <w:t xml:space="preserve"> present</w:t>
            </w:r>
            <w:r w:rsidRPr="00285807">
              <w:rPr>
                <w:rFonts w:ascii="Arial" w:hAnsi="Arial" w:cs="Arial"/>
                <w:snapToGrid w:val="0"/>
                <w:sz w:val="20"/>
                <w:szCs w:val="20"/>
              </w:rPr>
              <w:t>adas</w:t>
            </w:r>
            <w:r w:rsidR="00C6639D" w:rsidRPr="00285807">
              <w:rPr>
                <w:rFonts w:ascii="Arial" w:hAnsi="Arial" w:cs="Arial"/>
                <w:snapToGrid w:val="0"/>
                <w:sz w:val="20"/>
                <w:szCs w:val="20"/>
              </w:rPr>
              <w:t xml:space="preserve"> </w:t>
            </w:r>
            <w:r w:rsidR="008E0364" w:rsidRPr="00285807">
              <w:rPr>
                <w:rFonts w:ascii="Arial" w:hAnsi="Arial" w:cs="Arial"/>
                <w:snapToGrid w:val="0"/>
                <w:sz w:val="20"/>
                <w:szCs w:val="20"/>
              </w:rPr>
              <w:t>en mayo y noviembre de 2017.</w:t>
            </w:r>
          </w:p>
        </w:tc>
      </w:tr>
      <w:tr w:rsidR="00C6639D" w:rsidRPr="00285807" w:rsidTr="00880540">
        <w:tc>
          <w:tcPr>
            <w:tcW w:w="1134" w:type="dxa"/>
            <w:tcBorders>
              <w:top w:val="single" w:sz="4" w:space="0" w:color="auto"/>
              <w:left w:val="single" w:sz="4" w:space="0" w:color="auto"/>
              <w:bottom w:val="single" w:sz="4" w:space="0" w:color="auto"/>
              <w:right w:val="single" w:sz="4" w:space="0" w:color="auto"/>
            </w:tcBorders>
          </w:tcPr>
          <w:p w:rsidR="00C6639D" w:rsidRPr="00285807" w:rsidRDefault="00C6639D" w:rsidP="00737075">
            <w:pPr>
              <w:tabs>
                <w:tab w:val="left" w:pos="3060"/>
              </w:tabs>
              <w:jc w:val="both"/>
              <w:rPr>
                <w:rFonts w:ascii="Arial" w:hAnsi="Arial" w:cs="Arial"/>
                <w:b/>
                <w:sz w:val="20"/>
                <w:szCs w:val="20"/>
              </w:rPr>
            </w:pPr>
            <w:r w:rsidRPr="00285807">
              <w:rPr>
                <w:rFonts w:ascii="Arial" w:hAnsi="Arial" w:cs="Arial"/>
                <w:b/>
                <w:sz w:val="20"/>
                <w:szCs w:val="20"/>
              </w:rPr>
              <w:t>10906-19 (S)</w:t>
            </w:r>
          </w:p>
          <w:p w:rsidR="00C6639D" w:rsidRPr="00285807" w:rsidRDefault="00C6639D" w:rsidP="00737075">
            <w:pPr>
              <w:tabs>
                <w:tab w:val="left" w:pos="3060"/>
              </w:tabs>
              <w:jc w:val="both"/>
              <w:rPr>
                <w:rFonts w:ascii="Arial" w:hAnsi="Arial" w:cs="Arial"/>
                <w:sz w:val="20"/>
                <w:szCs w:val="20"/>
              </w:rPr>
            </w:pPr>
            <w:r w:rsidRPr="00285807">
              <w:rPr>
                <w:rFonts w:ascii="Arial" w:hAnsi="Arial" w:cs="Arial"/>
                <w:sz w:val="20"/>
                <w:szCs w:val="20"/>
              </w:rPr>
              <w:t>23 de marzo de 2017</w:t>
            </w:r>
          </w:p>
        </w:tc>
        <w:tc>
          <w:tcPr>
            <w:tcW w:w="2268" w:type="dxa"/>
            <w:tcBorders>
              <w:top w:val="single" w:sz="4" w:space="0" w:color="auto"/>
              <w:left w:val="single" w:sz="4" w:space="0" w:color="auto"/>
              <w:bottom w:val="single" w:sz="4" w:space="0" w:color="auto"/>
              <w:right w:val="single" w:sz="4" w:space="0" w:color="auto"/>
            </w:tcBorders>
          </w:tcPr>
          <w:p w:rsidR="00C6639D" w:rsidRPr="00285807" w:rsidRDefault="00C6639D" w:rsidP="00737075">
            <w:pPr>
              <w:pStyle w:val="Textoindependiente2"/>
              <w:tabs>
                <w:tab w:val="left" w:pos="3060"/>
              </w:tabs>
              <w:rPr>
                <w:rFonts w:cs="Arial"/>
                <w:szCs w:val="20"/>
              </w:rPr>
            </w:pPr>
            <w:r w:rsidRPr="00285807">
              <w:rPr>
                <w:rFonts w:cs="Arial"/>
                <w:szCs w:val="20"/>
              </w:rPr>
              <w:t xml:space="preserve">Moción de los senadores </w:t>
            </w:r>
            <w:r w:rsidR="00D32393" w:rsidRPr="00285807">
              <w:rPr>
                <w:rFonts w:cs="Arial"/>
                <w:szCs w:val="20"/>
              </w:rPr>
              <w:t>Francisco</w:t>
            </w:r>
            <w:bookmarkStart w:id="0" w:name="_GoBack"/>
            <w:bookmarkEnd w:id="0"/>
            <w:r w:rsidR="009B3B3F" w:rsidRPr="00285807">
              <w:rPr>
                <w:rFonts w:cs="Arial"/>
                <w:szCs w:val="20"/>
              </w:rPr>
              <w:t xml:space="preserve"> </w:t>
            </w:r>
            <w:proofErr w:type="spellStart"/>
            <w:r w:rsidRPr="00285807">
              <w:rPr>
                <w:rFonts w:cs="Arial"/>
                <w:szCs w:val="20"/>
              </w:rPr>
              <w:t>Chahuán</w:t>
            </w:r>
            <w:proofErr w:type="spellEnd"/>
            <w:r w:rsidRPr="00285807">
              <w:rPr>
                <w:rFonts w:cs="Arial"/>
                <w:szCs w:val="20"/>
              </w:rPr>
              <w:t xml:space="preserve">, </w:t>
            </w:r>
            <w:r w:rsidR="009B3B3F" w:rsidRPr="00285807">
              <w:rPr>
                <w:rFonts w:cs="Arial"/>
                <w:szCs w:val="20"/>
              </w:rPr>
              <w:t xml:space="preserve">Juan Antonio </w:t>
            </w:r>
            <w:r w:rsidRPr="00285807">
              <w:rPr>
                <w:rFonts w:cs="Arial"/>
                <w:szCs w:val="20"/>
              </w:rPr>
              <w:t xml:space="preserve">Coloma, </w:t>
            </w:r>
            <w:r w:rsidR="009B3B3F" w:rsidRPr="00285807">
              <w:rPr>
                <w:rFonts w:cs="Arial"/>
                <w:szCs w:val="20"/>
              </w:rPr>
              <w:t xml:space="preserve">Alfonso </w:t>
            </w:r>
            <w:r w:rsidRPr="00285807">
              <w:rPr>
                <w:rFonts w:cs="Arial"/>
                <w:szCs w:val="20"/>
              </w:rPr>
              <w:t xml:space="preserve">De </w:t>
            </w:r>
            <w:proofErr w:type="spellStart"/>
            <w:r w:rsidRPr="00285807">
              <w:rPr>
                <w:rFonts w:cs="Arial"/>
                <w:szCs w:val="20"/>
              </w:rPr>
              <w:t>Urresti</w:t>
            </w:r>
            <w:proofErr w:type="spellEnd"/>
            <w:r w:rsidR="00737075" w:rsidRPr="00285807">
              <w:rPr>
                <w:rFonts w:cs="Arial"/>
                <w:szCs w:val="20"/>
              </w:rPr>
              <w:t xml:space="preserve">, </w:t>
            </w:r>
            <w:r w:rsidR="009B3B3F" w:rsidRPr="00285807">
              <w:rPr>
                <w:rFonts w:cs="Arial"/>
                <w:szCs w:val="20"/>
              </w:rPr>
              <w:t xml:space="preserve">Guido </w:t>
            </w:r>
            <w:r w:rsidRPr="00285807">
              <w:rPr>
                <w:rFonts w:cs="Arial"/>
                <w:szCs w:val="20"/>
              </w:rPr>
              <w:t xml:space="preserve">Girardi </w:t>
            </w:r>
            <w:r w:rsidR="00737075" w:rsidRPr="00285807">
              <w:rPr>
                <w:rFonts w:cs="Arial"/>
                <w:szCs w:val="20"/>
              </w:rPr>
              <w:t xml:space="preserve">y </w:t>
            </w:r>
            <w:r w:rsidR="009B3B3F" w:rsidRPr="00285807">
              <w:rPr>
                <w:rFonts w:cs="Arial"/>
                <w:szCs w:val="20"/>
              </w:rPr>
              <w:t xml:space="preserve">Carolina </w:t>
            </w:r>
            <w:proofErr w:type="spellStart"/>
            <w:r w:rsidRPr="00285807">
              <w:rPr>
                <w:rFonts w:cs="Arial"/>
                <w:szCs w:val="20"/>
              </w:rPr>
              <w:t>Goic</w:t>
            </w:r>
            <w:proofErr w:type="spellEnd"/>
          </w:p>
        </w:tc>
        <w:tc>
          <w:tcPr>
            <w:tcW w:w="2835" w:type="dxa"/>
            <w:tcBorders>
              <w:top w:val="single" w:sz="4" w:space="0" w:color="auto"/>
              <w:left w:val="single" w:sz="4" w:space="0" w:color="auto"/>
              <w:bottom w:val="single" w:sz="4" w:space="0" w:color="auto"/>
              <w:right w:val="single" w:sz="4" w:space="0" w:color="auto"/>
            </w:tcBorders>
          </w:tcPr>
          <w:p w:rsidR="00C6639D" w:rsidRPr="00285807" w:rsidRDefault="00C6639D" w:rsidP="00737075">
            <w:pPr>
              <w:pStyle w:val="Textoindependiente2"/>
              <w:tabs>
                <w:tab w:val="left" w:pos="3060"/>
              </w:tabs>
              <w:rPr>
                <w:rFonts w:cs="Arial"/>
                <w:bCs/>
                <w:szCs w:val="20"/>
              </w:rPr>
            </w:pPr>
            <w:r w:rsidRPr="00285807">
              <w:rPr>
                <w:rFonts w:cs="Arial"/>
                <w:bCs/>
                <w:szCs w:val="20"/>
              </w:rPr>
              <w:t>Establecer el día nacional de la Ciencia y la Tecnología</w:t>
            </w:r>
          </w:p>
        </w:tc>
        <w:tc>
          <w:tcPr>
            <w:tcW w:w="5102" w:type="dxa"/>
            <w:tcBorders>
              <w:top w:val="single" w:sz="4" w:space="0" w:color="auto"/>
              <w:left w:val="single" w:sz="4" w:space="0" w:color="auto"/>
              <w:bottom w:val="single" w:sz="4" w:space="0" w:color="auto"/>
              <w:right w:val="single" w:sz="4" w:space="0" w:color="auto"/>
            </w:tcBorders>
          </w:tcPr>
          <w:p w:rsidR="00737075" w:rsidRPr="00285807" w:rsidRDefault="00737075" w:rsidP="00737075">
            <w:pPr>
              <w:tabs>
                <w:tab w:val="left" w:pos="3060"/>
              </w:tabs>
              <w:jc w:val="both"/>
              <w:rPr>
                <w:rFonts w:ascii="Arial" w:hAnsi="Arial" w:cs="Arial"/>
                <w:snapToGrid w:val="0"/>
                <w:sz w:val="20"/>
                <w:szCs w:val="20"/>
              </w:rPr>
            </w:pPr>
            <w:r w:rsidRPr="00285807">
              <w:rPr>
                <w:rFonts w:ascii="Arial" w:hAnsi="Arial" w:cs="Arial"/>
                <w:snapToGrid w:val="0"/>
                <w:sz w:val="20"/>
                <w:szCs w:val="20"/>
              </w:rPr>
              <w:t>Consiste en conmemorar el Día Mundial de la Ciencia y la Tecnología, en honor al primer latinoamericano laureado en Ciencias, el científico argentino Bernardo Houssay, Premio Nobel de Medicina en 1947.</w:t>
            </w:r>
          </w:p>
          <w:p w:rsidR="00737075" w:rsidRPr="00285807" w:rsidRDefault="00737075" w:rsidP="00737075">
            <w:pPr>
              <w:tabs>
                <w:tab w:val="left" w:pos="3060"/>
              </w:tabs>
              <w:jc w:val="both"/>
              <w:rPr>
                <w:rFonts w:ascii="Arial" w:hAnsi="Arial" w:cs="Arial"/>
                <w:snapToGrid w:val="0"/>
                <w:sz w:val="20"/>
                <w:szCs w:val="20"/>
              </w:rPr>
            </w:pPr>
            <w:r w:rsidRPr="00285807">
              <w:rPr>
                <w:rFonts w:ascii="Arial" w:hAnsi="Arial" w:cs="Arial"/>
                <w:snapToGrid w:val="0"/>
                <w:sz w:val="20"/>
                <w:szCs w:val="20"/>
              </w:rPr>
              <w:t xml:space="preserve">El proyecto consta un artículo único, que declara el 10 de abril como el Día Nacional de la Ciencia y la Tecnología y permite que en la segunda semana del mes de abril de cada año, toda institución científica nacional o internacional con sede en Chile organice la Semana Nacional de la Ciencia y la Tecnología, </w:t>
            </w:r>
            <w:r w:rsidRPr="00285807">
              <w:rPr>
                <w:rFonts w:ascii="Arial" w:hAnsi="Arial" w:cs="Arial"/>
                <w:snapToGrid w:val="0"/>
                <w:sz w:val="20"/>
                <w:szCs w:val="20"/>
              </w:rPr>
              <w:lastRenderedPageBreak/>
              <w:t>realizando acciones de promoción que involucren a toda la sociedad.</w:t>
            </w:r>
          </w:p>
          <w:p w:rsidR="00C6639D" w:rsidRPr="00285807" w:rsidRDefault="00737075" w:rsidP="00737075">
            <w:pPr>
              <w:tabs>
                <w:tab w:val="left" w:pos="3060"/>
              </w:tabs>
              <w:jc w:val="both"/>
              <w:rPr>
                <w:rFonts w:ascii="Arial" w:hAnsi="Arial" w:cs="Arial"/>
                <w:snapToGrid w:val="0"/>
                <w:sz w:val="20"/>
                <w:szCs w:val="20"/>
              </w:rPr>
            </w:pPr>
            <w:r w:rsidRPr="00285807">
              <w:rPr>
                <w:rFonts w:ascii="Arial" w:hAnsi="Arial" w:cs="Arial"/>
                <w:snapToGrid w:val="0"/>
                <w:sz w:val="20"/>
                <w:szCs w:val="20"/>
              </w:rPr>
              <w:t xml:space="preserve">En el Senado fue aprobado por </w:t>
            </w:r>
            <w:r w:rsidRPr="00285807">
              <w:rPr>
                <w:rFonts w:ascii="Arial" w:hAnsi="Arial" w:cs="Arial"/>
                <w:b/>
                <w:snapToGrid w:val="0"/>
                <w:sz w:val="20"/>
                <w:szCs w:val="20"/>
              </w:rPr>
              <w:t>unanimidad</w:t>
            </w:r>
            <w:r w:rsidRPr="00285807">
              <w:rPr>
                <w:rFonts w:ascii="Arial" w:hAnsi="Arial" w:cs="Arial"/>
                <w:snapToGrid w:val="0"/>
                <w:sz w:val="20"/>
                <w:szCs w:val="20"/>
              </w:rPr>
              <w:t>, tanto en la Comisión como en la Sala.</w:t>
            </w:r>
          </w:p>
        </w:tc>
        <w:tc>
          <w:tcPr>
            <w:tcW w:w="5102" w:type="dxa"/>
            <w:tcBorders>
              <w:top w:val="single" w:sz="4" w:space="0" w:color="auto"/>
              <w:left w:val="single" w:sz="4" w:space="0" w:color="auto"/>
              <w:bottom w:val="single" w:sz="4" w:space="0" w:color="auto"/>
              <w:right w:val="single" w:sz="4" w:space="0" w:color="auto"/>
            </w:tcBorders>
          </w:tcPr>
          <w:p w:rsidR="00C6639D" w:rsidRPr="00285807" w:rsidRDefault="004E0BD2" w:rsidP="00C86C6B">
            <w:pPr>
              <w:tabs>
                <w:tab w:val="left" w:pos="3060"/>
              </w:tabs>
              <w:jc w:val="both"/>
              <w:rPr>
                <w:rFonts w:ascii="Arial" w:hAnsi="Arial" w:cs="Arial"/>
                <w:b/>
                <w:snapToGrid w:val="0"/>
                <w:sz w:val="20"/>
                <w:szCs w:val="20"/>
              </w:rPr>
            </w:pPr>
            <w:r w:rsidRPr="00285807">
              <w:rPr>
                <w:rFonts w:ascii="Arial" w:hAnsi="Arial" w:cs="Arial"/>
                <w:snapToGrid w:val="0"/>
                <w:sz w:val="20"/>
                <w:szCs w:val="20"/>
              </w:rPr>
              <w:lastRenderedPageBreak/>
              <w:t>En estado de tabla.</w:t>
            </w:r>
          </w:p>
        </w:tc>
      </w:tr>
      <w:tr w:rsidR="00C6639D" w:rsidRPr="00285807" w:rsidTr="00880540">
        <w:tc>
          <w:tcPr>
            <w:tcW w:w="1134" w:type="dxa"/>
            <w:tcBorders>
              <w:top w:val="single" w:sz="4" w:space="0" w:color="auto"/>
              <w:left w:val="single" w:sz="4" w:space="0" w:color="auto"/>
              <w:bottom w:val="single" w:sz="4" w:space="0" w:color="auto"/>
              <w:right w:val="single" w:sz="4" w:space="0" w:color="auto"/>
            </w:tcBorders>
          </w:tcPr>
          <w:p w:rsidR="00C6639D" w:rsidRPr="00285807" w:rsidRDefault="00C6639D" w:rsidP="00737075">
            <w:pPr>
              <w:tabs>
                <w:tab w:val="left" w:pos="3060"/>
              </w:tabs>
              <w:jc w:val="both"/>
              <w:rPr>
                <w:rFonts w:ascii="Arial" w:hAnsi="Arial" w:cs="Arial"/>
                <w:b/>
                <w:sz w:val="20"/>
                <w:szCs w:val="20"/>
              </w:rPr>
            </w:pPr>
            <w:r w:rsidRPr="00285807">
              <w:rPr>
                <w:rFonts w:ascii="Arial" w:hAnsi="Arial" w:cs="Arial"/>
                <w:b/>
                <w:sz w:val="20"/>
                <w:szCs w:val="20"/>
              </w:rPr>
              <w:t>11185-19</w:t>
            </w:r>
          </w:p>
          <w:p w:rsidR="00C6639D" w:rsidRPr="00285807" w:rsidRDefault="00C6639D" w:rsidP="00737075">
            <w:pPr>
              <w:tabs>
                <w:tab w:val="left" w:pos="3060"/>
              </w:tabs>
              <w:jc w:val="both"/>
              <w:rPr>
                <w:rFonts w:ascii="Arial" w:hAnsi="Arial" w:cs="Arial"/>
                <w:sz w:val="20"/>
                <w:szCs w:val="20"/>
                <w:highlight w:val="yellow"/>
              </w:rPr>
            </w:pPr>
            <w:r w:rsidRPr="00285807">
              <w:rPr>
                <w:rFonts w:ascii="Arial" w:hAnsi="Arial" w:cs="Arial"/>
                <w:sz w:val="20"/>
                <w:szCs w:val="20"/>
              </w:rPr>
              <w:t>11 de abril de 2017</w:t>
            </w:r>
          </w:p>
        </w:tc>
        <w:tc>
          <w:tcPr>
            <w:tcW w:w="2268" w:type="dxa"/>
            <w:tcBorders>
              <w:top w:val="single" w:sz="4" w:space="0" w:color="auto"/>
              <w:left w:val="single" w:sz="4" w:space="0" w:color="auto"/>
              <w:bottom w:val="single" w:sz="4" w:space="0" w:color="auto"/>
              <w:right w:val="single" w:sz="4" w:space="0" w:color="auto"/>
            </w:tcBorders>
          </w:tcPr>
          <w:p w:rsidR="00C6639D" w:rsidRPr="00285807" w:rsidRDefault="00352375" w:rsidP="00352375">
            <w:pPr>
              <w:pStyle w:val="Textoindependiente2"/>
              <w:tabs>
                <w:tab w:val="left" w:pos="3060"/>
              </w:tabs>
              <w:rPr>
                <w:rFonts w:cs="Arial"/>
                <w:szCs w:val="20"/>
              </w:rPr>
            </w:pPr>
            <w:r w:rsidRPr="00285807">
              <w:rPr>
                <w:rFonts w:cs="Arial"/>
                <w:szCs w:val="20"/>
              </w:rPr>
              <w:t xml:space="preserve">Moción de los diputados Karol Cariola, Daniel Núñez, Hugo Gutiérrez, Guillermo </w:t>
            </w:r>
            <w:proofErr w:type="spellStart"/>
            <w:r w:rsidRPr="00285807">
              <w:rPr>
                <w:rFonts w:cs="Arial"/>
                <w:szCs w:val="20"/>
              </w:rPr>
              <w:t>Teillier</w:t>
            </w:r>
            <w:proofErr w:type="spellEnd"/>
            <w:r w:rsidRPr="00285807">
              <w:rPr>
                <w:rFonts w:cs="Arial"/>
                <w:szCs w:val="20"/>
              </w:rPr>
              <w:t xml:space="preserve"> y Camila Vallejo, y de los exdiputados Sergio </w:t>
            </w:r>
            <w:proofErr w:type="spellStart"/>
            <w:r w:rsidR="00C6639D" w:rsidRPr="00285807">
              <w:rPr>
                <w:rFonts w:cs="Arial"/>
                <w:szCs w:val="20"/>
              </w:rPr>
              <w:t>Aguiló</w:t>
            </w:r>
            <w:proofErr w:type="spellEnd"/>
            <w:r w:rsidR="00C6639D" w:rsidRPr="00285807">
              <w:rPr>
                <w:rFonts w:cs="Arial"/>
                <w:szCs w:val="20"/>
              </w:rPr>
              <w:t xml:space="preserve">; </w:t>
            </w:r>
            <w:r w:rsidRPr="00285807">
              <w:rPr>
                <w:rFonts w:cs="Arial"/>
                <w:szCs w:val="20"/>
              </w:rPr>
              <w:t xml:space="preserve">Lautaro </w:t>
            </w:r>
            <w:r w:rsidR="00C6639D" w:rsidRPr="00285807">
              <w:rPr>
                <w:rFonts w:cs="Arial"/>
                <w:szCs w:val="20"/>
              </w:rPr>
              <w:t>Carmona</w:t>
            </w:r>
            <w:r w:rsidRPr="00285807">
              <w:rPr>
                <w:rFonts w:cs="Arial"/>
                <w:szCs w:val="20"/>
              </w:rPr>
              <w:t xml:space="preserve"> y Roberto </w:t>
            </w:r>
            <w:r w:rsidR="00C6639D" w:rsidRPr="00285807">
              <w:rPr>
                <w:rFonts w:cs="Arial"/>
                <w:szCs w:val="20"/>
              </w:rPr>
              <w:t>Poblete</w:t>
            </w:r>
          </w:p>
        </w:tc>
        <w:tc>
          <w:tcPr>
            <w:tcW w:w="2835" w:type="dxa"/>
            <w:tcBorders>
              <w:top w:val="single" w:sz="4" w:space="0" w:color="auto"/>
              <w:left w:val="single" w:sz="4" w:space="0" w:color="auto"/>
              <w:bottom w:val="single" w:sz="4" w:space="0" w:color="auto"/>
              <w:right w:val="single" w:sz="4" w:space="0" w:color="auto"/>
            </w:tcBorders>
          </w:tcPr>
          <w:p w:rsidR="00C6639D" w:rsidRPr="00285807" w:rsidRDefault="00C6639D" w:rsidP="00737075">
            <w:pPr>
              <w:pStyle w:val="Textoindependiente2"/>
              <w:tabs>
                <w:tab w:val="left" w:pos="3060"/>
              </w:tabs>
              <w:rPr>
                <w:rFonts w:cs="Arial"/>
                <w:bCs/>
                <w:szCs w:val="20"/>
              </w:rPr>
            </w:pPr>
            <w:r w:rsidRPr="00285807">
              <w:rPr>
                <w:rFonts w:cs="Arial"/>
                <w:bCs/>
                <w:szCs w:val="20"/>
              </w:rPr>
              <w:t>Establece acceso gratuito a eventos que declara de interés general, a través de los servicios de radiodifusión televisiva</w:t>
            </w:r>
          </w:p>
        </w:tc>
        <w:tc>
          <w:tcPr>
            <w:tcW w:w="5102" w:type="dxa"/>
            <w:tcBorders>
              <w:top w:val="single" w:sz="4" w:space="0" w:color="auto"/>
              <w:left w:val="single" w:sz="4" w:space="0" w:color="auto"/>
              <w:bottom w:val="single" w:sz="4" w:space="0" w:color="auto"/>
              <w:right w:val="single" w:sz="4" w:space="0" w:color="auto"/>
            </w:tcBorders>
          </w:tcPr>
          <w:p w:rsidR="00C6639D" w:rsidRPr="00285807" w:rsidRDefault="00352375" w:rsidP="00737075">
            <w:pPr>
              <w:tabs>
                <w:tab w:val="left" w:pos="3060"/>
              </w:tabs>
              <w:jc w:val="both"/>
              <w:rPr>
                <w:rFonts w:ascii="Arial" w:hAnsi="Arial" w:cs="Arial"/>
                <w:snapToGrid w:val="0"/>
                <w:sz w:val="20"/>
                <w:szCs w:val="20"/>
              </w:rPr>
            </w:pPr>
            <w:r w:rsidRPr="00285807">
              <w:rPr>
                <w:rFonts w:ascii="Arial" w:hAnsi="Arial" w:cs="Arial"/>
                <w:snapToGrid w:val="0"/>
                <w:sz w:val="20"/>
                <w:szCs w:val="20"/>
              </w:rPr>
              <w:t>P</w:t>
            </w:r>
            <w:r w:rsidR="00C6639D" w:rsidRPr="00285807">
              <w:rPr>
                <w:rFonts w:ascii="Arial" w:hAnsi="Arial" w:cs="Arial"/>
                <w:snapToGrid w:val="0"/>
                <w:sz w:val="20"/>
                <w:szCs w:val="20"/>
              </w:rPr>
              <w:t>retende crear un derecho de acceso a ciertos eventos deportivos que son de interés para la mayoría de la ciudadanía, como una norma de carácter general que no sólo comprenda el fútbol sino que también otros deportes como el tenis u otros donde las respectivas selecciones destaquen. Para tales efectos, la moción establece el derecho de acceso respecto de partidos de la Copa Davis, las finales de los torneos de fútbol nacional y la emisión de un encuentro por semana</w:t>
            </w:r>
            <w:r w:rsidR="00737075" w:rsidRPr="00285807">
              <w:rPr>
                <w:rFonts w:ascii="Arial" w:hAnsi="Arial" w:cs="Arial"/>
                <w:snapToGrid w:val="0"/>
                <w:sz w:val="20"/>
                <w:szCs w:val="20"/>
              </w:rPr>
              <w:t>.</w:t>
            </w:r>
          </w:p>
          <w:p w:rsidR="00C6639D" w:rsidRPr="00285807" w:rsidRDefault="00C6639D" w:rsidP="00737075">
            <w:pPr>
              <w:tabs>
                <w:tab w:val="left" w:pos="3060"/>
              </w:tabs>
              <w:jc w:val="both"/>
              <w:rPr>
                <w:rFonts w:ascii="Arial" w:hAnsi="Arial" w:cs="Arial"/>
                <w:snapToGrid w:val="0"/>
                <w:sz w:val="20"/>
                <w:szCs w:val="20"/>
              </w:rPr>
            </w:pPr>
            <w:r w:rsidRPr="00285807">
              <w:rPr>
                <w:rFonts w:ascii="Arial" w:hAnsi="Arial" w:cs="Arial"/>
                <w:snapToGrid w:val="0"/>
                <w:sz w:val="20"/>
                <w:szCs w:val="20"/>
              </w:rPr>
              <w:t>Por otra parte, se garantiza la diversidad de fuentes de información sobre el desarrollo del torneo de fútbol profesional, permitiendo que todos los canales de televisión abierta puedan emitir un resumen de los goles y jugadas principales, con razonables limitaciones de tiempo, que podrá ser proporcionado por el titular de derechos exclusivos o bien obtenidos directamente por los canales, según el caso.</w:t>
            </w:r>
          </w:p>
        </w:tc>
        <w:tc>
          <w:tcPr>
            <w:tcW w:w="5102" w:type="dxa"/>
            <w:tcBorders>
              <w:top w:val="single" w:sz="4" w:space="0" w:color="auto"/>
              <w:left w:val="single" w:sz="4" w:space="0" w:color="auto"/>
              <w:bottom w:val="single" w:sz="4" w:space="0" w:color="auto"/>
              <w:right w:val="single" w:sz="4" w:space="0" w:color="auto"/>
            </w:tcBorders>
          </w:tcPr>
          <w:p w:rsidR="00352375" w:rsidRPr="00285807" w:rsidRDefault="00C6639D" w:rsidP="00C86C6B">
            <w:pPr>
              <w:tabs>
                <w:tab w:val="left" w:pos="3060"/>
              </w:tabs>
              <w:jc w:val="both"/>
              <w:rPr>
                <w:rFonts w:ascii="Arial" w:hAnsi="Arial" w:cs="Arial"/>
                <w:snapToGrid w:val="0"/>
                <w:sz w:val="20"/>
                <w:szCs w:val="20"/>
              </w:rPr>
            </w:pPr>
            <w:r w:rsidRPr="00285807">
              <w:rPr>
                <w:rFonts w:ascii="Arial" w:hAnsi="Arial" w:cs="Arial"/>
                <w:snapToGrid w:val="0"/>
                <w:sz w:val="20"/>
                <w:szCs w:val="20"/>
              </w:rPr>
              <w:t>En estado de tabla</w:t>
            </w:r>
            <w:r w:rsidR="00352375" w:rsidRPr="00285807">
              <w:rPr>
                <w:rFonts w:ascii="Arial" w:hAnsi="Arial" w:cs="Arial"/>
                <w:snapToGrid w:val="0"/>
                <w:sz w:val="20"/>
                <w:szCs w:val="20"/>
              </w:rPr>
              <w:t>.</w:t>
            </w:r>
          </w:p>
        </w:tc>
      </w:tr>
    </w:tbl>
    <w:p w:rsidR="0031181D" w:rsidRPr="00285807" w:rsidRDefault="0031181D">
      <w:pPr>
        <w:rPr>
          <w:rFonts w:ascii="Arial" w:hAnsi="Arial" w:cs="Arial"/>
          <w:sz w:val="20"/>
          <w:szCs w:val="20"/>
          <w:lang w:val="es-CL"/>
        </w:rPr>
      </w:pPr>
    </w:p>
    <w:sectPr w:rsidR="0031181D" w:rsidRPr="00285807" w:rsidSect="005D3B6F">
      <w:headerReference w:type="default" r:id="rId10"/>
      <w:type w:val="oddPage"/>
      <w:pgSz w:w="20160" w:h="12240" w:orient="landscape" w:code="5"/>
      <w:pgMar w:top="2268" w:right="1134" w:bottom="2268" w:left="2552"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DC" w:rsidRDefault="001950DC" w:rsidP="005F4889">
      <w:r>
        <w:separator/>
      </w:r>
    </w:p>
  </w:endnote>
  <w:endnote w:type="continuationSeparator" w:id="0">
    <w:p w:rsidR="001950DC" w:rsidRDefault="001950DC" w:rsidP="005F4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DC" w:rsidRDefault="001950DC" w:rsidP="005F4889">
      <w:r>
        <w:separator/>
      </w:r>
    </w:p>
  </w:footnote>
  <w:footnote w:type="continuationSeparator" w:id="0">
    <w:p w:rsidR="001950DC" w:rsidRDefault="001950DC" w:rsidP="005F4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C6" w:rsidRDefault="000975C6">
    <w:pPr>
      <w:pStyle w:val="Encabezado"/>
      <w:jc w:val="right"/>
    </w:pPr>
    <w:r>
      <w:fldChar w:fldCharType="begin"/>
    </w:r>
    <w:r>
      <w:instrText>PAGE   \* MERGEFORMAT</w:instrText>
    </w:r>
    <w:r>
      <w:fldChar w:fldCharType="separate"/>
    </w:r>
    <w:r w:rsidR="005D3B6F">
      <w:rPr>
        <w:noProof/>
      </w:rPr>
      <w:t>4</w:t>
    </w:r>
    <w:r>
      <w:fldChar w:fldCharType="end"/>
    </w:r>
  </w:p>
  <w:p w:rsidR="00FE7BF3" w:rsidRPr="000975C6" w:rsidRDefault="00FE7BF3" w:rsidP="000975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F4"/>
    <w:rsid w:val="00042590"/>
    <w:rsid w:val="00046E59"/>
    <w:rsid w:val="00060B19"/>
    <w:rsid w:val="0006362B"/>
    <w:rsid w:val="000975C6"/>
    <w:rsid w:val="000A0DE3"/>
    <w:rsid w:val="000C584D"/>
    <w:rsid w:val="000C5EFE"/>
    <w:rsid w:val="000F2AF1"/>
    <w:rsid w:val="000F5CA2"/>
    <w:rsid w:val="001170D0"/>
    <w:rsid w:val="00121EA0"/>
    <w:rsid w:val="00132F07"/>
    <w:rsid w:val="0019371F"/>
    <w:rsid w:val="001950DC"/>
    <w:rsid w:val="001A4511"/>
    <w:rsid w:val="002124BC"/>
    <w:rsid w:val="00252D1E"/>
    <w:rsid w:val="00256310"/>
    <w:rsid w:val="00271ECA"/>
    <w:rsid w:val="002746C8"/>
    <w:rsid w:val="00285807"/>
    <w:rsid w:val="002F24BE"/>
    <w:rsid w:val="0031181D"/>
    <w:rsid w:val="00325ABA"/>
    <w:rsid w:val="003334F5"/>
    <w:rsid w:val="00346D32"/>
    <w:rsid w:val="00347389"/>
    <w:rsid w:val="0034793A"/>
    <w:rsid w:val="00352375"/>
    <w:rsid w:val="00356E59"/>
    <w:rsid w:val="00382BFB"/>
    <w:rsid w:val="003C4589"/>
    <w:rsid w:val="003E7E5D"/>
    <w:rsid w:val="00405F09"/>
    <w:rsid w:val="004530BC"/>
    <w:rsid w:val="0046427F"/>
    <w:rsid w:val="00473942"/>
    <w:rsid w:val="004C389D"/>
    <w:rsid w:val="004E0BD2"/>
    <w:rsid w:val="004F76D9"/>
    <w:rsid w:val="004F7FC0"/>
    <w:rsid w:val="00504FF4"/>
    <w:rsid w:val="0050650A"/>
    <w:rsid w:val="00523F01"/>
    <w:rsid w:val="00527532"/>
    <w:rsid w:val="00535CD5"/>
    <w:rsid w:val="005445A6"/>
    <w:rsid w:val="00554029"/>
    <w:rsid w:val="00567250"/>
    <w:rsid w:val="00571B4E"/>
    <w:rsid w:val="005903C8"/>
    <w:rsid w:val="00593E70"/>
    <w:rsid w:val="005C6677"/>
    <w:rsid w:val="005D3B6F"/>
    <w:rsid w:val="005E20E3"/>
    <w:rsid w:val="005E799A"/>
    <w:rsid w:val="005F2FE4"/>
    <w:rsid w:val="005F4889"/>
    <w:rsid w:val="00641F2E"/>
    <w:rsid w:val="006458DF"/>
    <w:rsid w:val="00665048"/>
    <w:rsid w:val="00683780"/>
    <w:rsid w:val="006A11C9"/>
    <w:rsid w:val="006B386E"/>
    <w:rsid w:val="006B4B06"/>
    <w:rsid w:val="006D4F7A"/>
    <w:rsid w:val="006E1CFD"/>
    <w:rsid w:val="006F09B3"/>
    <w:rsid w:val="007157E0"/>
    <w:rsid w:val="00737075"/>
    <w:rsid w:val="00750D43"/>
    <w:rsid w:val="007516F4"/>
    <w:rsid w:val="00776EEB"/>
    <w:rsid w:val="00781E5F"/>
    <w:rsid w:val="007B22C8"/>
    <w:rsid w:val="007C0DA8"/>
    <w:rsid w:val="007D6BD9"/>
    <w:rsid w:val="00801B87"/>
    <w:rsid w:val="00817EF0"/>
    <w:rsid w:val="008305B3"/>
    <w:rsid w:val="00850C52"/>
    <w:rsid w:val="00851BA1"/>
    <w:rsid w:val="00877AB5"/>
    <w:rsid w:val="00880540"/>
    <w:rsid w:val="00892C18"/>
    <w:rsid w:val="00893ECE"/>
    <w:rsid w:val="008A203C"/>
    <w:rsid w:val="008E0364"/>
    <w:rsid w:val="008E3954"/>
    <w:rsid w:val="0093447C"/>
    <w:rsid w:val="009418EA"/>
    <w:rsid w:val="0095491E"/>
    <w:rsid w:val="00983BF4"/>
    <w:rsid w:val="009B3B3F"/>
    <w:rsid w:val="009D1A6E"/>
    <w:rsid w:val="00A40A0F"/>
    <w:rsid w:val="00A952A1"/>
    <w:rsid w:val="00A97170"/>
    <w:rsid w:val="00AA1C3B"/>
    <w:rsid w:val="00AA3842"/>
    <w:rsid w:val="00AB3FFC"/>
    <w:rsid w:val="00AC2448"/>
    <w:rsid w:val="00B03BCF"/>
    <w:rsid w:val="00B16DF7"/>
    <w:rsid w:val="00B257B1"/>
    <w:rsid w:val="00B30AB7"/>
    <w:rsid w:val="00B35338"/>
    <w:rsid w:val="00B43569"/>
    <w:rsid w:val="00B509C7"/>
    <w:rsid w:val="00B530D7"/>
    <w:rsid w:val="00B548BC"/>
    <w:rsid w:val="00B92E5D"/>
    <w:rsid w:val="00BC028F"/>
    <w:rsid w:val="00BC4CD0"/>
    <w:rsid w:val="00BC4E0A"/>
    <w:rsid w:val="00BE2876"/>
    <w:rsid w:val="00C41E22"/>
    <w:rsid w:val="00C563A7"/>
    <w:rsid w:val="00C61B01"/>
    <w:rsid w:val="00C6639D"/>
    <w:rsid w:val="00C76051"/>
    <w:rsid w:val="00C77B7A"/>
    <w:rsid w:val="00C8287A"/>
    <w:rsid w:val="00C83C97"/>
    <w:rsid w:val="00C8438F"/>
    <w:rsid w:val="00C86C6B"/>
    <w:rsid w:val="00CA5086"/>
    <w:rsid w:val="00CC3804"/>
    <w:rsid w:val="00CC66C3"/>
    <w:rsid w:val="00CF47D5"/>
    <w:rsid w:val="00D32393"/>
    <w:rsid w:val="00D6212B"/>
    <w:rsid w:val="00DE20BD"/>
    <w:rsid w:val="00DF4DDE"/>
    <w:rsid w:val="00E03263"/>
    <w:rsid w:val="00E125EF"/>
    <w:rsid w:val="00E127A9"/>
    <w:rsid w:val="00E2415C"/>
    <w:rsid w:val="00E66FCB"/>
    <w:rsid w:val="00E73CFB"/>
    <w:rsid w:val="00EA69C2"/>
    <w:rsid w:val="00EB5782"/>
    <w:rsid w:val="00ED147F"/>
    <w:rsid w:val="00EE735E"/>
    <w:rsid w:val="00F179B5"/>
    <w:rsid w:val="00F5598B"/>
    <w:rsid w:val="00F828FF"/>
    <w:rsid w:val="00F85425"/>
    <w:rsid w:val="00FA2615"/>
    <w:rsid w:val="00FC4F92"/>
    <w:rsid w:val="00FE7BF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D9B6C-82E7-448A-A014-143E8D901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FF4"/>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504FF4"/>
    <w:pPr>
      <w:jc w:val="both"/>
    </w:pPr>
    <w:rPr>
      <w:rFonts w:ascii="Arial" w:hAnsi="Arial"/>
      <w:sz w:val="20"/>
    </w:rPr>
  </w:style>
  <w:style w:type="character" w:customStyle="1" w:styleId="Textoindependiente2Car">
    <w:name w:val="Texto independiente 2 Car"/>
    <w:link w:val="Textoindependiente2"/>
    <w:rsid w:val="00504FF4"/>
    <w:rPr>
      <w:rFonts w:ascii="Arial" w:eastAsia="Times New Roman" w:hAnsi="Arial" w:cs="Times New Roman"/>
      <w:sz w:val="20"/>
      <w:szCs w:val="24"/>
      <w:lang w:val="es-ES" w:eastAsia="es-ES"/>
    </w:rPr>
  </w:style>
  <w:style w:type="paragraph" w:styleId="Encabezado">
    <w:name w:val="header"/>
    <w:basedOn w:val="Normal"/>
    <w:link w:val="EncabezadoCar"/>
    <w:uiPriority w:val="99"/>
    <w:unhideWhenUsed/>
    <w:rsid w:val="00504FF4"/>
    <w:pPr>
      <w:tabs>
        <w:tab w:val="center" w:pos="4419"/>
        <w:tab w:val="right" w:pos="8838"/>
      </w:tabs>
    </w:pPr>
  </w:style>
  <w:style w:type="character" w:customStyle="1" w:styleId="EncabezadoCar">
    <w:name w:val="Encabezado Car"/>
    <w:link w:val="Encabezado"/>
    <w:uiPriority w:val="99"/>
    <w:rsid w:val="00504FF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F4889"/>
    <w:pPr>
      <w:tabs>
        <w:tab w:val="center" w:pos="4419"/>
        <w:tab w:val="right" w:pos="8838"/>
      </w:tabs>
    </w:pPr>
  </w:style>
  <w:style w:type="character" w:customStyle="1" w:styleId="PiedepginaCar">
    <w:name w:val="Pie de página Car"/>
    <w:link w:val="Piedepgina"/>
    <w:uiPriority w:val="99"/>
    <w:rsid w:val="005F4889"/>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CC3804"/>
    <w:rPr>
      <w:rFonts w:ascii="Tahoma" w:hAnsi="Tahoma"/>
      <w:sz w:val="16"/>
      <w:szCs w:val="16"/>
    </w:rPr>
  </w:style>
  <w:style w:type="character" w:customStyle="1" w:styleId="TextodegloboCar">
    <w:name w:val="Texto de globo Car"/>
    <w:link w:val="Textodeglobo"/>
    <w:uiPriority w:val="99"/>
    <w:semiHidden/>
    <w:rsid w:val="00CC3804"/>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817EF0"/>
    <w:rPr>
      <w:sz w:val="20"/>
      <w:szCs w:val="20"/>
    </w:rPr>
  </w:style>
  <w:style w:type="character" w:customStyle="1" w:styleId="TextonotapieCar">
    <w:name w:val="Texto nota pie Car"/>
    <w:link w:val="Textonotapie"/>
    <w:uiPriority w:val="99"/>
    <w:semiHidden/>
    <w:rsid w:val="00817EF0"/>
    <w:rPr>
      <w:rFonts w:ascii="Times New Roman" w:eastAsia="Times New Roman" w:hAnsi="Times New Roman"/>
      <w:lang w:val="es-ES" w:eastAsia="es-ES"/>
    </w:rPr>
  </w:style>
  <w:style w:type="character" w:styleId="Refdenotaalpie">
    <w:name w:val="footnote reference"/>
    <w:uiPriority w:val="99"/>
    <w:semiHidden/>
    <w:unhideWhenUsed/>
    <w:rsid w:val="00817EF0"/>
    <w:rPr>
      <w:vertAlign w:val="superscript"/>
    </w:rPr>
  </w:style>
  <w:style w:type="paragraph" w:customStyle="1" w:styleId="Style1">
    <w:name w:val="Style 1"/>
    <w:uiPriority w:val="99"/>
    <w:rsid w:val="00C563A7"/>
    <w:pPr>
      <w:widowControl w:val="0"/>
      <w:autoSpaceDE w:val="0"/>
      <w:autoSpaceDN w:val="0"/>
      <w:adjustRightInd w:val="0"/>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51B8E1D50B67D449504601EBE881796" ma:contentTypeVersion="0" ma:contentTypeDescription="Crear nuevo documento." ma:contentTypeScope="" ma:versionID="35b989746fa507345d5a111977763a5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119A93-8B26-4CB0-A739-AC260EE88A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037D28-1B4F-49A3-8B07-76E89E750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966A10-7821-4C6F-B79E-5D80BF60A84F}">
  <ds:schemaRefs>
    <ds:schemaRef ds:uri="http://schemas.microsoft.com/sharepoint/v3/contenttype/forms"/>
  </ds:schemaRefs>
</ds:datastoreItem>
</file>

<file path=customXml/itemProps4.xml><?xml version="1.0" encoding="utf-8"?>
<ds:datastoreItem xmlns:ds="http://schemas.openxmlformats.org/officeDocument/2006/customXml" ds:itemID="{4661370E-1E64-4628-8BFD-4ABF85AE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1424</Words>
  <Characters>7838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SAIglesias</dc:creator>
  <cp:keywords/>
  <cp:lastModifiedBy>Maria Soledad Fredes Ruiz</cp:lastModifiedBy>
  <cp:revision>4</cp:revision>
  <cp:lastPrinted>2018-03-13T20:25:00Z</cp:lastPrinted>
  <dcterms:created xsi:type="dcterms:W3CDTF">2018-03-20T21:56:00Z</dcterms:created>
  <dcterms:modified xsi:type="dcterms:W3CDTF">2018-03-21T12:34:00Z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0x0101007585A835E9E8B04A9B13EF509EDB0526</vt:lpwstr>
  </property>
</Properties>
</file>