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7933"/>
        <w:gridCol w:w="8080"/>
      </w:tblGrid>
      <w:tr w:rsidR="00DB72A6" w:rsidRPr="00AF176D" w:rsidTr="00E237C7">
        <w:tc>
          <w:tcPr>
            <w:tcW w:w="7933" w:type="dxa"/>
          </w:tcPr>
          <w:p w:rsidR="00DB72A6" w:rsidRPr="00AF176D" w:rsidRDefault="007F54FC" w:rsidP="00C567F0">
            <w:pPr>
              <w:spacing w:before="60" w:after="60"/>
              <w:jc w:val="center"/>
              <w:rPr>
                <w:b/>
              </w:rPr>
            </w:pPr>
            <w:r w:rsidRPr="00AF176D">
              <w:rPr>
                <w:b/>
              </w:rPr>
              <w:t>LEGISLACIÓN VIGENTE</w:t>
            </w:r>
          </w:p>
        </w:tc>
        <w:tc>
          <w:tcPr>
            <w:tcW w:w="8080" w:type="dxa"/>
          </w:tcPr>
          <w:p w:rsidR="000A1EF2" w:rsidRPr="00AF176D" w:rsidRDefault="009A4BF4" w:rsidP="00C567F0">
            <w:pPr>
              <w:spacing w:before="60" w:after="60"/>
              <w:jc w:val="center"/>
              <w:rPr>
                <w:b/>
              </w:rPr>
            </w:pPr>
            <w:r>
              <w:rPr>
                <w:b/>
              </w:rPr>
              <w:t>PROYECTO DE LEY</w:t>
            </w:r>
          </w:p>
        </w:tc>
      </w:tr>
      <w:tr w:rsidR="000D179A" w:rsidRPr="00AF176D" w:rsidTr="00E237C7">
        <w:tc>
          <w:tcPr>
            <w:tcW w:w="7933" w:type="dxa"/>
          </w:tcPr>
          <w:p w:rsidR="003C6B8F" w:rsidRPr="003C6B8F" w:rsidRDefault="009E4AF1" w:rsidP="003C6B8F">
            <w:pPr>
              <w:jc w:val="both"/>
              <w:rPr>
                <w:b/>
              </w:rPr>
            </w:pPr>
            <w:r>
              <w:rPr>
                <w:b/>
              </w:rPr>
              <w:t>LEY N° 20.845</w:t>
            </w:r>
            <w:r w:rsidR="003C6B8F" w:rsidRPr="003C6B8F">
              <w:rPr>
                <w:b/>
              </w:rPr>
              <w:t xml:space="preserve">, </w:t>
            </w:r>
            <w:r w:rsidRPr="009E4AF1">
              <w:rPr>
                <w:b/>
              </w:rPr>
              <w:t>DE INCLUSIÓN ESCOLAR QUE REGULA LA ADMISIÓN DE LOS Y LAS ESTUDIANTES, ELIMINA EL FINANCIAMIENTO COMPARTIDO Y PROHÍBE EL LUCRO EN ESTABLECIMIENTOS EDUCACIONALES QUE RECIBEN APORTES DEL ESTADO</w:t>
            </w:r>
          </w:p>
          <w:p w:rsidR="003C6B8F" w:rsidRDefault="003C6B8F" w:rsidP="00C16237">
            <w:pPr>
              <w:jc w:val="both"/>
              <w:rPr>
                <w:lang w:val="es-ES"/>
              </w:rPr>
            </w:pPr>
          </w:p>
          <w:p w:rsidR="009E4AF1" w:rsidRPr="009E4AF1" w:rsidRDefault="003C6B8F" w:rsidP="009E4AF1">
            <w:pPr>
              <w:jc w:val="both"/>
              <w:rPr>
                <w:b/>
                <w:lang w:val="es-ES"/>
              </w:rPr>
            </w:pPr>
            <w:r w:rsidRPr="003C6B8F">
              <w:rPr>
                <w:lang w:val="es-ES"/>
              </w:rPr>
              <w:t xml:space="preserve">   </w:t>
            </w:r>
            <w:r w:rsidR="00D16F91" w:rsidRPr="00D16F91">
              <w:rPr>
                <w:b/>
                <w:lang w:val="es-ES"/>
              </w:rPr>
              <w:t>Art</w:t>
            </w:r>
            <w:r w:rsidR="009E4AF1">
              <w:rPr>
                <w:b/>
                <w:lang w:val="es-ES"/>
              </w:rPr>
              <w:t xml:space="preserve">ículo vigésimo sexto: </w:t>
            </w:r>
            <w:proofErr w:type="spellStart"/>
            <w:r w:rsidR="009E4AF1" w:rsidRPr="009E4AF1">
              <w:rPr>
                <w:lang w:val="es-ES"/>
              </w:rPr>
              <w:t>Facúltase</w:t>
            </w:r>
            <w:proofErr w:type="spellEnd"/>
            <w:r w:rsidR="009E4AF1" w:rsidRPr="009E4AF1">
              <w:rPr>
                <w:lang w:val="es-ES"/>
              </w:rPr>
              <w:t xml:space="preserve"> al Presidente de la República para que mediante uno o más decretos con fuerza de ley determine la fecha en que entrará en vigencia lo dispuesto en el numeral 6) del artículo 2º de la presente ley, de conformidad a la gradualidad territorial que determinen los incisos siguientes.</w:t>
            </w:r>
          </w:p>
          <w:p w:rsidR="009E4AF1" w:rsidRPr="009E4AF1" w:rsidRDefault="009E4AF1" w:rsidP="009E4AF1">
            <w:pPr>
              <w:jc w:val="both"/>
              <w:rPr>
                <w:lang w:val="es-ES"/>
              </w:rPr>
            </w:pPr>
            <w:r w:rsidRPr="009E4AF1">
              <w:rPr>
                <w:lang w:val="es-ES"/>
              </w:rPr>
              <w:t xml:space="preserve">   Para el primer año de postulación, se realizará el proceso de admisión en una región de menos de 300.000 habitantes, y exclusivamente para el menor nivel o curso que tengan los establecimientos educacionales de dicha región.</w:t>
            </w:r>
          </w:p>
          <w:p w:rsidR="009E4AF1" w:rsidRPr="009E4AF1" w:rsidRDefault="009E4AF1" w:rsidP="009E4AF1">
            <w:pPr>
              <w:jc w:val="both"/>
              <w:rPr>
                <w:lang w:val="es-ES"/>
              </w:rPr>
            </w:pPr>
            <w:r w:rsidRPr="009E4AF1">
              <w:rPr>
                <w:lang w:val="es-ES"/>
              </w:rPr>
              <w:t xml:space="preserve">   Para el segundo año de postulación, se realizará dicho proceso de admisión en cuatro regiones de menos de 1.000.000 de habitantes, y exclusivamente para el menor nivel o curso que tengan los establecimientos educacionales de dichas regiones. Para el caso de la región señalada en el inciso anterior, el procedimiento de admisión se extenderá a todos los cursos o niveles.</w:t>
            </w:r>
          </w:p>
          <w:p w:rsidR="00510B1E" w:rsidRDefault="009E4AF1" w:rsidP="009E4AF1">
            <w:pPr>
              <w:jc w:val="both"/>
              <w:rPr>
                <w:lang w:val="es-ES"/>
              </w:rPr>
            </w:pPr>
            <w:r w:rsidRPr="009E4AF1">
              <w:rPr>
                <w:lang w:val="es-ES"/>
              </w:rPr>
              <w:t xml:space="preserve">   Para el tercer año de postulación, se realizará el procedimiento de admisión en todas las demás regiones del territorio nacional </w:t>
            </w:r>
            <w:r w:rsidRPr="00524FA6">
              <w:rPr>
                <w:b/>
                <w:lang w:val="es-ES"/>
              </w:rPr>
              <w:t>no consideradas en los incisos anteriores,</w:t>
            </w:r>
            <w:r w:rsidR="00524FA6">
              <w:rPr>
                <w:b/>
                <w:lang w:val="es-ES"/>
              </w:rPr>
              <w:t xml:space="preserve"> </w:t>
            </w:r>
            <w:r>
              <w:rPr>
                <w:lang w:val="es-ES"/>
              </w:rPr>
              <w:t>_____________</w:t>
            </w:r>
            <w:r w:rsidRPr="009E4AF1">
              <w:rPr>
                <w:lang w:val="es-ES"/>
              </w:rPr>
              <w:t xml:space="preserve"> y exclusivamente para el menor nivel o curso que tengan los establecimientos educacionales de dichas regiones. Para el caso de las cuatro regiones señaladas en el inciso anterior, el procedimiento de admisión se extende</w:t>
            </w:r>
            <w:r w:rsidR="00F704AD">
              <w:rPr>
                <w:lang w:val="es-ES"/>
              </w:rPr>
              <w:t>rá a todos los cursos o niveles</w:t>
            </w:r>
            <w:r w:rsidR="00524FA6">
              <w:rPr>
                <w:lang w:val="es-ES"/>
              </w:rPr>
              <w:t>.</w:t>
            </w:r>
          </w:p>
          <w:p w:rsidR="00524FA6" w:rsidRDefault="00524FA6" w:rsidP="009E4AF1">
            <w:pPr>
              <w:jc w:val="both"/>
              <w:rPr>
                <w:lang w:val="es-ES"/>
              </w:rPr>
            </w:pPr>
          </w:p>
          <w:p w:rsidR="00510B1E" w:rsidRDefault="00510B1E" w:rsidP="009E4AF1">
            <w:pPr>
              <w:jc w:val="both"/>
              <w:rPr>
                <w:lang w:val="es-ES"/>
              </w:rPr>
            </w:pPr>
            <w:r>
              <w:rPr>
                <w:lang w:val="es-ES"/>
              </w:rPr>
              <w:t>_____________________________________________________________________</w:t>
            </w:r>
          </w:p>
          <w:p w:rsidR="00510B1E" w:rsidRDefault="00510B1E" w:rsidP="009E4AF1">
            <w:pPr>
              <w:jc w:val="both"/>
              <w:rPr>
                <w:lang w:val="es-ES"/>
              </w:rPr>
            </w:pPr>
          </w:p>
          <w:p w:rsidR="00510B1E" w:rsidRDefault="00510B1E" w:rsidP="009E4AF1">
            <w:pPr>
              <w:jc w:val="both"/>
              <w:rPr>
                <w:lang w:val="es-ES"/>
              </w:rPr>
            </w:pPr>
          </w:p>
          <w:p w:rsidR="00510B1E" w:rsidRDefault="00510B1E" w:rsidP="009E4AF1">
            <w:pPr>
              <w:jc w:val="both"/>
              <w:rPr>
                <w:lang w:val="es-ES"/>
              </w:rPr>
            </w:pPr>
          </w:p>
          <w:p w:rsidR="00510B1E" w:rsidRPr="009E4AF1" w:rsidRDefault="00510B1E" w:rsidP="009E4AF1">
            <w:pPr>
              <w:jc w:val="both"/>
              <w:rPr>
                <w:lang w:val="es-ES"/>
              </w:rPr>
            </w:pPr>
          </w:p>
          <w:p w:rsidR="009E4AF1" w:rsidRPr="009E4AF1" w:rsidRDefault="00524FA6" w:rsidP="009E4AF1">
            <w:pPr>
              <w:jc w:val="both"/>
              <w:rPr>
                <w:lang w:val="es-ES"/>
              </w:rPr>
            </w:pPr>
            <w:r>
              <w:rPr>
                <w:lang w:val="es-ES"/>
              </w:rPr>
              <w:t xml:space="preserve">   </w:t>
            </w:r>
            <w:r w:rsidR="009E4AF1" w:rsidRPr="009E4AF1">
              <w:rPr>
                <w:lang w:val="es-ES"/>
              </w:rPr>
              <w:t xml:space="preserve">Para el </w:t>
            </w:r>
            <w:r w:rsidR="009E4AF1" w:rsidRPr="00510B1E">
              <w:rPr>
                <w:b/>
                <w:lang w:val="es-ES"/>
              </w:rPr>
              <w:t>cuarto</w:t>
            </w:r>
            <w:r w:rsidR="009E4AF1" w:rsidRPr="009E4AF1">
              <w:rPr>
                <w:lang w:val="es-ES"/>
              </w:rPr>
              <w:t xml:space="preserve"> año de postulación, en todas las regiones del país se aplicará el nuevo procedimiento de admisión.</w:t>
            </w:r>
          </w:p>
          <w:p w:rsidR="009E4AF1" w:rsidRPr="009E4AF1" w:rsidRDefault="009E4AF1" w:rsidP="009E4AF1">
            <w:pPr>
              <w:jc w:val="both"/>
              <w:rPr>
                <w:lang w:val="es-ES"/>
              </w:rPr>
            </w:pPr>
            <w:r w:rsidRPr="009E4AF1">
              <w:rPr>
                <w:lang w:val="es-ES"/>
              </w:rPr>
              <w:t xml:space="preserve">   Respecto de aquellos establecimientos educacionales que de acuerdo a un reglamento dictado por el Ministerio de Educación, cumplan con características históricas, de rendimiento académico destacado dentro de su región, que sean gratuitos, que presenten una demanda considerablemente mayor a sus vacantes y que hayan establecido procedimientos de selección académica a la fecha de publicación de la ley, iniciarán sus procesos de admisión, de acuerdo a la gradualidad territorial a que se refieren los incisos anteriores y de conformidad a los siguientes porcentajes.</w:t>
            </w:r>
          </w:p>
          <w:p w:rsidR="009E4AF1" w:rsidRPr="009E4AF1" w:rsidRDefault="009E4AF1" w:rsidP="009E4AF1">
            <w:pPr>
              <w:jc w:val="both"/>
              <w:rPr>
                <w:lang w:val="es-ES"/>
              </w:rPr>
            </w:pPr>
            <w:r w:rsidRPr="009E4AF1">
              <w:rPr>
                <w:lang w:val="es-ES"/>
              </w:rPr>
              <w:t xml:space="preserve">   Dichos establecimientos educacionales podrán admitir a sus estudiantes realizando sus pruebas de admisión de la siguiente forma:</w:t>
            </w:r>
          </w:p>
          <w:p w:rsidR="009E4AF1" w:rsidRPr="009E4AF1" w:rsidRDefault="009E4AF1" w:rsidP="009E4AF1">
            <w:pPr>
              <w:jc w:val="both"/>
              <w:rPr>
                <w:lang w:val="es-ES"/>
              </w:rPr>
            </w:pPr>
            <w:r w:rsidRPr="009E4AF1">
              <w:rPr>
                <w:lang w:val="es-ES"/>
              </w:rPr>
              <w:t xml:space="preserve">   i) El primer año para el 85% de sus cupos.</w:t>
            </w:r>
          </w:p>
          <w:p w:rsidR="009E4AF1" w:rsidRPr="009E4AF1" w:rsidRDefault="009E4AF1" w:rsidP="009E4AF1">
            <w:pPr>
              <w:jc w:val="both"/>
              <w:rPr>
                <w:lang w:val="es-ES"/>
              </w:rPr>
            </w:pPr>
            <w:r w:rsidRPr="009E4AF1">
              <w:rPr>
                <w:lang w:val="es-ES"/>
              </w:rPr>
              <w:t xml:space="preserve">   ii) El segundo año para el 70% de los cupos.</w:t>
            </w:r>
          </w:p>
          <w:p w:rsidR="009E4AF1" w:rsidRPr="009E4AF1" w:rsidRDefault="009E4AF1" w:rsidP="009E4AF1">
            <w:pPr>
              <w:jc w:val="both"/>
              <w:rPr>
                <w:lang w:val="es-ES"/>
              </w:rPr>
            </w:pPr>
            <w:r w:rsidRPr="009E4AF1">
              <w:rPr>
                <w:lang w:val="es-ES"/>
              </w:rPr>
              <w:t xml:space="preserve">   iii) El tercer año para el 50% de los cupos.</w:t>
            </w:r>
          </w:p>
          <w:p w:rsidR="009E4AF1" w:rsidRPr="009E4AF1" w:rsidRDefault="009E4AF1" w:rsidP="009E4AF1">
            <w:pPr>
              <w:jc w:val="both"/>
              <w:rPr>
                <w:lang w:val="es-ES"/>
              </w:rPr>
            </w:pPr>
            <w:r w:rsidRPr="009E4AF1">
              <w:rPr>
                <w:lang w:val="es-ES"/>
              </w:rPr>
              <w:t xml:space="preserve">   iv) El cuarto año para el 30% de los cupos.</w:t>
            </w:r>
          </w:p>
          <w:p w:rsidR="009E4AF1" w:rsidRPr="009E4AF1" w:rsidRDefault="009E4AF1" w:rsidP="009E4AF1">
            <w:pPr>
              <w:jc w:val="both"/>
              <w:rPr>
                <w:lang w:val="es-ES"/>
              </w:rPr>
            </w:pPr>
            <w:r w:rsidRPr="009E4AF1">
              <w:rPr>
                <w:lang w:val="es-ES"/>
              </w:rPr>
              <w:t xml:space="preserve">   v) El quinto año no se podrán realizar pruebas de admisión.</w:t>
            </w:r>
          </w:p>
          <w:p w:rsidR="009E4AF1" w:rsidRPr="009E4AF1" w:rsidRDefault="009E4AF1" w:rsidP="009E4AF1">
            <w:pPr>
              <w:jc w:val="both"/>
              <w:rPr>
                <w:lang w:val="es-ES"/>
              </w:rPr>
            </w:pPr>
            <w:r w:rsidRPr="009E4AF1">
              <w:rPr>
                <w:lang w:val="es-ES"/>
              </w:rPr>
              <w:t xml:space="preserve">   Los cupos que no son completados mediante pruebas de admisión deberán serlo mediante el procedimiento descrito en el artículo 7º ter del decreto con fuerza de ley Nº2, de 1998, del Ministerio de Educación. Lo anterior es sin perjuicio de lo dispuesto en el artículo 7º </w:t>
            </w:r>
            <w:proofErr w:type="spellStart"/>
            <w:r w:rsidRPr="009E4AF1">
              <w:rPr>
                <w:lang w:val="es-ES"/>
              </w:rPr>
              <w:t>quinquies</w:t>
            </w:r>
            <w:proofErr w:type="spellEnd"/>
            <w:r w:rsidRPr="009E4AF1">
              <w:rPr>
                <w:lang w:val="es-ES"/>
              </w:rPr>
              <w:t xml:space="preserve"> del mismo decreto con fuerza de ley Nº2.</w:t>
            </w:r>
          </w:p>
          <w:p w:rsidR="003C6B8F" w:rsidRPr="008F65F6" w:rsidRDefault="009E4AF1" w:rsidP="00524FA6">
            <w:pPr>
              <w:jc w:val="both"/>
              <w:rPr>
                <w:lang w:val="es-ES"/>
              </w:rPr>
            </w:pPr>
            <w:r w:rsidRPr="009E4AF1">
              <w:rPr>
                <w:lang w:val="es-ES"/>
              </w:rPr>
              <w:t xml:space="preserve">   Lo dispuesto en los incisos anteriores no podrá aplicarse hasta sexto año de educación básica inclusive.</w:t>
            </w:r>
          </w:p>
        </w:tc>
        <w:tc>
          <w:tcPr>
            <w:tcW w:w="8080" w:type="dxa"/>
          </w:tcPr>
          <w:p w:rsidR="009E4AF1" w:rsidRDefault="00524FA6" w:rsidP="00524FA6">
            <w:pPr>
              <w:jc w:val="both"/>
            </w:pPr>
            <w:r>
              <w:rPr>
                <w:b/>
              </w:rPr>
              <w:t xml:space="preserve">   </w:t>
            </w:r>
            <w:r w:rsidR="009E4AF1" w:rsidRPr="009E4AF1">
              <w:rPr>
                <w:b/>
              </w:rPr>
              <w:t>Artículo 1</w:t>
            </w:r>
            <w:r>
              <w:rPr>
                <w:b/>
              </w:rPr>
              <w:t xml:space="preserve">.- </w:t>
            </w:r>
            <w:r w:rsidR="00F704AD" w:rsidRPr="00F704AD">
              <w:t>Modifícase el artículo vigésimo sexto transitorio de la ley N° 20.845, de inclusión escolar que regula la admisión de los y las estudiantes, elimina el financiamiento compartido y prohíbe el lucro en establecimientos educacionales que reciben aportes del Estado, de la siguiente manera:</w:t>
            </w:r>
          </w:p>
          <w:p w:rsidR="009E4AF1" w:rsidRDefault="009E4AF1" w:rsidP="00D16F91">
            <w:pPr>
              <w:jc w:val="both"/>
            </w:pPr>
          </w:p>
          <w:p w:rsidR="009E4AF1" w:rsidRDefault="009E4AF1" w:rsidP="00D16F91">
            <w:pPr>
              <w:jc w:val="both"/>
            </w:pPr>
          </w:p>
          <w:p w:rsidR="009E4AF1" w:rsidRDefault="009E4AF1" w:rsidP="00D16F91">
            <w:pPr>
              <w:jc w:val="both"/>
            </w:pPr>
          </w:p>
          <w:p w:rsidR="009E4AF1" w:rsidRDefault="009E4AF1" w:rsidP="00D16F91">
            <w:pPr>
              <w:jc w:val="both"/>
            </w:pPr>
          </w:p>
          <w:p w:rsidR="009E4AF1" w:rsidRDefault="009E4AF1" w:rsidP="00D16F91">
            <w:pPr>
              <w:jc w:val="both"/>
            </w:pPr>
          </w:p>
          <w:p w:rsidR="009E4AF1" w:rsidRDefault="009E4AF1" w:rsidP="00D16F91">
            <w:pPr>
              <w:jc w:val="both"/>
            </w:pPr>
          </w:p>
          <w:p w:rsidR="009E4AF1" w:rsidRDefault="009E4AF1" w:rsidP="00D16F91">
            <w:pPr>
              <w:jc w:val="both"/>
            </w:pPr>
          </w:p>
          <w:p w:rsidR="009E4AF1" w:rsidRDefault="009E4AF1" w:rsidP="00D16F91">
            <w:pPr>
              <w:jc w:val="both"/>
            </w:pPr>
          </w:p>
          <w:p w:rsidR="009E4AF1" w:rsidRDefault="009E4AF1" w:rsidP="00D16F91">
            <w:pPr>
              <w:jc w:val="both"/>
            </w:pPr>
          </w:p>
          <w:p w:rsidR="00524FA6" w:rsidRDefault="00524FA6" w:rsidP="00D16F91">
            <w:pPr>
              <w:jc w:val="both"/>
            </w:pPr>
          </w:p>
          <w:p w:rsidR="009E4AF1" w:rsidRDefault="009E4AF1" w:rsidP="00D16F91">
            <w:pPr>
              <w:jc w:val="both"/>
            </w:pPr>
          </w:p>
          <w:p w:rsidR="00F704AD" w:rsidRDefault="00F704AD" w:rsidP="00D16F91">
            <w:pPr>
              <w:jc w:val="both"/>
            </w:pPr>
          </w:p>
          <w:p w:rsidR="00D16F91" w:rsidRDefault="00D16F91" w:rsidP="00D16F91">
            <w:pPr>
              <w:jc w:val="both"/>
            </w:pPr>
            <w:r>
              <w:t>1) Intercálase, en el inciso cuarto, a continuación de la expresión “no consideradas en los incisos anteriores,”, la frase “con excepción de la Región Metropolitana,”.</w:t>
            </w:r>
          </w:p>
          <w:p w:rsidR="009E4AF1" w:rsidRDefault="009E4AF1" w:rsidP="00D16F91">
            <w:pPr>
              <w:jc w:val="both"/>
            </w:pPr>
          </w:p>
          <w:p w:rsidR="009E4AF1" w:rsidRDefault="009E4AF1" w:rsidP="00D16F91">
            <w:pPr>
              <w:jc w:val="both"/>
            </w:pPr>
          </w:p>
          <w:p w:rsidR="00D16F91" w:rsidRDefault="00D16F91" w:rsidP="00D16F91">
            <w:pPr>
              <w:jc w:val="both"/>
            </w:pPr>
            <w:r>
              <w:t>2) Agrégase el siguiente inciso quinto, nuevo, pasando el actual inciso quinto a ser sexto y así suce</w:t>
            </w:r>
            <w:r w:rsidR="00510B1E">
              <w:t>sivamente:</w:t>
            </w:r>
          </w:p>
          <w:p w:rsidR="00524FA6" w:rsidRDefault="00524FA6" w:rsidP="00D16F91">
            <w:pPr>
              <w:jc w:val="both"/>
            </w:pPr>
          </w:p>
          <w:p w:rsidR="00D16F91" w:rsidRDefault="00D16F91" w:rsidP="00D16F91">
            <w:pPr>
              <w:jc w:val="both"/>
            </w:pPr>
            <w:r>
              <w:t xml:space="preserve">“Para el cuarto año de postulación, se realizará el procedimiento de admisión en la Región Metropolitana, y exclusivamente para el menor nivel o curso que tengan los establecimientos educacionales de dicha región. Para el caso de las regiones señaladas </w:t>
            </w:r>
            <w:r>
              <w:lastRenderedPageBreak/>
              <w:t>en el inciso anterior, el procedimiento de admisión se extenderá a todos los cursos o niveles.”.</w:t>
            </w:r>
          </w:p>
          <w:p w:rsidR="00D16F91" w:rsidRDefault="00D16F91" w:rsidP="00D16F91">
            <w:pPr>
              <w:jc w:val="both"/>
            </w:pPr>
            <w:r>
              <w:t>3) Reemplázase en el inciso quinto, que ha pasado a ser sexto, la palabra “cuarto” por “quinto”.</w:t>
            </w:r>
          </w:p>
          <w:p w:rsidR="00853C34" w:rsidRDefault="00853C34" w:rsidP="00853C34">
            <w:pPr>
              <w:jc w:val="both"/>
            </w:pPr>
          </w:p>
          <w:p w:rsidR="003C6B8F" w:rsidRPr="000813E8" w:rsidRDefault="003C6B8F" w:rsidP="00D16F91">
            <w:pPr>
              <w:jc w:val="both"/>
            </w:pPr>
          </w:p>
        </w:tc>
      </w:tr>
    </w:tbl>
    <w:p w:rsidR="00524FA6" w:rsidRDefault="00524FA6"/>
    <w:p w:rsidR="00524FA6" w:rsidRDefault="00524FA6"/>
    <w:p w:rsidR="00524FA6" w:rsidRDefault="00524FA6"/>
    <w:tbl>
      <w:tblPr>
        <w:tblStyle w:val="Tablaconcuadrcula"/>
        <w:tblW w:w="0" w:type="auto"/>
        <w:tblLook w:val="04A0" w:firstRow="1" w:lastRow="0" w:firstColumn="1" w:lastColumn="0" w:noHBand="0" w:noVBand="1"/>
      </w:tblPr>
      <w:tblGrid>
        <w:gridCol w:w="7933"/>
        <w:gridCol w:w="8080"/>
      </w:tblGrid>
      <w:tr w:rsidR="000D179A" w:rsidRPr="00AF176D" w:rsidTr="00E237C7">
        <w:tc>
          <w:tcPr>
            <w:tcW w:w="7933" w:type="dxa"/>
          </w:tcPr>
          <w:p w:rsidR="00A3380A" w:rsidRDefault="00D16F91" w:rsidP="00580D2B">
            <w:pPr>
              <w:jc w:val="both"/>
              <w:rPr>
                <w:b/>
              </w:rPr>
            </w:pPr>
            <w:r w:rsidRPr="00D16F91">
              <w:rPr>
                <w:b/>
              </w:rPr>
              <w:t>DECRETO CON FUERZA DE LEY N° 4, DEL MINISTERIO DE EDUCACIÓN, DE 2016</w:t>
            </w:r>
            <w:r w:rsidR="00F81B60">
              <w:rPr>
                <w:b/>
              </w:rPr>
              <w:t xml:space="preserve">, QUE </w:t>
            </w:r>
            <w:r w:rsidR="00F81B60" w:rsidRPr="00F81B60">
              <w:rPr>
                <w:b/>
              </w:rPr>
              <w:t xml:space="preserve">ESTABLECE LA VIGENCIA DEL PROCESO DE ADMISIÓN E INDICA LAS REGIONES PARA EL TERCER AÑO DE POSTULACIÓN, SEGÚN LAS NORMAS DE GRADUALIDAD </w:t>
            </w:r>
            <w:r w:rsidR="00F81B60" w:rsidRPr="00F81B60">
              <w:rPr>
                <w:b/>
              </w:rPr>
              <w:lastRenderedPageBreak/>
              <w:t>TERRITORIAL A QUE SE REFIERE EL ARTÍCULO VIGÉSIMO SEXTO TRANSITORIO DE LA LEY N° 20.845</w:t>
            </w:r>
          </w:p>
          <w:p w:rsidR="00F704AD" w:rsidRPr="00D16F91" w:rsidRDefault="00F704AD" w:rsidP="00580D2B">
            <w:pPr>
              <w:jc w:val="both"/>
              <w:rPr>
                <w:b/>
              </w:rPr>
            </w:pPr>
          </w:p>
          <w:p w:rsidR="001125AB" w:rsidRDefault="001125AB" w:rsidP="001125AB">
            <w:pPr>
              <w:jc w:val="both"/>
            </w:pPr>
            <w:r>
              <w:t xml:space="preserve">   </w:t>
            </w:r>
            <w:r>
              <w:rPr>
                <w:b/>
              </w:rPr>
              <w:t>Artículo 1</w:t>
            </w:r>
            <w:r w:rsidRPr="001125AB">
              <w:rPr>
                <w:b/>
              </w:rPr>
              <w:t>.-</w:t>
            </w:r>
            <w:r>
              <w:t xml:space="preserve"> </w:t>
            </w:r>
            <w:r w:rsidRPr="00A80282">
              <w:rPr>
                <w:b/>
              </w:rPr>
              <w:t>Dispóngase</w:t>
            </w:r>
            <w:r>
              <w:t xml:space="preserve"> el año 2018, como tercer año de postulación para las siguientes regiones: </w:t>
            </w:r>
            <w:r w:rsidRPr="00A80282">
              <w:rPr>
                <w:strike/>
              </w:rPr>
              <w:t xml:space="preserve">XV </w:t>
            </w:r>
            <w:r>
              <w:t xml:space="preserve">Región de Arica y Parinacota; </w:t>
            </w:r>
            <w:r w:rsidRPr="00A80282">
              <w:rPr>
                <w:strike/>
              </w:rPr>
              <w:t>II</w:t>
            </w:r>
            <w:r>
              <w:t xml:space="preserve"> Región de Antofagasta; </w:t>
            </w:r>
            <w:r w:rsidRPr="00A80282">
              <w:rPr>
                <w:strike/>
              </w:rPr>
              <w:t>III</w:t>
            </w:r>
            <w:r>
              <w:t xml:space="preserve"> Región de Atacama; </w:t>
            </w:r>
            <w:r w:rsidRPr="00A80282">
              <w:rPr>
                <w:strike/>
              </w:rPr>
              <w:t>V</w:t>
            </w:r>
            <w:r>
              <w:t xml:space="preserve"> Región de Valparaíso; </w:t>
            </w:r>
            <w:r w:rsidRPr="00A80282">
              <w:rPr>
                <w:strike/>
              </w:rPr>
              <w:t>VII</w:t>
            </w:r>
            <w:r>
              <w:t xml:space="preserve"> Región del Maule; </w:t>
            </w:r>
            <w:r w:rsidRPr="00A80282">
              <w:rPr>
                <w:strike/>
              </w:rPr>
              <w:t>VIII</w:t>
            </w:r>
            <w:r>
              <w:t xml:space="preserve"> Región del Biobío; </w:t>
            </w:r>
            <w:r w:rsidRPr="00A80282">
              <w:rPr>
                <w:strike/>
              </w:rPr>
              <w:t xml:space="preserve">IX </w:t>
            </w:r>
            <w:r>
              <w:t xml:space="preserve">Región de la Araucanía; </w:t>
            </w:r>
            <w:r w:rsidRPr="00A80282">
              <w:rPr>
                <w:strike/>
              </w:rPr>
              <w:t>XIV</w:t>
            </w:r>
            <w:r>
              <w:t xml:space="preserve"> Región de Los Ríos; </w:t>
            </w:r>
            <w:r w:rsidRPr="00A80282">
              <w:rPr>
                <w:b/>
              </w:rPr>
              <w:t>XI Región de Aysén del General Carlos Ibáñez del Campo, y Región Metropolitana de Santiago</w:t>
            </w:r>
            <w:r>
              <w:t>.</w:t>
            </w:r>
          </w:p>
          <w:p w:rsidR="001125AB" w:rsidRDefault="001125AB" w:rsidP="001125AB">
            <w:pPr>
              <w:jc w:val="both"/>
            </w:pPr>
          </w:p>
          <w:p w:rsidR="005B0245" w:rsidRDefault="005B0245" w:rsidP="001125AB">
            <w:pPr>
              <w:jc w:val="both"/>
            </w:pPr>
          </w:p>
          <w:p w:rsidR="005B0245" w:rsidRDefault="005B0245" w:rsidP="001125AB">
            <w:pPr>
              <w:jc w:val="both"/>
            </w:pPr>
          </w:p>
          <w:p w:rsidR="00A80282" w:rsidRDefault="00A80282" w:rsidP="001125AB">
            <w:pPr>
              <w:jc w:val="both"/>
            </w:pPr>
            <w:r>
              <w:t>______________________________________________________________________</w:t>
            </w:r>
          </w:p>
          <w:p w:rsidR="00A80282" w:rsidRDefault="00A80282" w:rsidP="001125AB">
            <w:pPr>
              <w:jc w:val="both"/>
            </w:pPr>
          </w:p>
          <w:p w:rsidR="00A80282" w:rsidRDefault="00A80282" w:rsidP="001125AB">
            <w:pPr>
              <w:jc w:val="both"/>
            </w:pPr>
          </w:p>
          <w:p w:rsidR="00F704AD" w:rsidRDefault="00F704AD" w:rsidP="001125AB">
            <w:pPr>
              <w:jc w:val="both"/>
            </w:pPr>
          </w:p>
          <w:p w:rsidR="005B0245" w:rsidRDefault="005B0245" w:rsidP="001125AB">
            <w:pPr>
              <w:jc w:val="both"/>
            </w:pPr>
          </w:p>
          <w:p w:rsidR="001125AB" w:rsidRDefault="001125AB" w:rsidP="001125AB">
            <w:pPr>
              <w:jc w:val="both"/>
            </w:pPr>
            <w:r>
              <w:t xml:space="preserve">     </w:t>
            </w:r>
            <w:r w:rsidRPr="001125AB">
              <w:rPr>
                <w:b/>
              </w:rPr>
              <w:t>Artículo 2.-</w:t>
            </w:r>
            <w:r>
              <w:t xml:space="preserve"> </w:t>
            </w:r>
            <w:r w:rsidRPr="00A80282">
              <w:rPr>
                <w:b/>
              </w:rPr>
              <w:t>Establézcase</w:t>
            </w:r>
            <w:r>
              <w:t xml:space="preserve"> para el año escolar 2019, la entrada en vigencia del proceso de admisión escolar dispuesto en el numeral 6) del artículo 2° de la ley N° 20.845, en las regiones señaladas en el </w:t>
            </w:r>
            <w:r w:rsidRPr="00A80282">
              <w:rPr>
                <w:b/>
              </w:rPr>
              <w:t>artículo 1°</w:t>
            </w:r>
            <w:r>
              <w:t xml:space="preserve"> precedente.</w:t>
            </w:r>
          </w:p>
          <w:p w:rsidR="00DC768E" w:rsidRDefault="00DC768E" w:rsidP="001125AB">
            <w:pPr>
              <w:jc w:val="both"/>
            </w:pPr>
          </w:p>
          <w:p w:rsidR="005B0245" w:rsidRDefault="005B0245" w:rsidP="001125AB">
            <w:pPr>
              <w:jc w:val="both"/>
            </w:pPr>
          </w:p>
          <w:p w:rsidR="005B0245" w:rsidRDefault="005B0245" w:rsidP="001125AB">
            <w:pPr>
              <w:jc w:val="both"/>
            </w:pPr>
          </w:p>
          <w:p w:rsidR="005B0245" w:rsidRDefault="005B0245" w:rsidP="001125AB">
            <w:pPr>
              <w:jc w:val="both"/>
            </w:pPr>
          </w:p>
          <w:p w:rsidR="00DC768E" w:rsidRDefault="00DC768E" w:rsidP="001125AB">
            <w:pPr>
              <w:jc w:val="both"/>
            </w:pPr>
            <w:r>
              <w:t>_____________________________________________________________________</w:t>
            </w:r>
          </w:p>
          <w:p w:rsidR="00DC768E" w:rsidRDefault="00DC768E" w:rsidP="001125AB">
            <w:pPr>
              <w:jc w:val="both"/>
            </w:pPr>
          </w:p>
          <w:p w:rsidR="00DC768E" w:rsidRDefault="00DC768E" w:rsidP="001125AB">
            <w:pPr>
              <w:jc w:val="both"/>
            </w:pPr>
          </w:p>
          <w:p w:rsidR="008541D2" w:rsidRDefault="001125AB" w:rsidP="001125AB">
            <w:pPr>
              <w:jc w:val="both"/>
            </w:pPr>
            <w:r>
              <w:t xml:space="preserve">   </w:t>
            </w:r>
            <w:r w:rsidRPr="00DC768E">
              <w:rPr>
                <w:b/>
              </w:rPr>
              <w:t>Dicho proceso se implementará</w:t>
            </w:r>
            <w:r>
              <w:t xml:space="preserve"> exclusivamente para el primer curso del menor nivel de enseñanza que tenga reconocido oficialmente cada uno de los establecimientos educacionales de dichas regiones.</w:t>
            </w:r>
          </w:p>
          <w:p w:rsidR="001125AB" w:rsidRDefault="001125AB" w:rsidP="001125AB">
            <w:pPr>
              <w:jc w:val="both"/>
            </w:pPr>
          </w:p>
          <w:p w:rsidR="005B0245" w:rsidRDefault="005B0245" w:rsidP="001125AB">
            <w:pPr>
              <w:jc w:val="both"/>
            </w:pPr>
          </w:p>
          <w:p w:rsidR="001125AB" w:rsidRDefault="001125AB" w:rsidP="001125AB">
            <w:pPr>
              <w:jc w:val="both"/>
            </w:pPr>
            <w:r>
              <w:t xml:space="preserve">    </w:t>
            </w:r>
            <w:r>
              <w:rPr>
                <w:b/>
              </w:rPr>
              <w:t>Artículo 4</w:t>
            </w:r>
            <w:r w:rsidRPr="001125AB">
              <w:rPr>
                <w:b/>
              </w:rPr>
              <w:t>.-</w:t>
            </w:r>
            <w:r>
              <w:t xml:space="preserve"> </w:t>
            </w:r>
            <w:proofErr w:type="spellStart"/>
            <w:r>
              <w:t>Señálase</w:t>
            </w:r>
            <w:proofErr w:type="spellEnd"/>
            <w:r>
              <w:t xml:space="preserve"> para la</w:t>
            </w:r>
            <w:r w:rsidRPr="00004BF4">
              <w:rPr>
                <w:strike/>
              </w:rPr>
              <w:t xml:space="preserve"> I</w:t>
            </w:r>
            <w:r>
              <w:t xml:space="preserve"> Región de Tarapacá; </w:t>
            </w:r>
            <w:r w:rsidRPr="00004BF4">
              <w:rPr>
                <w:strike/>
              </w:rPr>
              <w:t xml:space="preserve">IV </w:t>
            </w:r>
            <w:r>
              <w:t xml:space="preserve">Región de Coquimbo; </w:t>
            </w:r>
            <w:r w:rsidRPr="00004BF4">
              <w:rPr>
                <w:strike/>
              </w:rPr>
              <w:t xml:space="preserve">VI </w:t>
            </w:r>
            <w:r>
              <w:t xml:space="preserve">Región del Libertador General Bernardo O'Higgins, y </w:t>
            </w:r>
            <w:r w:rsidRPr="00004BF4">
              <w:rPr>
                <w:strike/>
              </w:rPr>
              <w:t>X</w:t>
            </w:r>
            <w:r>
              <w:t xml:space="preserve"> Región de Los Lagos, que el procedimiento de postulación del año 2018 y de admisión del año 2019 de los </w:t>
            </w:r>
            <w:r>
              <w:lastRenderedPageBreak/>
              <w:t>establecimientos educacionales se extenderá a todos sus cursos o niveles reconocidos oficialmente.</w:t>
            </w:r>
          </w:p>
          <w:p w:rsidR="005B0245" w:rsidRDefault="001125AB" w:rsidP="001125AB">
            <w:pPr>
              <w:jc w:val="both"/>
            </w:pPr>
            <w:r>
              <w:t xml:space="preserve">     Asimismo, para la </w:t>
            </w:r>
            <w:r w:rsidRPr="00004BF4">
              <w:rPr>
                <w:strike/>
              </w:rPr>
              <w:t xml:space="preserve">XV </w:t>
            </w:r>
            <w:r>
              <w:t xml:space="preserve">Región de Arica y Parinacota; </w:t>
            </w:r>
            <w:r w:rsidRPr="00004BF4">
              <w:rPr>
                <w:strike/>
              </w:rPr>
              <w:t>II</w:t>
            </w:r>
            <w:r>
              <w:t xml:space="preserve"> Región de Antofagasta; </w:t>
            </w:r>
            <w:r w:rsidRPr="00004BF4">
              <w:rPr>
                <w:strike/>
              </w:rPr>
              <w:t>III</w:t>
            </w:r>
            <w:r>
              <w:t xml:space="preserve"> Región de Atacama;</w:t>
            </w:r>
            <w:r w:rsidRPr="00004BF4">
              <w:rPr>
                <w:strike/>
              </w:rPr>
              <w:t xml:space="preserve"> V</w:t>
            </w:r>
            <w:r>
              <w:t xml:space="preserve"> Región de Valparaíso; </w:t>
            </w:r>
            <w:r w:rsidRPr="00004BF4">
              <w:rPr>
                <w:strike/>
              </w:rPr>
              <w:t>VII</w:t>
            </w:r>
            <w:r>
              <w:t xml:space="preserve"> Región del Maule; </w:t>
            </w:r>
            <w:r w:rsidRPr="00004BF4">
              <w:rPr>
                <w:strike/>
              </w:rPr>
              <w:t>VIII</w:t>
            </w:r>
            <w:r>
              <w:t xml:space="preserve"> Región del Biobío; </w:t>
            </w:r>
            <w:r w:rsidRPr="00004BF4">
              <w:rPr>
                <w:strike/>
              </w:rPr>
              <w:t xml:space="preserve">IX </w:t>
            </w:r>
            <w:r>
              <w:t>Región de la Araucanía;</w:t>
            </w:r>
            <w:r w:rsidRPr="00004BF4">
              <w:rPr>
                <w:strike/>
              </w:rPr>
              <w:t xml:space="preserve"> XIV</w:t>
            </w:r>
            <w:r>
              <w:t xml:space="preserve"> Región de Los Ríos; </w:t>
            </w:r>
            <w:r w:rsidRPr="00004BF4">
              <w:rPr>
                <w:b/>
              </w:rPr>
              <w:t>XI Región de Aisén del General Carlos Ibáñez del Campo; y Región Metropolitana de Santiago</w:t>
            </w:r>
            <w:r>
              <w:t>, el procedimiento de postulación para el año 2019 y de admisión para el año 2020 de los establecimientos educacionales de estas regiones, se extenderá a todos sus cursos o niveles reconocidos oficialmente.</w:t>
            </w:r>
          </w:p>
          <w:p w:rsidR="00004BF4" w:rsidRDefault="005B0245" w:rsidP="001125AB">
            <w:pPr>
              <w:jc w:val="both"/>
            </w:pPr>
            <w:r>
              <w:t xml:space="preserve"> </w:t>
            </w:r>
          </w:p>
          <w:p w:rsidR="00004BF4" w:rsidRPr="00C16237" w:rsidRDefault="00004BF4" w:rsidP="001125AB">
            <w:pPr>
              <w:jc w:val="both"/>
            </w:pPr>
            <w:r>
              <w:t>______________________________________________________________________</w:t>
            </w:r>
          </w:p>
        </w:tc>
        <w:tc>
          <w:tcPr>
            <w:tcW w:w="8080" w:type="dxa"/>
          </w:tcPr>
          <w:p w:rsidR="009A38C4" w:rsidRDefault="005B0245" w:rsidP="00524FA6">
            <w:pPr>
              <w:jc w:val="both"/>
              <w:rPr>
                <w:lang w:val="es-ES"/>
              </w:rPr>
            </w:pPr>
            <w:r>
              <w:rPr>
                <w:b/>
                <w:lang w:val="es-ES"/>
              </w:rPr>
              <w:lastRenderedPageBreak/>
              <w:t xml:space="preserve">   </w:t>
            </w:r>
            <w:r w:rsidR="001E041B">
              <w:rPr>
                <w:b/>
                <w:lang w:val="es-ES"/>
              </w:rPr>
              <w:t>Artículo 2</w:t>
            </w:r>
            <w:r w:rsidR="00524FA6">
              <w:rPr>
                <w:b/>
                <w:lang w:val="es-ES"/>
              </w:rPr>
              <w:t xml:space="preserve">.- </w:t>
            </w:r>
            <w:r w:rsidR="00F704AD" w:rsidRPr="00F704AD">
              <w:rPr>
                <w:lang w:val="es-ES"/>
              </w:rPr>
              <w:t>Modifícase el decreto con fuerza de ley N° 4, del Ministerio de Educación, de 2016, en los siguientes términos:</w:t>
            </w:r>
          </w:p>
          <w:p w:rsidR="00524FA6" w:rsidRPr="00F704AD" w:rsidRDefault="00524FA6" w:rsidP="00524FA6">
            <w:pPr>
              <w:jc w:val="both"/>
              <w:rPr>
                <w:lang w:val="es-ES"/>
              </w:rPr>
            </w:pPr>
          </w:p>
          <w:p w:rsidR="00004BF4" w:rsidRDefault="005B0245" w:rsidP="00524FA6">
            <w:pPr>
              <w:jc w:val="both"/>
            </w:pPr>
            <w:r>
              <w:t xml:space="preserve">   </w:t>
            </w:r>
            <w:r w:rsidR="00A80282" w:rsidRPr="00A80282">
              <w:t xml:space="preserve">1) </w:t>
            </w:r>
            <w:r w:rsidR="00F704AD">
              <w:t>Modifícase su artículo 1</w:t>
            </w:r>
            <w:r w:rsidR="009A38C4" w:rsidRPr="00A80282">
              <w:t xml:space="preserve"> de la siguiente manera:</w:t>
            </w:r>
          </w:p>
          <w:p w:rsidR="00524FA6" w:rsidRDefault="00524FA6" w:rsidP="00524FA6">
            <w:pPr>
              <w:jc w:val="both"/>
            </w:pPr>
          </w:p>
          <w:p w:rsidR="00A80282" w:rsidRDefault="005B0245" w:rsidP="00524FA6">
            <w:pPr>
              <w:jc w:val="both"/>
            </w:pPr>
            <w:r>
              <w:t xml:space="preserve">   </w:t>
            </w:r>
            <w:r w:rsidR="009A38C4" w:rsidRPr="00A80282">
              <w:t>a) Sustitúyese la palabra inicial “Dispóngase” por “</w:t>
            </w:r>
            <w:proofErr w:type="spellStart"/>
            <w:r w:rsidR="009A38C4" w:rsidRPr="00A80282">
              <w:t>Dispónese</w:t>
            </w:r>
            <w:proofErr w:type="spellEnd"/>
            <w:r w:rsidR="009A38C4" w:rsidRPr="00A80282">
              <w:t xml:space="preserve">”. </w:t>
            </w:r>
          </w:p>
          <w:p w:rsidR="00524FA6" w:rsidRPr="00A80282" w:rsidRDefault="00524FA6" w:rsidP="00524FA6">
            <w:pPr>
              <w:jc w:val="both"/>
            </w:pPr>
          </w:p>
          <w:p w:rsidR="009A38C4" w:rsidRDefault="005B0245" w:rsidP="00524FA6">
            <w:pPr>
              <w:jc w:val="both"/>
            </w:pPr>
            <w:r>
              <w:t xml:space="preserve">   </w:t>
            </w:r>
            <w:r w:rsidR="009A38C4" w:rsidRPr="00A80282">
              <w:t>b) Elimínanse los guarismos “XV”, “II”, “III”, “V”, “VII”, “VIII”, “IX” y “XIV”.</w:t>
            </w:r>
          </w:p>
          <w:p w:rsidR="00524FA6" w:rsidRPr="00A80282" w:rsidRDefault="00524FA6" w:rsidP="00524FA6">
            <w:pPr>
              <w:jc w:val="both"/>
            </w:pPr>
          </w:p>
          <w:p w:rsidR="00A80282" w:rsidRDefault="005B0245" w:rsidP="00524FA6">
            <w:pPr>
              <w:jc w:val="both"/>
            </w:pPr>
            <w:r>
              <w:t xml:space="preserve">   </w:t>
            </w:r>
            <w:r w:rsidR="009A38C4" w:rsidRPr="00A80282">
              <w:t>c) Reemplázase la expresión “; XI Región de Aysé</w:t>
            </w:r>
            <w:r w:rsidR="00A80282" w:rsidRPr="00A80282">
              <w:t>n del General Carlos Ibáñez del</w:t>
            </w:r>
            <w:r w:rsidR="00524FA6">
              <w:t xml:space="preserve"> </w:t>
            </w:r>
            <w:r w:rsidR="009A38C4" w:rsidRPr="00A80282">
              <w:t>Campo, y Región Metropolitana de Santiago” por “y Región de Aysén del General Carlos Ibáñez del Campo”.</w:t>
            </w:r>
          </w:p>
          <w:p w:rsidR="00524FA6" w:rsidRDefault="00524FA6" w:rsidP="00524FA6">
            <w:pPr>
              <w:jc w:val="both"/>
            </w:pPr>
          </w:p>
          <w:p w:rsidR="009A38C4" w:rsidRPr="00A80282" w:rsidRDefault="005B0245" w:rsidP="00524FA6">
            <w:pPr>
              <w:jc w:val="both"/>
            </w:pPr>
            <w:r>
              <w:rPr>
                <w:rFonts w:cs="Arial"/>
                <w:lang w:val="es-ES_tradnl"/>
              </w:rPr>
              <w:t xml:space="preserve">  </w:t>
            </w:r>
            <w:r w:rsidR="009A38C4" w:rsidRPr="00710DCC">
              <w:rPr>
                <w:rFonts w:cs="Arial"/>
                <w:lang w:val="es-ES_tradnl"/>
              </w:rPr>
              <w:t>d) Incorpórase el siguiente inciso segundo:</w:t>
            </w:r>
          </w:p>
          <w:p w:rsidR="00524FA6" w:rsidRDefault="005B0245" w:rsidP="00524FA6">
            <w:pPr>
              <w:tabs>
                <w:tab w:val="left" w:pos="2835"/>
              </w:tabs>
              <w:jc w:val="both"/>
              <w:rPr>
                <w:rFonts w:cs="Arial"/>
                <w:lang w:val="es-ES_tradnl"/>
              </w:rPr>
            </w:pPr>
            <w:r>
              <w:rPr>
                <w:rFonts w:cs="Arial"/>
                <w:lang w:val="es-ES_tradnl"/>
              </w:rPr>
              <w:t xml:space="preserve">   </w:t>
            </w:r>
            <w:r w:rsidR="009A38C4" w:rsidRPr="00710DCC">
              <w:rPr>
                <w:rFonts w:cs="Arial"/>
                <w:lang w:val="es-ES_tradnl"/>
              </w:rPr>
              <w:t>“</w:t>
            </w:r>
            <w:proofErr w:type="spellStart"/>
            <w:r w:rsidR="009A38C4" w:rsidRPr="00710DCC">
              <w:rPr>
                <w:rFonts w:cs="Arial"/>
                <w:lang w:val="es-ES_tradnl"/>
              </w:rPr>
              <w:t>Dispónese</w:t>
            </w:r>
            <w:proofErr w:type="spellEnd"/>
            <w:r w:rsidR="009A38C4" w:rsidRPr="00710DCC">
              <w:rPr>
                <w:rFonts w:cs="Arial"/>
                <w:lang w:val="es-ES_tradnl"/>
              </w:rPr>
              <w:t xml:space="preserve"> el año 2019, como cuarto año de postulación para la Región Metropolitana.”.</w:t>
            </w:r>
          </w:p>
          <w:p w:rsidR="005B0245" w:rsidRDefault="005B0245" w:rsidP="00524FA6">
            <w:pPr>
              <w:tabs>
                <w:tab w:val="left" w:pos="2835"/>
              </w:tabs>
              <w:jc w:val="both"/>
              <w:rPr>
                <w:rFonts w:cs="Arial"/>
                <w:lang w:val="es-ES_tradnl"/>
              </w:rPr>
            </w:pPr>
          </w:p>
          <w:p w:rsidR="005B0245" w:rsidRDefault="005B0245" w:rsidP="00524FA6">
            <w:pPr>
              <w:tabs>
                <w:tab w:val="left" w:pos="2835"/>
              </w:tabs>
              <w:jc w:val="both"/>
              <w:rPr>
                <w:rFonts w:cs="Arial"/>
                <w:lang w:val="es-ES_tradnl"/>
              </w:rPr>
            </w:pPr>
          </w:p>
          <w:p w:rsidR="00004BF4" w:rsidRDefault="005B0245" w:rsidP="00524FA6">
            <w:pPr>
              <w:tabs>
                <w:tab w:val="left" w:pos="2835"/>
              </w:tabs>
              <w:jc w:val="both"/>
            </w:pPr>
            <w:r>
              <w:rPr>
                <w:rFonts w:cs="Arial"/>
                <w:lang w:val="es-ES_tradnl"/>
              </w:rPr>
              <w:t xml:space="preserve">   </w:t>
            </w:r>
            <w:r w:rsidR="009A38C4" w:rsidRPr="00710DCC">
              <w:rPr>
                <w:rFonts w:cs="Arial"/>
                <w:lang w:val="es-ES_tradnl"/>
              </w:rPr>
              <w:t>2</w:t>
            </w:r>
            <w:r w:rsidR="00F704AD">
              <w:t>) Efectúanse, en su artículo 2</w:t>
            </w:r>
            <w:r w:rsidR="009A38C4" w:rsidRPr="00A80282">
              <w:t>, las siguientes modificaciones:</w:t>
            </w:r>
          </w:p>
          <w:p w:rsidR="009A38C4" w:rsidRDefault="005B0245" w:rsidP="00524FA6">
            <w:pPr>
              <w:jc w:val="both"/>
            </w:pPr>
            <w:r>
              <w:t xml:space="preserve">   </w:t>
            </w:r>
            <w:r w:rsidR="009A38C4" w:rsidRPr="00A80282">
              <w:t>a) Enmiéndase el inciso primero como se indica:</w:t>
            </w:r>
          </w:p>
          <w:p w:rsidR="009A38C4" w:rsidRPr="00A80282" w:rsidRDefault="005B0245" w:rsidP="00524FA6">
            <w:pPr>
              <w:jc w:val="both"/>
            </w:pPr>
            <w:r>
              <w:t xml:space="preserve"> </w:t>
            </w:r>
            <w:r w:rsidR="00004BF4">
              <w:t xml:space="preserve">  </w:t>
            </w:r>
            <w:r w:rsidR="009A38C4" w:rsidRPr="00A80282">
              <w:t xml:space="preserve">i) Sustitúyese la palabra inicial “Establézcase” por “Establécese”. </w:t>
            </w:r>
          </w:p>
          <w:p w:rsidR="009A38C4" w:rsidRDefault="00004BF4" w:rsidP="00524FA6">
            <w:pPr>
              <w:jc w:val="both"/>
            </w:pPr>
            <w:r>
              <w:t xml:space="preserve">   </w:t>
            </w:r>
            <w:r w:rsidR="009A38C4" w:rsidRPr="00A80282">
              <w:t>ii) Reemplázase la expresión “artículo 1°” por “inciso primero del artículo”.</w:t>
            </w:r>
          </w:p>
          <w:p w:rsidR="005B0245" w:rsidRPr="00A80282" w:rsidRDefault="005B0245" w:rsidP="00524FA6">
            <w:pPr>
              <w:jc w:val="both"/>
            </w:pPr>
          </w:p>
          <w:p w:rsidR="00A80282" w:rsidRDefault="009A38C4" w:rsidP="00524FA6">
            <w:pPr>
              <w:jc w:val="both"/>
            </w:pPr>
            <w:r w:rsidRPr="00A80282">
              <w:t>b) Inte</w:t>
            </w:r>
            <w:r w:rsidR="005B0245">
              <w:t>r</w:t>
            </w:r>
            <w:r w:rsidRPr="00A80282">
              <w:t>cálase el siguiente inciso segundo, nuevo, pasando el actual inciso segundo a ser tercero:</w:t>
            </w:r>
          </w:p>
          <w:p w:rsidR="009A38C4" w:rsidRPr="00A80282" w:rsidRDefault="009A38C4" w:rsidP="00524FA6">
            <w:pPr>
              <w:jc w:val="both"/>
            </w:pPr>
            <w:r w:rsidRPr="00A80282">
              <w:t>“Establécese para el año escolar 2020 la entrada en vigencia del proceso de admisión escolar dispuesto en el numeral 6) del artículo 2° de la ley N° 20.845, en la Región Metropolitana.”.</w:t>
            </w:r>
          </w:p>
          <w:p w:rsidR="00DC768E" w:rsidRDefault="005B0245" w:rsidP="00524FA6">
            <w:pPr>
              <w:jc w:val="both"/>
            </w:pPr>
            <w:r>
              <w:t xml:space="preserve">   </w:t>
            </w:r>
            <w:r w:rsidR="009A38C4" w:rsidRPr="00A80282">
              <w:t>c) Reemplázase en el inciso segundo, que ha pasado a ser tercero, la expresión “Dicho proceso se implementará” por “Dichos procesos se implementarán”.</w:t>
            </w:r>
          </w:p>
          <w:p w:rsidR="00004BF4" w:rsidRDefault="00004BF4" w:rsidP="00524FA6">
            <w:pPr>
              <w:jc w:val="both"/>
            </w:pPr>
          </w:p>
          <w:p w:rsidR="00004BF4" w:rsidRDefault="00004BF4" w:rsidP="00524FA6">
            <w:pPr>
              <w:jc w:val="both"/>
            </w:pPr>
          </w:p>
          <w:p w:rsidR="00F704AD" w:rsidRDefault="00F704AD" w:rsidP="00524FA6">
            <w:pPr>
              <w:jc w:val="both"/>
            </w:pPr>
          </w:p>
          <w:p w:rsidR="009A38C4" w:rsidRPr="00A80282" w:rsidRDefault="005B0245" w:rsidP="00524FA6">
            <w:pPr>
              <w:jc w:val="both"/>
            </w:pPr>
            <w:r>
              <w:t xml:space="preserve">   </w:t>
            </w:r>
            <w:r w:rsidR="009A38C4" w:rsidRPr="00A80282">
              <w:t>3) Modifícase su artículo 4</w:t>
            </w:r>
            <w:bookmarkStart w:id="0" w:name="_GoBack"/>
            <w:bookmarkEnd w:id="0"/>
            <w:r w:rsidR="009A38C4" w:rsidRPr="00A80282">
              <w:t xml:space="preserve"> de la siguiente manera:</w:t>
            </w:r>
          </w:p>
          <w:p w:rsidR="005B0245" w:rsidRDefault="005B0245" w:rsidP="00524FA6">
            <w:pPr>
              <w:jc w:val="both"/>
            </w:pPr>
          </w:p>
          <w:p w:rsidR="009A38C4" w:rsidRPr="00A80282" w:rsidRDefault="005B0245" w:rsidP="00524FA6">
            <w:pPr>
              <w:jc w:val="both"/>
            </w:pPr>
            <w:r>
              <w:t xml:space="preserve">   </w:t>
            </w:r>
            <w:r w:rsidR="009A38C4" w:rsidRPr="00A80282">
              <w:t>a) Elimínanse, en el inciso primero, los guarismos “I”, “IV”, “VI” y “X”.</w:t>
            </w:r>
          </w:p>
          <w:p w:rsidR="00004BF4" w:rsidRDefault="00004BF4" w:rsidP="00524FA6">
            <w:pPr>
              <w:jc w:val="both"/>
            </w:pPr>
          </w:p>
          <w:p w:rsidR="00004BF4" w:rsidRDefault="00004BF4" w:rsidP="00524FA6">
            <w:pPr>
              <w:jc w:val="both"/>
            </w:pPr>
          </w:p>
          <w:p w:rsidR="009A38C4" w:rsidRPr="00A80282" w:rsidRDefault="005B0245" w:rsidP="00524FA6">
            <w:pPr>
              <w:jc w:val="both"/>
            </w:pPr>
            <w:r>
              <w:lastRenderedPageBreak/>
              <w:t xml:space="preserve">   </w:t>
            </w:r>
            <w:r w:rsidR="009A38C4" w:rsidRPr="00A80282">
              <w:t>b) Enmiéndase el inciso segundo como sigue:</w:t>
            </w:r>
          </w:p>
          <w:p w:rsidR="009A38C4" w:rsidRPr="00A80282" w:rsidRDefault="00004BF4" w:rsidP="00524FA6">
            <w:pPr>
              <w:jc w:val="both"/>
            </w:pPr>
            <w:r>
              <w:t xml:space="preserve">   </w:t>
            </w:r>
            <w:r w:rsidR="009A38C4" w:rsidRPr="00A80282">
              <w:t xml:space="preserve">i) </w:t>
            </w:r>
            <w:proofErr w:type="spellStart"/>
            <w:r w:rsidR="009A38C4" w:rsidRPr="00A80282">
              <w:t>Suprímense</w:t>
            </w:r>
            <w:proofErr w:type="spellEnd"/>
            <w:r w:rsidR="009A38C4" w:rsidRPr="00A80282">
              <w:t xml:space="preserve"> los guarismos “XV”, “II”, “III”, “V”, “VII”, “VIII”, “IX” y “XIV”.</w:t>
            </w:r>
          </w:p>
          <w:p w:rsidR="009A38C4" w:rsidRDefault="00004BF4" w:rsidP="00524FA6">
            <w:pPr>
              <w:jc w:val="both"/>
            </w:pPr>
            <w:r>
              <w:t xml:space="preserve">   </w:t>
            </w:r>
            <w:r w:rsidR="009A38C4" w:rsidRPr="00A80282">
              <w:t>ii) Sustitúyese la expresión “; XI Región de Aisén del General Carlos Ibáñez del Campo; y Región Metropolitana de Santiago” por “y Región de Aysén del General Carlos Ibáñez del Campo”.</w:t>
            </w:r>
          </w:p>
          <w:p w:rsidR="00004BF4" w:rsidRDefault="00004BF4" w:rsidP="00524FA6">
            <w:pPr>
              <w:jc w:val="both"/>
            </w:pPr>
          </w:p>
          <w:p w:rsidR="00004BF4" w:rsidRPr="00A80282" w:rsidRDefault="00004BF4" w:rsidP="00524FA6">
            <w:pPr>
              <w:jc w:val="both"/>
            </w:pPr>
          </w:p>
          <w:p w:rsidR="009A38C4" w:rsidRPr="00A80282" w:rsidRDefault="005B0245" w:rsidP="00524FA6">
            <w:pPr>
              <w:jc w:val="both"/>
            </w:pPr>
            <w:r>
              <w:t xml:space="preserve">   </w:t>
            </w:r>
            <w:r w:rsidR="009A38C4" w:rsidRPr="00A80282">
              <w:t>c) Incorpórase el siguiente inciso final:</w:t>
            </w:r>
          </w:p>
          <w:p w:rsidR="009A38C4" w:rsidRDefault="009A38C4" w:rsidP="00524FA6">
            <w:pPr>
              <w:jc w:val="both"/>
            </w:pPr>
            <w:r w:rsidRPr="00A80282">
              <w:t>“Para la Región Metropolitana, el procedimiento de postulación para el año 2020 y de admisión para el año 2021 de los establecimientos educacionales de esta región se extenderá a todos sus cursos o niveles reconocidos oficialmente.”.”.</w:t>
            </w:r>
          </w:p>
          <w:p w:rsidR="00524FA6" w:rsidRDefault="00524FA6" w:rsidP="00524FA6">
            <w:pPr>
              <w:jc w:val="both"/>
            </w:pPr>
          </w:p>
          <w:p w:rsidR="00524FA6" w:rsidRDefault="00524FA6" w:rsidP="00524FA6">
            <w:pPr>
              <w:jc w:val="both"/>
            </w:pPr>
          </w:p>
          <w:p w:rsidR="00524FA6" w:rsidRPr="00F704AD" w:rsidRDefault="00524FA6" w:rsidP="00524FA6">
            <w:pPr>
              <w:jc w:val="both"/>
            </w:pPr>
          </w:p>
        </w:tc>
      </w:tr>
    </w:tbl>
    <w:p w:rsidR="00AF176D" w:rsidRDefault="00AF176D" w:rsidP="00AD544A">
      <w:pPr>
        <w:spacing w:after="0" w:line="240" w:lineRule="auto"/>
      </w:pPr>
    </w:p>
    <w:sectPr w:rsidR="00AF176D" w:rsidSect="00423015">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pgSz w:w="20163" w:h="12242" w:orient="landscape" w:code="5"/>
      <w:pgMar w:top="1985" w:right="1134" w:bottom="2268" w:left="2835"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5E" w:rsidRDefault="00C03F5E" w:rsidP="00CA7856">
      <w:pPr>
        <w:spacing w:after="0" w:line="240" w:lineRule="auto"/>
      </w:pPr>
      <w:r>
        <w:separator/>
      </w:r>
    </w:p>
  </w:endnote>
  <w:endnote w:type="continuationSeparator" w:id="0">
    <w:p w:rsidR="00C03F5E" w:rsidRDefault="00C03F5E" w:rsidP="00C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30" w:rsidRDefault="00807B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30" w:rsidRDefault="00807B3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Pr="004B47C2" w:rsidRDefault="008A2245" w:rsidP="004B47C2">
    <w:pPr>
      <w:pStyle w:val="Piedepgina"/>
      <w:jc w:val="center"/>
      <w:rPr>
        <w:b/>
        <w:sz w:val="28"/>
        <w:szCs w:val="28"/>
      </w:rPr>
    </w:pPr>
    <w:r w:rsidRPr="004B47C2">
      <w:rPr>
        <w:b/>
        <w:sz w:val="28"/>
        <w:szCs w:val="28"/>
      </w:rPr>
      <w:t>COMISIÓN DE EDUCACIÓN</w:t>
    </w:r>
  </w:p>
  <w:p w:rsidR="008A2245" w:rsidRDefault="008A2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5E" w:rsidRDefault="00C03F5E" w:rsidP="00CA7856">
      <w:pPr>
        <w:spacing w:after="0" w:line="240" w:lineRule="auto"/>
      </w:pPr>
      <w:r>
        <w:separator/>
      </w:r>
    </w:p>
  </w:footnote>
  <w:footnote w:type="continuationSeparator" w:id="0">
    <w:p w:rsidR="00C03F5E" w:rsidRDefault="00C03F5E" w:rsidP="00CA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30" w:rsidRDefault="00807B3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80680"/>
      <w:docPartObj>
        <w:docPartGallery w:val="Page Numbers (Top of Page)"/>
        <w:docPartUnique/>
      </w:docPartObj>
    </w:sdtPr>
    <w:sdtEndPr/>
    <w:sdtContent>
      <w:p w:rsidR="008A2245" w:rsidRDefault="008A2245">
        <w:pPr>
          <w:pStyle w:val="Encabezado"/>
          <w:jc w:val="right"/>
        </w:pPr>
        <w:r>
          <w:fldChar w:fldCharType="begin"/>
        </w:r>
        <w:r>
          <w:instrText>PAGE   \* MERGEFORMAT</w:instrText>
        </w:r>
        <w:r>
          <w:fldChar w:fldCharType="separate"/>
        </w:r>
        <w:r w:rsidR="00DE2DC9" w:rsidRPr="00DE2DC9">
          <w:rPr>
            <w:noProof/>
            <w:lang w:val="es-ES"/>
          </w:rPr>
          <w:t>2</w:t>
        </w:r>
        <w:r>
          <w:fldChar w:fldCharType="end"/>
        </w:r>
      </w:p>
    </w:sdtContent>
  </w:sdt>
  <w:p w:rsidR="008A2245" w:rsidRPr="006917AD" w:rsidRDefault="008A2245" w:rsidP="006917AD">
    <w:pPr>
      <w:pStyle w:val="Encabezado"/>
      <w:jc w:val="center"/>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Default="008A2245" w:rsidP="007B6768">
    <w:pPr>
      <w:pStyle w:val="Encabezado"/>
      <w:jc w:val="center"/>
      <w:rPr>
        <w:b/>
        <w:bCs/>
        <w:sz w:val="28"/>
        <w:szCs w:val="28"/>
      </w:rPr>
    </w:pPr>
    <w:r w:rsidRPr="00866571">
      <w:rPr>
        <w:b/>
        <w:bCs/>
        <w:sz w:val="28"/>
        <w:szCs w:val="28"/>
      </w:rPr>
      <w:t>Proyecto</w:t>
    </w:r>
    <w:r w:rsidR="00924C9C" w:rsidRPr="00924C9C">
      <w:rPr>
        <w:b/>
        <w:bCs/>
        <w:sz w:val="28"/>
        <w:szCs w:val="28"/>
      </w:rPr>
      <w:t xml:space="preserve"> de ley</w:t>
    </w:r>
    <w:r w:rsidR="00B647EA">
      <w:rPr>
        <w:b/>
        <w:bCs/>
        <w:sz w:val="28"/>
        <w:szCs w:val="28"/>
      </w:rPr>
      <w:t xml:space="preserve"> que </w:t>
    </w:r>
    <w:r w:rsidR="00D16F91">
      <w:rPr>
        <w:b/>
        <w:bCs/>
        <w:sz w:val="28"/>
        <w:szCs w:val="28"/>
      </w:rPr>
      <w:t>m</w:t>
    </w:r>
    <w:r w:rsidR="00D16F91" w:rsidRPr="00D16F91">
      <w:rPr>
        <w:b/>
        <w:bCs/>
        <w:sz w:val="28"/>
        <w:szCs w:val="28"/>
      </w:rPr>
      <w:t xml:space="preserve">odifica la ley N° 20.845, de inclusión escolar, en cuanto a la entrada en funcionamiento del sistema de admisión único para la Región que indica </w:t>
    </w:r>
    <w:r w:rsidR="00EF35BC">
      <w:rPr>
        <w:b/>
        <w:bCs/>
        <w:sz w:val="28"/>
        <w:szCs w:val="28"/>
      </w:rPr>
      <w:t>(boletín N°</w:t>
    </w:r>
    <w:r w:rsidR="00D16F91">
      <w:rPr>
        <w:b/>
        <w:bCs/>
        <w:sz w:val="28"/>
        <w:szCs w:val="28"/>
      </w:rPr>
      <w:t xml:space="preserve"> 11.83</w:t>
    </w:r>
    <w:r w:rsidR="00661520">
      <w:rPr>
        <w:b/>
        <w:bCs/>
        <w:sz w:val="28"/>
        <w:szCs w:val="28"/>
      </w:rPr>
      <w:t>3-04</w:t>
    </w:r>
    <w:r w:rsidR="00444237">
      <w:rPr>
        <w:b/>
        <w:bCs/>
        <w:sz w:val="28"/>
        <w:szCs w:val="28"/>
      </w:rPr>
      <w:t>-</w:t>
    </w:r>
    <w:r w:rsidR="00807B30">
      <w:rPr>
        <w:b/>
        <w:bCs/>
        <w:sz w:val="28"/>
        <w:szCs w:val="28"/>
      </w:rPr>
      <w:t>(</w:t>
    </w:r>
    <w:r w:rsidR="00D16F91">
      <w:rPr>
        <w:b/>
        <w:bCs/>
        <w:sz w:val="28"/>
        <w:szCs w:val="28"/>
      </w:rPr>
      <w:t>S</w:t>
    </w:r>
    <w:r w:rsidR="00807B30">
      <w:rPr>
        <w:b/>
        <w:bCs/>
        <w:sz w:val="28"/>
        <w:szCs w:val="28"/>
      </w:rPr>
      <w:t>)</w:t>
    </w:r>
    <w:r w:rsidR="00EF35BC">
      <w:rPr>
        <w:b/>
        <w:bCs/>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74ABE"/>
    <w:multiLevelType w:val="hybridMultilevel"/>
    <w:tmpl w:val="DD6C158A"/>
    <w:lvl w:ilvl="0" w:tplc="6E04E934">
      <w:start w:val="1"/>
      <w:numFmt w:val="decimal"/>
      <w:lvlText w:val="%1)"/>
      <w:lvlJc w:val="left"/>
      <w:pPr>
        <w:ind w:left="1778"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F7A39CD"/>
    <w:multiLevelType w:val="hybridMultilevel"/>
    <w:tmpl w:val="F0F4880A"/>
    <w:lvl w:ilvl="0" w:tplc="EA846B62">
      <w:start w:val="1"/>
      <w:numFmt w:val="decimal"/>
      <w:lvlText w:val="%1)"/>
      <w:lvlJc w:val="left"/>
      <w:pPr>
        <w:ind w:left="536" w:hanging="360"/>
      </w:pPr>
      <w:rPr>
        <w:rFonts w:hint="default"/>
      </w:rPr>
    </w:lvl>
    <w:lvl w:ilvl="1" w:tplc="340A0019" w:tentative="1">
      <w:start w:val="1"/>
      <w:numFmt w:val="lowerLetter"/>
      <w:lvlText w:val="%2."/>
      <w:lvlJc w:val="left"/>
      <w:pPr>
        <w:ind w:left="1256" w:hanging="360"/>
      </w:pPr>
    </w:lvl>
    <w:lvl w:ilvl="2" w:tplc="340A001B" w:tentative="1">
      <w:start w:val="1"/>
      <w:numFmt w:val="lowerRoman"/>
      <w:lvlText w:val="%3."/>
      <w:lvlJc w:val="right"/>
      <w:pPr>
        <w:ind w:left="1976" w:hanging="180"/>
      </w:pPr>
    </w:lvl>
    <w:lvl w:ilvl="3" w:tplc="340A000F" w:tentative="1">
      <w:start w:val="1"/>
      <w:numFmt w:val="decimal"/>
      <w:lvlText w:val="%4."/>
      <w:lvlJc w:val="left"/>
      <w:pPr>
        <w:ind w:left="2696" w:hanging="360"/>
      </w:pPr>
    </w:lvl>
    <w:lvl w:ilvl="4" w:tplc="340A0019" w:tentative="1">
      <w:start w:val="1"/>
      <w:numFmt w:val="lowerLetter"/>
      <w:lvlText w:val="%5."/>
      <w:lvlJc w:val="left"/>
      <w:pPr>
        <w:ind w:left="3416" w:hanging="360"/>
      </w:pPr>
    </w:lvl>
    <w:lvl w:ilvl="5" w:tplc="340A001B" w:tentative="1">
      <w:start w:val="1"/>
      <w:numFmt w:val="lowerRoman"/>
      <w:lvlText w:val="%6."/>
      <w:lvlJc w:val="right"/>
      <w:pPr>
        <w:ind w:left="4136" w:hanging="180"/>
      </w:pPr>
    </w:lvl>
    <w:lvl w:ilvl="6" w:tplc="340A000F" w:tentative="1">
      <w:start w:val="1"/>
      <w:numFmt w:val="decimal"/>
      <w:lvlText w:val="%7."/>
      <w:lvlJc w:val="left"/>
      <w:pPr>
        <w:ind w:left="4856" w:hanging="360"/>
      </w:pPr>
    </w:lvl>
    <w:lvl w:ilvl="7" w:tplc="340A0019" w:tentative="1">
      <w:start w:val="1"/>
      <w:numFmt w:val="lowerLetter"/>
      <w:lvlText w:val="%8."/>
      <w:lvlJc w:val="left"/>
      <w:pPr>
        <w:ind w:left="5576" w:hanging="360"/>
      </w:pPr>
    </w:lvl>
    <w:lvl w:ilvl="8" w:tplc="340A001B" w:tentative="1">
      <w:start w:val="1"/>
      <w:numFmt w:val="lowerRoman"/>
      <w:lvlText w:val="%9."/>
      <w:lvlJc w:val="right"/>
      <w:pPr>
        <w:ind w:left="6296" w:hanging="180"/>
      </w:pPr>
    </w:lvl>
  </w:abstractNum>
  <w:abstractNum w:abstractNumId="2" w15:restartNumberingAfterBreak="0">
    <w:nsid w:val="71B50DB7"/>
    <w:multiLevelType w:val="hybridMultilevel"/>
    <w:tmpl w:val="8528EB18"/>
    <w:lvl w:ilvl="0" w:tplc="4F12C372">
      <w:start w:val="1"/>
      <w:numFmt w:val="lowerLetter"/>
      <w:lvlText w:val="%1)"/>
      <w:lvlJc w:val="left"/>
      <w:pPr>
        <w:ind w:left="1425" w:hanging="432"/>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 w15:restartNumberingAfterBreak="0">
    <w:nsid w:val="74984A5D"/>
    <w:multiLevelType w:val="hybridMultilevel"/>
    <w:tmpl w:val="49F6E4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A6"/>
    <w:rsid w:val="00000E18"/>
    <w:rsid w:val="00001ECF"/>
    <w:rsid w:val="00004BF4"/>
    <w:rsid w:val="00034345"/>
    <w:rsid w:val="00034705"/>
    <w:rsid w:val="00040E80"/>
    <w:rsid w:val="00041607"/>
    <w:rsid w:val="00046E6F"/>
    <w:rsid w:val="00052019"/>
    <w:rsid w:val="000568BE"/>
    <w:rsid w:val="00070012"/>
    <w:rsid w:val="00074A14"/>
    <w:rsid w:val="000769C0"/>
    <w:rsid w:val="00077401"/>
    <w:rsid w:val="0008104E"/>
    <w:rsid w:val="000813E8"/>
    <w:rsid w:val="00081D89"/>
    <w:rsid w:val="00081FF8"/>
    <w:rsid w:val="000838D4"/>
    <w:rsid w:val="00083BF3"/>
    <w:rsid w:val="00087605"/>
    <w:rsid w:val="00087F2E"/>
    <w:rsid w:val="000939FA"/>
    <w:rsid w:val="00096A9C"/>
    <w:rsid w:val="000A02E7"/>
    <w:rsid w:val="000A1EF2"/>
    <w:rsid w:val="000A26FB"/>
    <w:rsid w:val="000A4FD3"/>
    <w:rsid w:val="000A5FFD"/>
    <w:rsid w:val="000A709E"/>
    <w:rsid w:val="000B0185"/>
    <w:rsid w:val="000B49C1"/>
    <w:rsid w:val="000B790A"/>
    <w:rsid w:val="000C0872"/>
    <w:rsid w:val="000C0CEA"/>
    <w:rsid w:val="000C4E55"/>
    <w:rsid w:val="000C51D5"/>
    <w:rsid w:val="000D021F"/>
    <w:rsid w:val="000D179A"/>
    <w:rsid w:val="000D2E3B"/>
    <w:rsid w:val="000E74E2"/>
    <w:rsid w:val="000F28DC"/>
    <w:rsid w:val="000F3995"/>
    <w:rsid w:val="000F3CAA"/>
    <w:rsid w:val="000F4F81"/>
    <w:rsid w:val="00104817"/>
    <w:rsid w:val="00107E0B"/>
    <w:rsid w:val="001125AB"/>
    <w:rsid w:val="0011343B"/>
    <w:rsid w:val="0011523D"/>
    <w:rsid w:val="00116020"/>
    <w:rsid w:val="00122787"/>
    <w:rsid w:val="0012644F"/>
    <w:rsid w:val="00127EF0"/>
    <w:rsid w:val="00133134"/>
    <w:rsid w:val="00140B61"/>
    <w:rsid w:val="00141E93"/>
    <w:rsid w:val="00146A40"/>
    <w:rsid w:val="00151038"/>
    <w:rsid w:val="00151FA9"/>
    <w:rsid w:val="00160AD3"/>
    <w:rsid w:val="00182229"/>
    <w:rsid w:val="00182AAA"/>
    <w:rsid w:val="001842BC"/>
    <w:rsid w:val="00186089"/>
    <w:rsid w:val="00195ED9"/>
    <w:rsid w:val="00197396"/>
    <w:rsid w:val="001A2AEB"/>
    <w:rsid w:val="001A68FF"/>
    <w:rsid w:val="001A7224"/>
    <w:rsid w:val="001B18A1"/>
    <w:rsid w:val="001B252C"/>
    <w:rsid w:val="001B2D57"/>
    <w:rsid w:val="001B6730"/>
    <w:rsid w:val="001C514E"/>
    <w:rsid w:val="001D0D79"/>
    <w:rsid w:val="001D0F7A"/>
    <w:rsid w:val="001E041B"/>
    <w:rsid w:val="001E622B"/>
    <w:rsid w:val="001F22FF"/>
    <w:rsid w:val="001F2581"/>
    <w:rsid w:val="001F32B6"/>
    <w:rsid w:val="001F54B8"/>
    <w:rsid w:val="002017EA"/>
    <w:rsid w:val="002045A3"/>
    <w:rsid w:val="00212A42"/>
    <w:rsid w:val="002130EC"/>
    <w:rsid w:val="002132BB"/>
    <w:rsid w:val="00213EA1"/>
    <w:rsid w:val="0021638A"/>
    <w:rsid w:val="00221064"/>
    <w:rsid w:val="002226F7"/>
    <w:rsid w:val="002326E9"/>
    <w:rsid w:val="002336CB"/>
    <w:rsid w:val="00237B69"/>
    <w:rsid w:val="002450B9"/>
    <w:rsid w:val="00245704"/>
    <w:rsid w:val="00245AA3"/>
    <w:rsid w:val="0025046E"/>
    <w:rsid w:val="00251526"/>
    <w:rsid w:val="00251788"/>
    <w:rsid w:val="0025578B"/>
    <w:rsid w:val="00256E90"/>
    <w:rsid w:val="0025782A"/>
    <w:rsid w:val="00262C97"/>
    <w:rsid w:val="00263179"/>
    <w:rsid w:val="0026575A"/>
    <w:rsid w:val="00266571"/>
    <w:rsid w:val="00272FCD"/>
    <w:rsid w:val="002730A0"/>
    <w:rsid w:val="00274B8E"/>
    <w:rsid w:val="00280646"/>
    <w:rsid w:val="00284AE4"/>
    <w:rsid w:val="0029024E"/>
    <w:rsid w:val="002927D0"/>
    <w:rsid w:val="00293452"/>
    <w:rsid w:val="002937C3"/>
    <w:rsid w:val="00297D0A"/>
    <w:rsid w:val="002A0802"/>
    <w:rsid w:val="002A2AC4"/>
    <w:rsid w:val="002B1A85"/>
    <w:rsid w:val="002B479D"/>
    <w:rsid w:val="002B4BA8"/>
    <w:rsid w:val="002B6AEA"/>
    <w:rsid w:val="002D60C2"/>
    <w:rsid w:val="002D6F0F"/>
    <w:rsid w:val="002E08F6"/>
    <w:rsid w:val="002E114D"/>
    <w:rsid w:val="002E1511"/>
    <w:rsid w:val="002E4C4C"/>
    <w:rsid w:val="002E7B35"/>
    <w:rsid w:val="002F047A"/>
    <w:rsid w:val="002F3CBF"/>
    <w:rsid w:val="002F3D6F"/>
    <w:rsid w:val="002F52BB"/>
    <w:rsid w:val="002F6691"/>
    <w:rsid w:val="002F72D0"/>
    <w:rsid w:val="003002D7"/>
    <w:rsid w:val="003023E2"/>
    <w:rsid w:val="00302889"/>
    <w:rsid w:val="0030417B"/>
    <w:rsid w:val="003123EC"/>
    <w:rsid w:val="0031298A"/>
    <w:rsid w:val="00315EAD"/>
    <w:rsid w:val="003161AE"/>
    <w:rsid w:val="00325A3A"/>
    <w:rsid w:val="00336144"/>
    <w:rsid w:val="003361EC"/>
    <w:rsid w:val="00343165"/>
    <w:rsid w:val="003448CC"/>
    <w:rsid w:val="00344B2B"/>
    <w:rsid w:val="00345FF4"/>
    <w:rsid w:val="00351927"/>
    <w:rsid w:val="003546D1"/>
    <w:rsid w:val="00355FAE"/>
    <w:rsid w:val="003573DE"/>
    <w:rsid w:val="00360387"/>
    <w:rsid w:val="003609DE"/>
    <w:rsid w:val="0036364B"/>
    <w:rsid w:val="003637D7"/>
    <w:rsid w:val="00370000"/>
    <w:rsid w:val="00372E09"/>
    <w:rsid w:val="003739CB"/>
    <w:rsid w:val="003770D3"/>
    <w:rsid w:val="00382BFB"/>
    <w:rsid w:val="00387E1E"/>
    <w:rsid w:val="00390C61"/>
    <w:rsid w:val="00390D38"/>
    <w:rsid w:val="003915AF"/>
    <w:rsid w:val="00393C08"/>
    <w:rsid w:val="003950CD"/>
    <w:rsid w:val="003956B7"/>
    <w:rsid w:val="00395CC3"/>
    <w:rsid w:val="00397144"/>
    <w:rsid w:val="003B71C5"/>
    <w:rsid w:val="003C0927"/>
    <w:rsid w:val="003C095B"/>
    <w:rsid w:val="003C6B8F"/>
    <w:rsid w:val="003D61D6"/>
    <w:rsid w:val="003E0CE0"/>
    <w:rsid w:val="003E38F3"/>
    <w:rsid w:val="003E5536"/>
    <w:rsid w:val="003E5CCF"/>
    <w:rsid w:val="003F14F9"/>
    <w:rsid w:val="003F1D2D"/>
    <w:rsid w:val="003F401F"/>
    <w:rsid w:val="004006D5"/>
    <w:rsid w:val="004116A3"/>
    <w:rsid w:val="00414A71"/>
    <w:rsid w:val="004203A3"/>
    <w:rsid w:val="00423015"/>
    <w:rsid w:val="00425BFF"/>
    <w:rsid w:val="00431780"/>
    <w:rsid w:val="0043205A"/>
    <w:rsid w:val="00432F37"/>
    <w:rsid w:val="0043594A"/>
    <w:rsid w:val="00436FD7"/>
    <w:rsid w:val="0044039C"/>
    <w:rsid w:val="00441F22"/>
    <w:rsid w:val="00443A16"/>
    <w:rsid w:val="00444237"/>
    <w:rsid w:val="004448E3"/>
    <w:rsid w:val="0045060A"/>
    <w:rsid w:val="004547B3"/>
    <w:rsid w:val="0045628B"/>
    <w:rsid w:val="004656B3"/>
    <w:rsid w:val="004750C7"/>
    <w:rsid w:val="004848BB"/>
    <w:rsid w:val="00493050"/>
    <w:rsid w:val="00493DF9"/>
    <w:rsid w:val="004A0259"/>
    <w:rsid w:val="004A19BB"/>
    <w:rsid w:val="004A1B65"/>
    <w:rsid w:val="004A469B"/>
    <w:rsid w:val="004A640E"/>
    <w:rsid w:val="004A7123"/>
    <w:rsid w:val="004B3178"/>
    <w:rsid w:val="004B47C2"/>
    <w:rsid w:val="004B47C6"/>
    <w:rsid w:val="004C0F40"/>
    <w:rsid w:val="004C1038"/>
    <w:rsid w:val="004C1891"/>
    <w:rsid w:val="004C3D6A"/>
    <w:rsid w:val="004C6520"/>
    <w:rsid w:val="004D00AB"/>
    <w:rsid w:val="004D5037"/>
    <w:rsid w:val="004D5CD6"/>
    <w:rsid w:val="004D6F95"/>
    <w:rsid w:val="004E119F"/>
    <w:rsid w:val="004E1FC1"/>
    <w:rsid w:val="004E2343"/>
    <w:rsid w:val="004E63A4"/>
    <w:rsid w:val="004E741F"/>
    <w:rsid w:val="004F25B6"/>
    <w:rsid w:val="004F3350"/>
    <w:rsid w:val="004F3372"/>
    <w:rsid w:val="004F6276"/>
    <w:rsid w:val="004F6317"/>
    <w:rsid w:val="004F674E"/>
    <w:rsid w:val="004F7DA7"/>
    <w:rsid w:val="005003FF"/>
    <w:rsid w:val="00502F1C"/>
    <w:rsid w:val="00503AEF"/>
    <w:rsid w:val="00503BFB"/>
    <w:rsid w:val="00503F97"/>
    <w:rsid w:val="00506181"/>
    <w:rsid w:val="005069F9"/>
    <w:rsid w:val="00510B1E"/>
    <w:rsid w:val="005113C0"/>
    <w:rsid w:val="00511D92"/>
    <w:rsid w:val="00512953"/>
    <w:rsid w:val="00517BCB"/>
    <w:rsid w:val="005227FE"/>
    <w:rsid w:val="0052375F"/>
    <w:rsid w:val="00524176"/>
    <w:rsid w:val="00524FA6"/>
    <w:rsid w:val="00525482"/>
    <w:rsid w:val="00530CA8"/>
    <w:rsid w:val="005315C2"/>
    <w:rsid w:val="0053305A"/>
    <w:rsid w:val="00534057"/>
    <w:rsid w:val="0053783F"/>
    <w:rsid w:val="00537CEE"/>
    <w:rsid w:val="00545DB3"/>
    <w:rsid w:val="005472FB"/>
    <w:rsid w:val="00551CFA"/>
    <w:rsid w:val="005526B5"/>
    <w:rsid w:val="0055625B"/>
    <w:rsid w:val="00557494"/>
    <w:rsid w:val="00562D80"/>
    <w:rsid w:val="005672D3"/>
    <w:rsid w:val="00571EFF"/>
    <w:rsid w:val="00574596"/>
    <w:rsid w:val="005753CA"/>
    <w:rsid w:val="0057739F"/>
    <w:rsid w:val="00580D2B"/>
    <w:rsid w:val="00583C3D"/>
    <w:rsid w:val="005858EB"/>
    <w:rsid w:val="005906FB"/>
    <w:rsid w:val="005919F4"/>
    <w:rsid w:val="0059314E"/>
    <w:rsid w:val="00594E6F"/>
    <w:rsid w:val="00595617"/>
    <w:rsid w:val="0059791D"/>
    <w:rsid w:val="005B0245"/>
    <w:rsid w:val="005B0795"/>
    <w:rsid w:val="005B2BDE"/>
    <w:rsid w:val="005B3232"/>
    <w:rsid w:val="005B35ED"/>
    <w:rsid w:val="005B46F4"/>
    <w:rsid w:val="005B716B"/>
    <w:rsid w:val="005C0C36"/>
    <w:rsid w:val="005C2897"/>
    <w:rsid w:val="005C474E"/>
    <w:rsid w:val="005D0F76"/>
    <w:rsid w:val="005D40ED"/>
    <w:rsid w:val="005D4DD0"/>
    <w:rsid w:val="005D6C7E"/>
    <w:rsid w:val="005E1998"/>
    <w:rsid w:val="005E22DE"/>
    <w:rsid w:val="005E6179"/>
    <w:rsid w:val="005F65B5"/>
    <w:rsid w:val="00601032"/>
    <w:rsid w:val="0060570C"/>
    <w:rsid w:val="00607299"/>
    <w:rsid w:val="00607A0E"/>
    <w:rsid w:val="00610659"/>
    <w:rsid w:val="00611929"/>
    <w:rsid w:val="00612742"/>
    <w:rsid w:val="00612885"/>
    <w:rsid w:val="00612EE1"/>
    <w:rsid w:val="006135E7"/>
    <w:rsid w:val="0062752C"/>
    <w:rsid w:val="006327E5"/>
    <w:rsid w:val="00637B74"/>
    <w:rsid w:val="00643876"/>
    <w:rsid w:val="006478D5"/>
    <w:rsid w:val="00661520"/>
    <w:rsid w:val="00661674"/>
    <w:rsid w:val="00662C5E"/>
    <w:rsid w:val="00664654"/>
    <w:rsid w:val="0066481A"/>
    <w:rsid w:val="0066635E"/>
    <w:rsid w:val="006701E7"/>
    <w:rsid w:val="0068106C"/>
    <w:rsid w:val="006832F5"/>
    <w:rsid w:val="00691507"/>
    <w:rsid w:val="006917AD"/>
    <w:rsid w:val="00692478"/>
    <w:rsid w:val="0069353E"/>
    <w:rsid w:val="00695149"/>
    <w:rsid w:val="006A4954"/>
    <w:rsid w:val="006A4E8C"/>
    <w:rsid w:val="006A65D1"/>
    <w:rsid w:val="006A65D4"/>
    <w:rsid w:val="006B27D2"/>
    <w:rsid w:val="006B4A6E"/>
    <w:rsid w:val="006C1D37"/>
    <w:rsid w:val="006C1D84"/>
    <w:rsid w:val="006C709D"/>
    <w:rsid w:val="006D21C3"/>
    <w:rsid w:val="006D2799"/>
    <w:rsid w:val="006D4332"/>
    <w:rsid w:val="006D658A"/>
    <w:rsid w:val="006E2FEA"/>
    <w:rsid w:val="006E6C18"/>
    <w:rsid w:val="006F191F"/>
    <w:rsid w:val="006F2428"/>
    <w:rsid w:val="006F5931"/>
    <w:rsid w:val="00700A98"/>
    <w:rsid w:val="00703439"/>
    <w:rsid w:val="0070640C"/>
    <w:rsid w:val="00706BBE"/>
    <w:rsid w:val="00706D10"/>
    <w:rsid w:val="0071679E"/>
    <w:rsid w:val="00720031"/>
    <w:rsid w:val="00722741"/>
    <w:rsid w:val="007253E7"/>
    <w:rsid w:val="00731AF6"/>
    <w:rsid w:val="007321A9"/>
    <w:rsid w:val="00733FF4"/>
    <w:rsid w:val="007350E1"/>
    <w:rsid w:val="0073702E"/>
    <w:rsid w:val="00744850"/>
    <w:rsid w:val="00746128"/>
    <w:rsid w:val="00753B26"/>
    <w:rsid w:val="00755B74"/>
    <w:rsid w:val="0075681B"/>
    <w:rsid w:val="00760864"/>
    <w:rsid w:val="00760D2E"/>
    <w:rsid w:val="007612F9"/>
    <w:rsid w:val="00766B6E"/>
    <w:rsid w:val="00766E75"/>
    <w:rsid w:val="00767221"/>
    <w:rsid w:val="007703DE"/>
    <w:rsid w:val="00770A4C"/>
    <w:rsid w:val="00774DBD"/>
    <w:rsid w:val="00786241"/>
    <w:rsid w:val="00786D71"/>
    <w:rsid w:val="00787D2E"/>
    <w:rsid w:val="007949C5"/>
    <w:rsid w:val="007A2A41"/>
    <w:rsid w:val="007A2B64"/>
    <w:rsid w:val="007A3003"/>
    <w:rsid w:val="007B1755"/>
    <w:rsid w:val="007B4993"/>
    <w:rsid w:val="007B6768"/>
    <w:rsid w:val="007C2B3F"/>
    <w:rsid w:val="007C2E24"/>
    <w:rsid w:val="007C48CC"/>
    <w:rsid w:val="007C5D8B"/>
    <w:rsid w:val="007E16D2"/>
    <w:rsid w:val="007E1BF2"/>
    <w:rsid w:val="007E2347"/>
    <w:rsid w:val="007E236C"/>
    <w:rsid w:val="007E413F"/>
    <w:rsid w:val="007E51DA"/>
    <w:rsid w:val="007E5FC2"/>
    <w:rsid w:val="007E6D61"/>
    <w:rsid w:val="007F3406"/>
    <w:rsid w:val="007F37F1"/>
    <w:rsid w:val="007F39C1"/>
    <w:rsid w:val="007F54FC"/>
    <w:rsid w:val="007F5755"/>
    <w:rsid w:val="00807B30"/>
    <w:rsid w:val="00810C99"/>
    <w:rsid w:val="008146ED"/>
    <w:rsid w:val="0081570B"/>
    <w:rsid w:val="008158AF"/>
    <w:rsid w:val="0081711A"/>
    <w:rsid w:val="00825EDE"/>
    <w:rsid w:val="00827F4E"/>
    <w:rsid w:val="00831C97"/>
    <w:rsid w:val="00831F65"/>
    <w:rsid w:val="008323CD"/>
    <w:rsid w:val="00832757"/>
    <w:rsid w:val="00834760"/>
    <w:rsid w:val="00834FD9"/>
    <w:rsid w:val="00835563"/>
    <w:rsid w:val="0083773D"/>
    <w:rsid w:val="008406F2"/>
    <w:rsid w:val="00841685"/>
    <w:rsid w:val="0084232E"/>
    <w:rsid w:val="00844B85"/>
    <w:rsid w:val="00853C34"/>
    <w:rsid w:val="008541D2"/>
    <w:rsid w:val="00855579"/>
    <w:rsid w:val="00855E2B"/>
    <w:rsid w:val="00862D92"/>
    <w:rsid w:val="0086386D"/>
    <w:rsid w:val="00866571"/>
    <w:rsid w:val="00874536"/>
    <w:rsid w:val="00875468"/>
    <w:rsid w:val="00875D74"/>
    <w:rsid w:val="0087716B"/>
    <w:rsid w:val="00882761"/>
    <w:rsid w:val="00883930"/>
    <w:rsid w:val="00887EC2"/>
    <w:rsid w:val="00896A76"/>
    <w:rsid w:val="008A1A13"/>
    <w:rsid w:val="008A2245"/>
    <w:rsid w:val="008A3186"/>
    <w:rsid w:val="008A3193"/>
    <w:rsid w:val="008A3898"/>
    <w:rsid w:val="008A4151"/>
    <w:rsid w:val="008A6319"/>
    <w:rsid w:val="008B0F8A"/>
    <w:rsid w:val="008B27E3"/>
    <w:rsid w:val="008B2AC7"/>
    <w:rsid w:val="008B7A5E"/>
    <w:rsid w:val="008C2EE5"/>
    <w:rsid w:val="008C3299"/>
    <w:rsid w:val="008C4479"/>
    <w:rsid w:val="008C6A28"/>
    <w:rsid w:val="008D6225"/>
    <w:rsid w:val="008D7C23"/>
    <w:rsid w:val="008E1F2C"/>
    <w:rsid w:val="008E5B1F"/>
    <w:rsid w:val="008E7102"/>
    <w:rsid w:val="008F3CAD"/>
    <w:rsid w:val="008F6510"/>
    <w:rsid w:val="008F65F6"/>
    <w:rsid w:val="00901D0C"/>
    <w:rsid w:val="0092035B"/>
    <w:rsid w:val="00922731"/>
    <w:rsid w:val="00922E18"/>
    <w:rsid w:val="00923180"/>
    <w:rsid w:val="00924C9C"/>
    <w:rsid w:val="00925EE4"/>
    <w:rsid w:val="00927060"/>
    <w:rsid w:val="0092719E"/>
    <w:rsid w:val="00927DC1"/>
    <w:rsid w:val="00934061"/>
    <w:rsid w:val="00935139"/>
    <w:rsid w:val="00936447"/>
    <w:rsid w:val="009421F1"/>
    <w:rsid w:val="00942445"/>
    <w:rsid w:val="00945997"/>
    <w:rsid w:val="009462CC"/>
    <w:rsid w:val="00951DCD"/>
    <w:rsid w:val="00956A4F"/>
    <w:rsid w:val="00962DBF"/>
    <w:rsid w:val="009720C9"/>
    <w:rsid w:val="00975ECE"/>
    <w:rsid w:val="0098212F"/>
    <w:rsid w:val="009908AD"/>
    <w:rsid w:val="009957FE"/>
    <w:rsid w:val="00996DF3"/>
    <w:rsid w:val="009A38C4"/>
    <w:rsid w:val="009A4BF4"/>
    <w:rsid w:val="009A53E8"/>
    <w:rsid w:val="009A6DC4"/>
    <w:rsid w:val="009B2C96"/>
    <w:rsid w:val="009C465A"/>
    <w:rsid w:val="009C46F2"/>
    <w:rsid w:val="009D33A6"/>
    <w:rsid w:val="009D6496"/>
    <w:rsid w:val="009E4AF1"/>
    <w:rsid w:val="009E634F"/>
    <w:rsid w:val="009F0858"/>
    <w:rsid w:val="009F1BD0"/>
    <w:rsid w:val="009F3598"/>
    <w:rsid w:val="009F55C5"/>
    <w:rsid w:val="00A056AD"/>
    <w:rsid w:val="00A06209"/>
    <w:rsid w:val="00A10768"/>
    <w:rsid w:val="00A11470"/>
    <w:rsid w:val="00A117DC"/>
    <w:rsid w:val="00A117FA"/>
    <w:rsid w:val="00A140C4"/>
    <w:rsid w:val="00A15BCA"/>
    <w:rsid w:val="00A166BC"/>
    <w:rsid w:val="00A20653"/>
    <w:rsid w:val="00A25ABB"/>
    <w:rsid w:val="00A301A5"/>
    <w:rsid w:val="00A31B61"/>
    <w:rsid w:val="00A3380A"/>
    <w:rsid w:val="00A406CA"/>
    <w:rsid w:val="00A415BA"/>
    <w:rsid w:val="00A42430"/>
    <w:rsid w:val="00A44087"/>
    <w:rsid w:val="00A4566E"/>
    <w:rsid w:val="00A54D44"/>
    <w:rsid w:val="00A5677F"/>
    <w:rsid w:val="00A60286"/>
    <w:rsid w:val="00A61B49"/>
    <w:rsid w:val="00A62AA9"/>
    <w:rsid w:val="00A63B5C"/>
    <w:rsid w:val="00A701C6"/>
    <w:rsid w:val="00A72006"/>
    <w:rsid w:val="00A72938"/>
    <w:rsid w:val="00A75A6E"/>
    <w:rsid w:val="00A776DD"/>
    <w:rsid w:val="00A80282"/>
    <w:rsid w:val="00A81E3A"/>
    <w:rsid w:val="00A827C6"/>
    <w:rsid w:val="00A8333C"/>
    <w:rsid w:val="00A8441E"/>
    <w:rsid w:val="00A87EC2"/>
    <w:rsid w:val="00A9616C"/>
    <w:rsid w:val="00A971DC"/>
    <w:rsid w:val="00AB1F61"/>
    <w:rsid w:val="00AB3231"/>
    <w:rsid w:val="00AB4A78"/>
    <w:rsid w:val="00AB7D49"/>
    <w:rsid w:val="00AC41B4"/>
    <w:rsid w:val="00AD0F9D"/>
    <w:rsid w:val="00AD50C2"/>
    <w:rsid w:val="00AD544A"/>
    <w:rsid w:val="00AD70A7"/>
    <w:rsid w:val="00AE43F9"/>
    <w:rsid w:val="00AE6416"/>
    <w:rsid w:val="00AF176D"/>
    <w:rsid w:val="00AF7659"/>
    <w:rsid w:val="00AF78CB"/>
    <w:rsid w:val="00B00E1B"/>
    <w:rsid w:val="00B14C2F"/>
    <w:rsid w:val="00B2691F"/>
    <w:rsid w:val="00B31122"/>
    <w:rsid w:val="00B333CF"/>
    <w:rsid w:val="00B342DE"/>
    <w:rsid w:val="00B36801"/>
    <w:rsid w:val="00B4228D"/>
    <w:rsid w:val="00B430F8"/>
    <w:rsid w:val="00B50135"/>
    <w:rsid w:val="00B508B4"/>
    <w:rsid w:val="00B55312"/>
    <w:rsid w:val="00B575E7"/>
    <w:rsid w:val="00B647EA"/>
    <w:rsid w:val="00B67738"/>
    <w:rsid w:val="00B74FE0"/>
    <w:rsid w:val="00B75E0E"/>
    <w:rsid w:val="00B8540F"/>
    <w:rsid w:val="00B87FE2"/>
    <w:rsid w:val="00B95458"/>
    <w:rsid w:val="00BA0136"/>
    <w:rsid w:val="00BA0309"/>
    <w:rsid w:val="00BA6256"/>
    <w:rsid w:val="00BA6B90"/>
    <w:rsid w:val="00BA7FCB"/>
    <w:rsid w:val="00BB0287"/>
    <w:rsid w:val="00BC0592"/>
    <w:rsid w:val="00BC062F"/>
    <w:rsid w:val="00BC2750"/>
    <w:rsid w:val="00BC391D"/>
    <w:rsid w:val="00BC55AB"/>
    <w:rsid w:val="00BD1405"/>
    <w:rsid w:val="00BD6E38"/>
    <w:rsid w:val="00BD74AE"/>
    <w:rsid w:val="00BE117D"/>
    <w:rsid w:val="00BE7133"/>
    <w:rsid w:val="00BF282B"/>
    <w:rsid w:val="00BF6996"/>
    <w:rsid w:val="00BF7114"/>
    <w:rsid w:val="00C03A8A"/>
    <w:rsid w:val="00C03F5E"/>
    <w:rsid w:val="00C045B1"/>
    <w:rsid w:val="00C07AAD"/>
    <w:rsid w:val="00C12299"/>
    <w:rsid w:val="00C14923"/>
    <w:rsid w:val="00C14BA9"/>
    <w:rsid w:val="00C16237"/>
    <w:rsid w:val="00C21487"/>
    <w:rsid w:val="00C2566A"/>
    <w:rsid w:val="00C30556"/>
    <w:rsid w:val="00C30FD1"/>
    <w:rsid w:val="00C32261"/>
    <w:rsid w:val="00C35BFF"/>
    <w:rsid w:val="00C41A5D"/>
    <w:rsid w:val="00C458EB"/>
    <w:rsid w:val="00C5278F"/>
    <w:rsid w:val="00C567F0"/>
    <w:rsid w:val="00C616AF"/>
    <w:rsid w:val="00C62536"/>
    <w:rsid w:val="00C672A2"/>
    <w:rsid w:val="00C6749F"/>
    <w:rsid w:val="00C67841"/>
    <w:rsid w:val="00C7561B"/>
    <w:rsid w:val="00C819E4"/>
    <w:rsid w:val="00C84AE5"/>
    <w:rsid w:val="00C856EC"/>
    <w:rsid w:val="00C86C5E"/>
    <w:rsid w:val="00C872FE"/>
    <w:rsid w:val="00C91293"/>
    <w:rsid w:val="00C9166E"/>
    <w:rsid w:val="00C94407"/>
    <w:rsid w:val="00C9679D"/>
    <w:rsid w:val="00C97CFD"/>
    <w:rsid w:val="00CA042A"/>
    <w:rsid w:val="00CA0CED"/>
    <w:rsid w:val="00CA1365"/>
    <w:rsid w:val="00CA4232"/>
    <w:rsid w:val="00CA6E51"/>
    <w:rsid w:val="00CA7856"/>
    <w:rsid w:val="00CB310F"/>
    <w:rsid w:val="00CB5AE5"/>
    <w:rsid w:val="00CC16EC"/>
    <w:rsid w:val="00CC1A11"/>
    <w:rsid w:val="00CC1FA7"/>
    <w:rsid w:val="00CC4444"/>
    <w:rsid w:val="00CC5DC1"/>
    <w:rsid w:val="00CC6360"/>
    <w:rsid w:val="00CC67A2"/>
    <w:rsid w:val="00CC6D92"/>
    <w:rsid w:val="00CC75C2"/>
    <w:rsid w:val="00CD0A77"/>
    <w:rsid w:val="00CD2B55"/>
    <w:rsid w:val="00CD64A3"/>
    <w:rsid w:val="00CE2E27"/>
    <w:rsid w:val="00CE4358"/>
    <w:rsid w:val="00D04B7D"/>
    <w:rsid w:val="00D04BC0"/>
    <w:rsid w:val="00D05DB1"/>
    <w:rsid w:val="00D078AF"/>
    <w:rsid w:val="00D127A9"/>
    <w:rsid w:val="00D1280C"/>
    <w:rsid w:val="00D12B61"/>
    <w:rsid w:val="00D16F91"/>
    <w:rsid w:val="00D17F98"/>
    <w:rsid w:val="00D22CE0"/>
    <w:rsid w:val="00D26A57"/>
    <w:rsid w:val="00D302CE"/>
    <w:rsid w:val="00D303C7"/>
    <w:rsid w:val="00D30D91"/>
    <w:rsid w:val="00D31DB4"/>
    <w:rsid w:val="00D4110C"/>
    <w:rsid w:val="00D417AE"/>
    <w:rsid w:val="00D56049"/>
    <w:rsid w:val="00D572C0"/>
    <w:rsid w:val="00D60AC7"/>
    <w:rsid w:val="00D61CFA"/>
    <w:rsid w:val="00D62E96"/>
    <w:rsid w:val="00D828F6"/>
    <w:rsid w:val="00D839B3"/>
    <w:rsid w:val="00D875CE"/>
    <w:rsid w:val="00D92DE2"/>
    <w:rsid w:val="00D94973"/>
    <w:rsid w:val="00DA05A2"/>
    <w:rsid w:val="00DA1A39"/>
    <w:rsid w:val="00DA30E3"/>
    <w:rsid w:val="00DA42ED"/>
    <w:rsid w:val="00DA676D"/>
    <w:rsid w:val="00DB250E"/>
    <w:rsid w:val="00DB309A"/>
    <w:rsid w:val="00DB4F70"/>
    <w:rsid w:val="00DB72A6"/>
    <w:rsid w:val="00DC0BCF"/>
    <w:rsid w:val="00DC3B24"/>
    <w:rsid w:val="00DC3B36"/>
    <w:rsid w:val="00DC4C89"/>
    <w:rsid w:val="00DC768E"/>
    <w:rsid w:val="00DD2361"/>
    <w:rsid w:val="00DD475D"/>
    <w:rsid w:val="00DE2DC9"/>
    <w:rsid w:val="00DF144F"/>
    <w:rsid w:val="00E02FF5"/>
    <w:rsid w:val="00E06555"/>
    <w:rsid w:val="00E11C4C"/>
    <w:rsid w:val="00E139C1"/>
    <w:rsid w:val="00E16888"/>
    <w:rsid w:val="00E2013B"/>
    <w:rsid w:val="00E22ABE"/>
    <w:rsid w:val="00E237C7"/>
    <w:rsid w:val="00E32676"/>
    <w:rsid w:val="00E35311"/>
    <w:rsid w:val="00E36401"/>
    <w:rsid w:val="00E40F76"/>
    <w:rsid w:val="00E4260D"/>
    <w:rsid w:val="00E433F0"/>
    <w:rsid w:val="00E450C9"/>
    <w:rsid w:val="00E54FE0"/>
    <w:rsid w:val="00E60CD6"/>
    <w:rsid w:val="00E629AD"/>
    <w:rsid w:val="00E74925"/>
    <w:rsid w:val="00E76022"/>
    <w:rsid w:val="00E7771B"/>
    <w:rsid w:val="00E814D7"/>
    <w:rsid w:val="00EA46A6"/>
    <w:rsid w:val="00EA555D"/>
    <w:rsid w:val="00EA69EB"/>
    <w:rsid w:val="00EB1063"/>
    <w:rsid w:val="00EB3288"/>
    <w:rsid w:val="00EB3D54"/>
    <w:rsid w:val="00EC38F0"/>
    <w:rsid w:val="00EC73CA"/>
    <w:rsid w:val="00ED197F"/>
    <w:rsid w:val="00ED6103"/>
    <w:rsid w:val="00ED6410"/>
    <w:rsid w:val="00ED6517"/>
    <w:rsid w:val="00ED6D41"/>
    <w:rsid w:val="00EE0101"/>
    <w:rsid w:val="00EE31C6"/>
    <w:rsid w:val="00EE4335"/>
    <w:rsid w:val="00EE6CA7"/>
    <w:rsid w:val="00EE79D2"/>
    <w:rsid w:val="00EF13C0"/>
    <w:rsid w:val="00EF2EBE"/>
    <w:rsid w:val="00EF35BC"/>
    <w:rsid w:val="00EF5F31"/>
    <w:rsid w:val="00EF6A49"/>
    <w:rsid w:val="00F018BA"/>
    <w:rsid w:val="00F14A83"/>
    <w:rsid w:val="00F14EE2"/>
    <w:rsid w:val="00F16C65"/>
    <w:rsid w:val="00F247C6"/>
    <w:rsid w:val="00F25FE1"/>
    <w:rsid w:val="00F26151"/>
    <w:rsid w:val="00F32D78"/>
    <w:rsid w:val="00F33DCD"/>
    <w:rsid w:val="00F348D4"/>
    <w:rsid w:val="00F41B2F"/>
    <w:rsid w:val="00F4447F"/>
    <w:rsid w:val="00F45CFA"/>
    <w:rsid w:val="00F523B2"/>
    <w:rsid w:val="00F5317A"/>
    <w:rsid w:val="00F54ACE"/>
    <w:rsid w:val="00F63FEE"/>
    <w:rsid w:val="00F704AD"/>
    <w:rsid w:val="00F7563A"/>
    <w:rsid w:val="00F75EA1"/>
    <w:rsid w:val="00F76F86"/>
    <w:rsid w:val="00F802C8"/>
    <w:rsid w:val="00F812C7"/>
    <w:rsid w:val="00F81B60"/>
    <w:rsid w:val="00F83AEA"/>
    <w:rsid w:val="00F9157F"/>
    <w:rsid w:val="00F9185D"/>
    <w:rsid w:val="00F91B03"/>
    <w:rsid w:val="00F91B9D"/>
    <w:rsid w:val="00F91CC1"/>
    <w:rsid w:val="00F91EB9"/>
    <w:rsid w:val="00F92538"/>
    <w:rsid w:val="00F955EF"/>
    <w:rsid w:val="00F95BC3"/>
    <w:rsid w:val="00FA26D7"/>
    <w:rsid w:val="00FA4975"/>
    <w:rsid w:val="00FC4676"/>
    <w:rsid w:val="00FD6AB6"/>
    <w:rsid w:val="00FE2985"/>
    <w:rsid w:val="00FE4835"/>
    <w:rsid w:val="00FE69F7"/>
    <w:rsid w:val="00FF0561"/>
    <w:rsid w:val="00FF09D0"/>
    <w:rsid w:val="00FF156F"/>
    <w:rsid w:val="00FF1975"/>
    <w:rsid w:val="00FF2EA8"/>
    <w:rsid w:val="00FF78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A02550B-D9DF-4A6E-9DF5-15767400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2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A7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856"/>
  </w:style>
  <w:style w:type="paragraph" w:styleId="Piedepgina">
    <w:name w:val="footer"/>
    <w:basedOn w:val="Normal"/>
    <w:link w:val="PiedepginaCar"/>
    <w:uiPriority w:val="99"/>
    <w:unhideWhenUsed/>
    <w:rsid w:val="00CA7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56"/>
  </w:style>
  <w:style w:type="paragraph" w:styleId="Prrafodelista">
    <w:name w:val="List Paragraph"/>
    <w:basedOn w:val="Normal"/>
    <w:uiPriority w:val="34"/>
    <w:qFormat/>
    <w:rsid w:val="004B47C2"/>
    <w:pPr>
      <w:ind w:left="720"/>
      <w:contextualSpacing/>
    </w:pPr>
  </w:style>
  <w:style w:type="paragraph" w:styleId="Textodeglobo">
    <w:name w:val="Balloon Text"/>
    <w:basedOn w:val="Normal"/>
    <w:link w:val="TextodegloboCar"/>
    <w:uiPriority w:val="99"/>
    <w:semiHidden/>
    <w:unhideWhenUsed/>
    <w:rsid w:val="00372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E09"/>
    <w:rPr>
      <w:rFonts w:ascii="Segoe UI" w:hAnsi="Segoe UI" w:cs="Segoe UI"/>
      <w:sz w:val="18"/>
      <w:szCs w:val="18"/>
    </w:rPr>
  </w:style>
  <w:style w:type="paragraph" w:styleId="Textonotapie">
    <w:name w:val="footnote text"/>
    <w:basedOn w:val="Normal"/>
    <w:link w:val="TextonotapieCar"/>
    <w:uiPriority w:val="99"/>
    <w:unhideWhenUsed/>
    <w:rsid w:val="00212A42"/>
    <w:pPr>
      <w:spacing w:after="0" w:line="240" w:lineRule="auto"/>
    </w:pPr>
    <w:rPr>
      <w:sz w:val="20"/>
      <w:szCs w:val="20"/>
    </w:rPr>
  </w:style>
  <w:style w:type="character" w:customStyle="1" w:styleId="TextonotapieCar">
    <w:name w:val="Texto nota pie Car"/>
    <w:basedOn w:val="Fuentedeprrafopredeter"/>
    <w:link w:val="Textonotapie"/>
    <w:uiPriority w:val="99"/>
    <w:rsid w:val="00212A42"/>
    <w:rPr>
      <w:sz w:val="20"/>
      <w:szCs w:val="20"/>
    </w:rPr>
  </w:style>
  <w:style w:type="character" w:styleId="Refdenotaalpie">
    <w:name w:val="footnote reference"/>
    <w:basedOn w:val="Fuentedeprrafopredeter"/>
    <w:uiPriority w:val="99"/>
    <w:semiHidden/>
    <w:unhideWhenUsed/>
    <w:rsid w:val="00212A42"/>
    <w:rPr>
      <w:vertAlign w:val="superscript"/>
    </w:rPr>
  </w:style>
  <w:style w:type="paragraph" w:styleId="HTMLconformatoprevio">
    <w:name w:val="HTML Preformatted"/>
    <w:basedOn w:val="Normal"/>
    <w:link w:val="HTMLconformatoprevioCar"/>
    <w:uiPriority w:val="99"/>
    <w:unhideWhenUsed/>
    <w:rsid w:val="00081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es-CL"/>
    </w:rPr>
  </w:style>
  <w:style w:type="character" w:customStyle="1" w:styleId="HTMLconformatoprevioCar">
    <w:name w:val="HTML con formato previo Car"/>
    <w:basedOn w:val="Fuentedeprrafopredeter"/>
    <w:link w:val="HTMLconformatoprevio"/>
    <w:uiPriority w:val="99"/>
    <w:rsid w:val="000813E8"/>
    <w:rPr>
      <w:rFonts w:ascii="Courier New" w:eastAsia="Times New Roman" w:hAnsi="Courier New" w:cs="Times New Roman"/>
      <w:sz w:val="20"/>
      <w:szCs w:val="20"/>
      <w:lang w:val="x-none" w:eastAsia="es-CL"/>
    </w:rPr>
  </w:style>
  <w:style w:type="character" w:styleId="Refdecomentario">
    <w:name w:val="annotation reference"/>
    <w:basedOn w:val="Fuentedeprrafopredeter"/>
    <w:uiPriority w:val="99"/>
    <w:semiHidden/>
    <w:unhideWhenUsed/>
    <w:rsid w:val="001A7224"/>
    <w:rPr>
      <w:sz w:val="16"/>
      <w:szCs w:val="16"/>
    </w:rPr>
  </w:style>
  <w:style w:type="paragraph" w:styleId="Textocomentario">
    <w:name w:val="annotation text"/>
    <w:basedOn w:val="Normal"/>
    <w:link w:val="TextocomentarioCar"/>
    <w:uiPriority w:val="99"/>
    <w:semiHidden/>
    <w:unhideWhenUsed/>
    <w:rsid w:val="001A72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7224"/>
    <w:rPr>
      <w:sz w:val="20"/>
      <w:szCs w:val="20"/>
    </w:rPr>
  </w:style>
  <w:style w:type="paragraph" w:styleId="Asuntodelcomentario">
    <w:name w:val="annotation subject"/>
    <w:basedOn w:val="Textocomentario"/>
    <w:next w:val="Textocomentario"/>
    <w:link w:val="AsuntodelcomentarioCar"/>
    <w:uiPriority w:val="99"/>
    <w:semiHidden/>
    <w:unhideWhenUsed/>
    <w:rsid w:val="001A7224"/>
    <w:rPr>
      <w:b/>
      <w:bCs/>
    </w:rPr>
  </w:style>
  <w:style w:type="character" w:customStyle="1" w:styleId="AsuntodelcomentarioCar">
    <w:name w:val="Asunto del comentario Car"/>
    <w:basedOn w:val="TextocomentarioCar"/>
    <w:link w:val="Asuntodelcomentario"/>
    <w:uiPriority w:val="99"/>
    <w:semiHidden/>
    <w:rsid w:val="001A7224"/>
    <w:rPr>
      <w:b/>
      <w:bCs/>
      <w:sz w:val="20"/>
      <w:szCs w:val="20"/>
    </w:rPr>
  </w:style>
  <w:style w:type="paragraph" w:styleId="Textonotaalfinal">
    <w:name w:val="endnote text"/>
    <w:basedOn w:val="Normal"/>
    <w:link w:val="TextonotaalfinalCar"/>
    <w:uiPriority w:val="99"/>
    <w:semiHidden/>
    <w:unhideWhenUsed/>
    <w:rsid w:val="002902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9024E"/>
    <w:rPr>
      <w:sz w:val="20"/>
      <w:szCs w:val="20"/>
    </w:rPr>
  </w:style>
  <w:style w:type="character" w:styleId="Refdenotaalfinal">
    <w:name w:val="endnote reference"/>
    <w:basedOn w:val="Fuentedeprrafopredeter"/>
    <w:uiPriority w:val="99"/>
    <w:semiHidden/>
    <w:unhideWhenUsed/>
    <w:rsid w:val="00290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3790">
      <w:bodyDiv w:val="1"/>
      <w:marLeft w:val="0"/>
      <w:marRight w:val="0"/>
      <w:marTop w:val="0"/>
      <w:marBottom w:val="0"/>
      <w:divBdr>
        <w:top w:val="none" w:sz="0" w:space="0" w:color="auto"/>
        <w:left w:val="none" w:sz="0" w:space="0" w:color="auto"/>
        <w:bottom w:val="none" w:sz="0" w:space="0" w:color="auto"/>
        <w:right w:val="none" w:sz="0" w:space="0" w:color="auto"/>
      </w:divBdr>
      <w:divsChild>
        <w:div w:id="1906142886">
          <w:marLeft w:val="0"/>
          <w:marRight w:val="0"/>
          <w:marTop w:val="0"/>
          <w:marBottom w:val="0"/>
          <w:divBdr>
            <w:top w:val="none" w:sz="0" w:space="0" w:color="auto"/>
            <w:left w:val="none" w:sz="0" w:space="0" w:color="auto"/>
            <w:bottom w:val="none" w:sz="0" w:space="0" w:color="auto"/>
            <w:right w:val="none" w:sz="0" w:space="0" w:color="auto"/>
          </w:divBdr>
        </w:div>
        <w:div w:id="620918948">
          <w:marLeft w:val="0"/>
          <w:marRight w:val="0"/>
          <w:marTop w:val="0"/>
          <w:marBottom w:val="0"/>
          <w:divBdr>
            <w:top w:val="none" w:sz="0" w:space="0" w:color="auto"/>
            <w:left w:val="none" w:sz="0" w:space="0" w:color="auto"/>
            <w:bottom w:val="none" w:sz="0" w:space="0" w:color="auto"/>
            <w:right w:val="none" w:sz="0" w:space="0" w:color="auto"/>
          </w:divBdr>
          <w:divsChild>
            <w:div w:id="190711108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12184054">
          <w:marLeft w:val="0"/>
          <w:marRight w:val="0"/>
          <w:marTop w:val="0"/>
          <w:marBottom w:val="0"/>
          <w:divBdr>
            <w:top w:val="none" w:sz="0" w:space="0" w:color="auto"/>
            <w:left w:val="none" w:sz="0" w:space="0" w:color="auto"/>
            <w:bottom w:val="none" w:sz="0" w:space="0" w:color="auto"/>
            <w:right w:val="none" w:sz="0" w:space="0" w:color="auto"/>
          </w:divBdr>
        </w:div>
      </w:divsChild>
    </w:div>
    <w:div w:id="159588605">
      <w:bodyDiv w:val="1"/>
      <w:marLeft w:val="0"/>
      <w:marRight w:val="0"/>
      <w:marTop w:val="0"/>
      <w:marBottom w:val="0"/>
      <w:divBdr>
        <w:top w:val="none" w:sz="0" w:space="0" w:color="auto"/>
        <w:left w:val="none" w:sz="0" w:space="0" w:color="auto"/>
        <w:bottom w:val="none" w:sz="0" w:space="0" w:color="auto"/>
        <w:right w:val="none" w:sz="0" w:space="0" w:color="auto"/>
      </w:divBdr>
    </w:div>
    <w:div w:id="255941324">
      <w:bodyDiv w:val="1"/>
      <w:marLeft w:val="0"/>
      <w:marRight w:val="0"/>
      <w:marTop w:val="0"/>
      <w:marBottom w:val="0"/>
      <w:divBdr>
        <w:top w:val="none" w:sz="0" w:space="0" w:color="auto"/>
        <w:left w:val="none" w:sz="0" w:space="0" w:color="auto"/>
        <w:bottom w:val="none" w:sz="0" w:space="0" w:color="auto"/>
        <w:right w:val="none" w:sz="0" w:space="0" w:color="auto"/>
      </w:divBdr>
    </w:div>
    <w:div w:id="325013807">
      <w:bodyDiv w:val="1"/>
      <w:marLeft w:val="0"/>
      <w:marRight w:val="0"/>
      <w:marTop w:val="0"/>
      <w:marBottom w:val="0"/>
      <w:divBdr>
        <w:top w:val="none" w:sz="0" w:space="0" w:color="auto"/>
        <w:left w:val="none" w:sz="0" w:space="0" w:color="auto"/>
        <w:bottom w:val="none" w:sz="0" w:space="0" w:color="auto"/>
        <w:right w:val="none" w:sz="0" w:space="0" w:color="auto"/>
      </w:divBdr>
    </w:div>
    <w:div w:id="325523774">
      <w:bodyDiv w:val="1"/>
      <w:marLeft w:val="0"/>
      <w:marRight w:val="0"/>
      <w:marTop w:val="0"/>
      <w:marBottom w:val="0"/>
      <w:divBdr>
        <w:top w:val="none" w:sz="0" w:space="0" w:color="auto"/>
        <w:left w:val="none" w:sz="0" w:space="0" w:color="auto"/>
        <w:bottom w:val="none" w:sz="0" w:space="0" w:color="auto"/>
        <w:right w:val="none" w:sz="0" w:space="0" w:color="auto"/>
      </w:divBdr>
      <w:divsChild>
        <w:div w:id="2024435226">
          <w:marLeft w:val="0"/>
          <w:marRight w:val="0"/>
          <w:marTop w:val="0"/>
          <w:marBottom w:val="0"/>
          <w:divBdr>
            <w:top w:val="none" w:sz="0" w:space="0" w:color="auto"/>
            <w:left w:val="none" w:sz="0" w:space="0" w:color="auto"/>
            <w:bottom w:val="none" w:sz="0" w:space="0" w:color="auto"/>
            <w:right w:val="none" w:sz="0" w:space="0" w:color="auto"/>
          </w:divBdr>
        </w:div>
        <w:div w:id="2138991230">
          <w:marLeft w:val="0"/>
          <w:marRight w:val="0"/>
          <w:marTop w:val="0"/>
          <w:marBottom w:val="0"/>
          <w:divBdr>
            <w:top w:val="none" w:sz="0" w:space="0" w:color="auto"/>
            <w:left w:val="none" w:sz="0" w:space="0" w:color="auto"/>
            <w:bottom w:val="none" w:sz="0" w:space="0" w:color="auto"/>
            <w:right w:val="none" w:sz="0" w:space="0" w:color="auto"/>
          </w:divBdr>
        </w:div>
      </w:divsChild>
    </w:div>
    <w:div w:id="876039558">
      <w:bodyDiv w:val="1"/>
      <w:marLeft w:val="0"/>
      <w:marRight w:val="0"/>
      <w:marTop w:val="0"/>
      <w:marBottom w:val="0"/>
      <w:divBdr>
        <w:top w:val="none" w:sz="0" w:space="0" w:color="auto"/>
        <w:left w:val="none" w:sz="0" w:space="0" w:color="auto"/>
        <w:bottom w:val="none" w:sz="0" w:space="0" w:color="auto"/>
        <w:right w:val="none" w:sz="0" w:space="0" w:color="auto"/>
      </w:divBdr>
    </w:div>
    <w:div w:id="1255436246">
      <w:bodyDiv w:val="1"/>
      <w:marLeft w:val="0"/>
      <w:marRight w:val="0"/>
      <w:marTop w:val="0"/>
      <w:marBottom w:val="0"/>
      <w:divBdr>
        <w:top w:val="none" w:sz="0" w:space="0" w:color="auto"/>
        <w:left w:val="none" w:sz="0" w:space="0" w:color="auto"/>
        <w:bottom w:val="none" w:sz="0" w:space="0" w:color="auto"/>
        <w:right w:val="none" w:sz="0" w:space="0" w:color="auto"/>
      </w:divBdr>
    </w:div>
    <w:div w:id="1308128367">
      <w:bodyDiv w:val="1"/>
      <w:marLeft w:val="0"/>
      <w:marRight w:val="0"/>
      <w:marTop w:val="0"/>
      <w:marBottom w:val="0"/>
      <w:divBdr>
        <w:top w:val="none" w:sz="0" w:space="0" w:color="auto"/>
        <w:left w:val="none" w:sz="0" w:space="0" w:color="auto"/>
        <w:bottom w:val="none" w:sz="0" w:space="0" w:color="auto"/>
        <w:right w:val="none" w:sz="0" w:space="0" w:color="auto"/>
      </w:divBdr>
      <w:divsChild>
        <w:div w:id="1608350267">
          <w:marLeft w:val="0"/>
          <w:marRight w:val="0"/>
          <w:marTop w:val="0"/>
          <w:marBottom w:val="0"/>
          <w:divBdr>
            <w:top w:val="none" w:sz="0" w:space="0" w:color="auto"/>
            <w:left w:val="none" w:sz="0" w:space="0" w:color="auto"/>
            <w:bottom w:val="none" w:sz="0" w:space="0" w:color="auto"/>
            <w:right w:val="none" w:sz="0" w:space="0" w:color="auto"/>
          </w:divBdr>
          <w:divsChild>
            <w:div w:id="1337414835">
              <w:marLeft w:val="150"/>
              <w:marRight w:val="0"/>
              <w:marTop w:val="0"/>
              <w:marBottom w:val="0"/>
              <w:divBdr>
                <w:top w:val="none" w:sz="0" w:space="0" w:color="auto"/>
                <w:left w:val="none" w:sz="0" w:space="0" w:color="auto"/>
                <w:bottom w:val="none" w:sz="0" w:space="0" w:color="auto"/>
                <w:right w:val="none" w:sz="0" w:space="0" w:color="auto"/>
              </w:divBdr>
              <w:divsChild>
                <w:div w:id="1021199874">
                  <w:marLeft w:val="0"/>
                  <w:marRight w:val="0"/>
                  <w:marTop w:val="0"/>
                  <w:marBottom w:val="0"/>
                  <w:divBdr>
                    <w:top w:val="none" w:sz="0" w:space="0" w:color="auto"/>
                    <w:left w:val="none" w:sz="0" w:space="0" w:color="auto"/>
                    <w:bottom w:val="none" w:sz="0" w:space="0" w:color="auto"/>
                    <w:right w:val="none" w:sz="0" w:space="0" w:color="auto"/>
                  </w:divBdr>
                  <w:divsChild>
                    <w:div w:id="1777747480">
                      <w:marLeft w:val="0"/>
                      <w:marRight w:val="0"/>
                      <w:marTop w:val="0"/>
                      <w:marBottom w:val="0"/>
                      <w:divBdr>
                        <w:top w:val="none" w:sz="0" w:space="0" w:color="auto"/>
                        <w:left w:val="none" w:sz="0" w:space="0" w:color="auto"/>
                        <w:bottom w:val="none" w:sz="0" w:space="0" w:color="auto"/>
                        <w:right w:val="none" w:sz="0" w:space="0" w:color="auto"/>
                      </w:divBdr>
                      <w:divsChild>
                        <w:div w:id="466900774">
                          <w:marLeft w:val="0"/>
                          <w:marRight w:val="0"/>
                          <w:marTop w:val="0"/>
                          <w:marBottom w:val="0"/>
                          <w:divBdr>
                            <w:top w:val="none" w:sz="0" w:space="0" w:color="auto"/>
                            <w:left w:val="none" w:sz="0" w:space="0" w:color="auto"/>
                            <w:bottom w:val="none" w:sz="0" w:space="0" w:color="auto"/>
                            <w:right w:val="none" w:sz="0" w:space="0" w:color="auto"/>
                          </w:divBdr>
                          <w:divsChild>
                            <w:div w:id="1320227845">
                              <w:marLeft w:val="0"/>
                              <w:marRight w:val="0"/>
                              <w:marTop w:val="0"/>
                              <w:marBottom w:val="0"/>
                              <w:divBdr>
                                <w:top w:val="none" w:sz="0" w:space="0" w:color="auto"/>
                                <w:left w:val="none" w:sz="0" w:space="0" w:color="auto"/>
                                <w:bottom w:val="none" w:sz="0" w:space="0" w:color="auto"/>
                                <w:right w:val="none" w:sz="0" w:space="0" w:color="auto"/>
                              </w:divBdr>
                              <w:divsChild>
                                <w:div w:id="555312701">
                                  <w:marLeft w:val="0"/>
                                  <w:marRight w:val="0"/>
                                  <w:marTop w:val="0"/>
                                  <w:marBottom w:val="0"/>
                                  <w:divBdr>
                                    <w:top w:val="none" w:sz="0" w:space="0" w:color="auto"/>
                                    <w:left w:val="none" w:sz="0" w:space="0" w:color="auto"/>
                                    <w:bottom w:val="none" w:sz="0" w:space="0" w:color="auto"/>
                                    <w:right w:val="none" w:sz="0" w:space="0" w:color="auto"/>
                                  </w:divBdr>
                                  <w:divsChild>
                                    <w:div w:id="1784375798">
                                      <w:marLeft w:val="0"/>
                                      <w:marRight w:val="0"/>
                                      <w:marTop w:val="0"/>
                                      <w:marBottom w:val="0"/>
                                      <w:divBdr>
                                        <w:top w:val="none" w:sz="0" w:space="0" w:color="auto"/>
                                        <w:left w:val="none" w:sz="0" w:space="0" w:color="auto"/>
                                        <w:bottom w:val="none" w:sz="0" w:space="0" w:color="auto"/>
                                        <w:right w:val="none" w:sz="0" w:space="0" w:color="auto"/>
                                      </w:divBdr>
                                    </w:div>
                                    <w:div w:id="782770316">
                                      <w:marLeft w:val="0"/>
                                      <w:marRight w:val="0"/>
                                      <w:marTop w:val="0"/>
                                      <w:marBottom w:val="0"/>
                                      <w:divBdr>
                                        <w:top w:val="none" w:sz="0" w:space="0" w:color="auto"/>
                                        <w:left w:val="none" w:sz="0" w:space="0" w:color="auto"/>
                                        <w:bottom w:val="none" w:sz="0" w:space="0" w:color="auto"/>
                                        <w:right w:val="none" w:sz="0" w:space="0" w:color="auto"/>
                                      </w:divBdr>
                                    </w:div>
                                    <w:div w:id="740327001">
                                      <w:marLeft w:val="0"/>
                                      <w:marRight w:val="0"/>
                                      <w:marTop w:val="0"/>
                                      <w:marBottom w:val="0"/>
                                      <w:divBdr>
                                        <w:top w:val="none" w:sz="0" w:space="0" w:color="auto"/>
                                        <w:left w:val="none" w:sz="0" w:space="0" w:color="auto"/>
                                        <w:bottom w:val="none" w:sz="0" w:space="0" w:color="auto"/>
                                        <w:right w:val="none" w:sz="0" w:space="0" w:color="auto"/>
                                      </w:divBdr>
                                    </w:div>
                                    <w:div w:id="1081102098">
                                      <w:marLeft w:val="0"/>
                                      <w:marRight w:val="0"/>
                                      <w:marTop w:val="0"/>
                                      <w:marBottom w:val="0"/>
                                      <w:divBdr>
                                        <w:top w:val="none" w:sz="0" w:space="0" w:color="auto"/>
                                        <w:left w:val="none" w:sz="0" w:space="0" w:color="auto"/>
                                        <w:bottom w:val="none" w:sz="0" w:space="0" w:color="auto"/>
                                        <w:right w:val="none" w:sz="0" w:space="0" w:color="auto"/>
                                      </w:divBdr>
                                    </w:div>
                                    <w:div w:id="950548955">
                                      <w:marLeft w:val="0"/>
                                      <w:marRight w:val="0"/>
                                      <w:marTop w:val="0"/>
                                      <w:marBottom w:val="0"/>
                                      <w:divBdr>
                                        <w:top w:val="none" w:sz="0" w:space="0" w:color="auto"/>
                                        <w:left w:val="none" w:sz="0" w:space="0" w:color="auto"/>
                                        <w:bottom w:val="none" w:sz="0" w:space="0" w:color="auto"/>
                                        <w:right w:val="none" w:sz="0" w:space="0" w:color="auto"/>
                                      </w:divBdr>
                                      <w:divsChild>
                                        <w:div w:id="2032795888">
                                          <w:marLeft w:val="0"/>
                                          <w:marRight w:val="0"/>
                                          <w:marTop w:val="0"/>
                                          <w:marBottom w:val="0"/>
                                          <w:divBdr>
                                            <w:top w:val="single" w:sz="6" w:space="8" w:color="CCCCCC"/>
                                            <w:left w:val="single" w:sz="6" w:space="8" w:color="CCCCCC"/>
                                            <w:bottom w:val="single" w:sz="6" w:space="8" w:color="CCCCCC"/>
                                            <w:right w:val="single" w:sz="6" w:space="8" w:color="CCCCCC"/>
                                          </w:divBdr>
                                        </w:div>
                                        <w:div w:id="191412539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343967185">
      <w:bodyDiv w:val="1"/>
      <w:marLeft w:val="0"/>
      <w:marRight w:val="0"/>
      <w:marTop w:val="0"/>
      <w:marBottom w:val="0"/>
      <w:divBdr>
        <w:top w:val="none" w:sz="0" w:space="0" w:color="auto"/>
        <w:left w:val="none" w:sz="0" w:space="0" w:color="auto"/>
        <w:bottom w:val="none" w:sz="0" w:space="0" w:color="auto"/>
        <w:right w:val="none" w:sz="0" w:space="0" w:color="auto"/>
      </w:divBdr>
    </w:div>
    <w:div w:id="1466193003">
      <w:bodyDiv w:val="1"/>
      <w:marLeft w:val="0"/>
      <w:marRight w:val="0"/>
      <w:marTop w:val="0"/>
      <w:marBottom w:val="0"/>
      <w:divBdr>
        <w:top w:val="none" w:sz="0" w:space="0" w:color="auto"/>
        <w:left w:val="none" w:sz="0" w:space="0" w:color="auto"/>
        <w:bottom w:val="none" w:sz="0" w:space="0" w:color="auto"/>
        <w:right w:val="none" w:sz="0" w:space="0" w:color="auto"/>
      </w:divBdr>
    </w:div>
    <w:div w:id="1486627417">
      <w:bodyDiv w:val="1"/>
      <w:marLeft w:val="0"/>
      <w:marRight w:val="0"/>
      <w:marTop w:val="0"/>
      <w:marBottom w:val="0"/>
      <w:divBdr>
        <w:top w:val="none" w:sz="0" w:space="0" w:color="auto"/>
        <w:left w:val="none" w:sz="0" w:space="0" w:color="auto"/>
        <w:bottom w:val="none" w:sz="0" w:space="0" w:color="auto"/>
        <w:right w:val="none" w:sz="0" w:space="0" w:color="auto"/>
      </w:divBdr>
    </w:div>
    <w:div w:id="1574005993">
      <w:bodyDiv w:val="1"/>
      <w:marLeft w:val="0"/>
      <w:marRight w:val="0"/>
      <w:marTop w:val="0"/>
      <w:marBottom w:val="0"/>
      <w:divBdr>
        <w:top w:val="none" w:sz="0" w:space="0" w:color="auto"/>
        <w:left w:val="none" w:sz="0" w:space="0" w:color="auto"/>
        <w:bottom w:val="none" w:sz="0" w:space="0" w:color="auto"/>
        <w:right w:val="none" w:sz="0" w:space="0" w:color="auto"/>
      </w:divBdr>
      <w:divsChild>
        <w:div w:id="2096129460">
          <w:marLeft w:val="0"/>
          <w:marRight w:val="0"/>
          <w:marTop w:val="0"/>
          <w:marBottom w:val="0"/>
          <w:divBdr>
            <w:top w:val="none" w:sz="0" w:space="0" w:color="auto"/>
            <w:left w:val="none" w:sz="0" w:space="0" w:color="auto"/>
            <w:bottom w:val="none" w:sz="0" w:space="0" w:color="auto"/>
            <w:right w:val="none" w:sz="0" w:space="0" w:color="auto"/>
          </w:divBdr>
        </w:div>
      </w:divsChild>
    </w:div>
    <w:div w:id="1599554820">
      <w:bodyDiv w:val="1"/>
      <w:marLeft w:val="0"/>
      <w:marRight w:val="0"/>
      <w:marTop w:val="0"/>
      <w:marBottom w:val="0"/>
      <w:divBdr>
        <w:top w:val="none" w:sz="0" w:space="0" w:color="auto"/>
        <w:left w:val="none" w:sz="0" w:space="0" w:color="auto"/>
        <w:bottom w:val="none" w:sz="0" w:space="0" w:color="auto"/>
        <w:right w:val="none" w:sz="0" w:space="0" w:color="auto"/>
      </w:divBdr>
    </w:div>
    <w:div w:id="1757170492">
      <w:bodyDiv w:val="1"/>
      <w:marLeft w:val="0"/>
      <w:marRight w:val="0"/>
      <w:marTop w:val="0"/>
      <w:marBottom w:val="0"/>
      <w:divBdr>
        <w:top w:val="none" w:sz="0" w:space="0" w:color="auto"/>
        <w:left w:val="none" w:sz="0" w:space="0" w:color="auto"/>
        <w:bottom w:val="none" w:sz="0" w:space="0" w:color="auto"/>
        <w:right w:val="none" w:sz="0" w:space="0" w:color="auto"/>
      </w:divBdr>
    </w:div>
    <w:div w:id="1870752134">
      <w:bodyDiv w:val="1"/>
      <w:marLeft w:val="0"/>
      <w:marRight w:val="0"/>
      <w:marTop w:val="0"/>
      <w:marBottom w:val="0"/>
      <w:divBdr>
        <w:top w:val="none" w:sz="0" w:space="0" w:color="auto"/>
        <w:left w:val="none" w:sz="0" w:space="0" w:color="auto"/>
        <w:bottom w:val="none" w:sz="0" w:space="0" w:color="auto"/>
        <w:right w:val="none" w:sz="0" w:space="0" w:color="auto"/>
      </w:divBdr>
    </w:div>
    <w:div w:id="2033991973">
      <w:bodyDiv w:val="1"/>
      <w:marLeft w:val="0"/>
      <w:marRight w:val="0"/>
      <w:marTop w:val="0"/>
      <w:marBottom w:val="0"/>
      <w:divBdr>
        <w:top w:val="none" w:sz="0" w:space="0" w:color="auto"/>
        <w:left w:val="none" w:sz="0" w:space="0" w:color="auto"/>
        <w:bottom w:val="none" w:sz="0" w:space="0" w:color="auto"/>
        <w:right w:val="none" w:sz="0" w:space="0" w:color="auto"/>
      </w:divBdr>
    </w:div>
    <w:div w:id="21016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2D217-B2A2-4D7D-8727-8F27557A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1318</Words>
  <Characters>7254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mcorrea</dc:creator>
  <cp:lastModifiedBy>Maria Soledad Fredes Ruiz</cp:lastModifiedBy>
  <cp:revision>16</cp:revision>
  <cp:lastPrinted>2016-10-17T17:51:00Z</cp:lastPrinted>
  <dcterms:created xsi:type="dcterms:W3CDTF">2018-07-12T21:42:00Z</dcterms:created>
  <dcterms:modified xsi:type="dcterms:W3CDTF">2018-07-17T13:34:00Z</dcterms:modified>
</cp:coreProperties>
</file>