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5874" w:type="dxa"/>
        <w:tblLayout w:type="fixed"/>
        <w:tblLook w:val="04A0" w:firstRow="1" w:lastRow="0" w:firstColumn="1" w:lastColumn="0" w:noHBand="0" w:noVBand="1"/>
      </w:tblPr>
      <w:tblGrid>
        <w:gridCol w:w="5386"/>
        <w:gridCol w:w="5386"/>
        <w:gridCol w:w="5102"/>
      </w:tblGrid>
      <w:tr w:rsidR="003E607D" w:rsidRPr="00B3526A" w:rsidTr="003E607D">
        <w:tc>
          <w:tcPr>
            <w:tcW w:w="5386" w:type="dxa"/>
          </w:tcPr>
          <w:p w:rsidR="003E607D" w:rsidRPr="00B3526A" w:rsidRDefault="00B3526A" w:rsidP="00C567F0">
            <w:pPr>
              <w:spacing w:before="60" w:after="60"/>
              <w:jc w:val="center"/>
              <w:rPr>
                <w:b/>
              </w:rPr>
            </w:pPr>
            <w:bookmarkStart w:id="0" w:name="_GoBack"/>
            <w:bookmarkEnd w:id="0"/>
            <w:r w:rsidRPr="00B3526A">
              <w:rPr>
                <w:b/>
              </w:rPr>
              <w:t>LEGISLACIÓN VIGENTE</w:t>
            </w:r>
          </w:p>
        </w:tc>
        <w:tc>
          <w:tcPr>
            <w:tcW w:w="5386" w:type="dxa"/>
          </w:tcPr>
          <w:p w:rsidR="003E607D" w:rsidRPr="00B3526A" w:rsidRDefault="00B3526A" w:rsidP="00B3526A">
            <w:pPr>
              <w:spacing w:before="60" w:after="60"/>
              <w:jc w:val="center"/>
              <w:rPr>
                <w:b/>
              </w:rPr>
            </w:pPr>
            <w:r w:rsidRPr="00B3526A">
              <w:rPr>
                <w:b/>
              </w:rPr>
              <w:t>TEXTO APROBADO POR LA COMISIÓN DE EDUCACIÓN</w:t>
            </w:r>
          </w:p>
        </w:tc>
        <w:tc>
          <w:tcPr>
            <w:tcW w:w="5102" w:type="dxa"/>
          </w:tcPr>
          <w:p w:rsidR="003E607D" w:rsidRPr="00B3526A" w:rsidRDefault="00B3526A" w:rsidP="003E607D">
            <w:pPr>
              <w:spacing w:before="60" w:after="60"/>
              <w:jc w:val="center"/>
              <w:rPr>
                <w:b/>
              </w:rPr>
            </w:pPr>
            <w:r w:rsidRPr="00B3526A">
              <w:rPr>
                <w:b/>
              </w:rPr>
              <w:t>INDICACIONES</w:t>
            </w:r>
          </w:p>
        </w:tc>
      </w:tr>
      <w:tr w:rsidR="003E607D" w:rsidRPr="00AF176D" w:rsidTr="003E607D">
        <w:tc>
          <w:tcPr>
            <w:tcW w:w="5386" w:type="dxa"/>
          </w:tcPr>
          <w:p w:rsidR="003E607D" w:rsidRDefault="003E607D" w:rsidP="00EC1A4D">
            <w:pPr>
              <w:jc w:val="both"/>
              <w:rPr>
                <w:b/>
              </w:rPr>
            </w:pPr>
            <w:r w:rsidRPr="00422EE4">
              <w:rPr>
                <w:b/>
              </w:rPr>
              <w:t>DECRETO CON FUERZA DE LEY N° 1, DE 1996, DEL MINISTERIO DE EDUCACIÓN</w:t>
            </w:r>
          </w:p>
          <w:p w:rsidR="008E7A35" w:rsidRDefault="008E7A35" w:rsidP="00EC1A4D">
            <w:pPr>
              <w:jc w:val="both"/>
              <w:rPr>
                <w:b/>
              </w:rPr>
            </w:pPr>
          </w:p>
          <w:p w:rsidR="008E7A35" w:rsidRDefault="008E7A35" w:rsidP="00EC1A4D">
            <w:pPr>
              <w:jc w:val="both"/>
              <w:rPr>
                <w:b/>
              </w:rPr>
            </w:pPr>
          </w:p>
          <w:p w:rsidR="003E607D" w:rsidRDefault="003E607D" w:rsidP="00EC1A4D">
            <w:pPr>
              <w:jc w:val="both"/>
            </w:pPr>
            <w:r w:rsidRPr="00E90923">
              <w:rPr>
                <w:b/>
              </w:rPr>
              <w:t>Artículo 36:</w:t>
            </w:r>
            <w:r w:rsidRPr="00EC1A4D">
              <w:t xml:space="preserve"> Los profesionales de la educación que tengan la calidad de titulares, tendrán derecho a la estabilidad en las horas y funciones establecidas en los decretos de designación o contratos de trabajo, según</w:t>
            </w:r>
            <w:r>
              <w:t xml:space="preserve"> </w:t>
            </w:r>
            <w:r w:rsidRPr="00EC1A4D">
              <w:t>corresponda, a menos que deban cesar en ellas por alguna de las causales de expiración de funciones establecidas en este Estatuto.</w:t>
            </w:r>
          </w:p>
          <w:p w:rsidR="007078A7" w:rsidRDefault="007078A7" w:rsidP="00EC1A4D">
            <w:pPr>
              <w:jc w:val="both"/>
            </w:pPr>
          </w:p>
          <w:p w:rsidR="003E607D" w:rsidRPr="00EC1A4D" w:rsidRDefault="003E607D" w:rsidP="00EC1A4D">
            <w:pPr>
              <w:jc w:val="both"/>
            </w:pPr>
            <w:r>
              <w:t>_______________________________________________</w:t>
            </w:r>
          </w:p>
          <w:p w:rsidR="003E607D" w:rsidRPr="008F65F6" w:rsidRDefault="003E607D" w:rsidP="005A4AAA">
            <w:pPr>
              <w:jc w:val="both"/>
              <w:rPr>
                <w:lang w:val="es-ES"/>
              </w:rPr>
            </w:pPr>
          </w:p>
        </w:tc>
        <w:tc>
          <w:tcPr>
            <w:tcW w:w="5386" w:type="dxa"/>
          </w:tcPr>
          <w:p w:rsidR="003E607D" w:rsidRDefault="003E607D" w:rsidP="00EC1A4D">
            <w:pPr>
              <w:jc w:val="both"/>
            </w:pPr>
            <w:r>
              <w:t>Artículo único.- Introdúcense las siguientes modificaciones en la ley N° 19.070, cuyo texto refundido, coordinado y sistematizado se fijó en el decreto con fuerza de ley N° 1, de 1996, del Ministerio de Educación:</w:t>
            </w:r>
          </w:p>
          <w:p w:rsidR="003E607D" w:rsidRDefault="003E607D" w:rsidP="00EC1A4D">
            <w:pPr>
              <w:jc w:val="both"/>
            </w:pPr>
          </w:p>
          <w:p w:rsidR="00B3526A" w:rsidRDefault="00B3526A" w:rsidP="00B3526A">
            <w:pPr>
              <w:jc w:val="both"/>
            </w:pPr>
            <w:r>
              <w:t>1) Agrégase, en el artículo 36, el siguiente inciso segundo:</w:t>
            </w:r>
          </w:p>
          <w:p w:rsidR="007078A7" w:rsidRDefault="007078A7" w:rsidP="00B3526A">
            <w:pPr>
              <w:jc w:val="both"/>
            </w:pPr>
          </w:p>
          <w:p w:rsidR="003E607D" w:rsidRPr="00B3526A" w:rsidRDefault="00B3526A" w:rsidP="00B3526A">
            <w:pPr>
              <w:jc w:val="both"/>
              <w:rPr>
                <w:b/>
              </w:rPr>
            </w:pPr>
            <w:r w:rsidRPr="00B3526A">
              <w:rPr>
                <w:b/>
              </w:rPr>
              <w:t>“Toda extensión horaria de estos profesionales de la educación, en virtud de la Jornada Escolar Completa, deberá incorporarse en sus contratos vigentes en calidad de titulares y siempre que dichas extensiones se hayan prolongado por tres años continuos o cuatro años discontinuos, y no correspondan a labores docentes transitorias, experimentales, optativas, especiales o de reemplazo.”.</w:t>
            </w:r>
          </w:p>
        </w:tc>
        <w:tc>
          <w:tcPr>
            <w:tcW w:w="5102" w:type="dxa"/>
          </w:tcPr>
          <w:p w:rsidR="00A14D21" w:rsidRDefault="00A14D21" w:rsidP="00A14D21">
            <w:pPr>
              <w:jc w:val="both"/>
            </w:pPr>
            <w:r>
              <w:t xml:space="preserve">1) De la diputada Girardi y de los diputados González y Jiménez para reemplazar el inciso segundo del artículo 36 propuesto por la Comisión por el siguiente: </w:t>
            </w:r>
          </w:p>
          <w:p w:rsidR="00A14D21" w:rsidRDefault="00A14D21" w:rsidP="00A14D21">
            <w:pPr>
              <w:jc w:val="both"/>
            </w:pPr>
          </w:p>
          <w:p w:rsidR="00B3526A" w:rsidRDefault="00B3526A" w:rsidP="00A14D21">
            <w:pPr>
              <w:jc w:val="both"/>
            </w:pPr>
          </w:p>
          <w:p w:rsidR="007078A7" w:rsidRDefault="007078A7" w:rsidP="00A14D21">
            <w:pPr>
              <w:jc w:val="both"/>
            </w:pPr>
          </w:p>
          <w:p w:rsidR="00B3526A" w:rsidRDefault="00B3526A" w:rsidP="00A14D21">
            <w:pPr>
              <w:jc w:val="both"/>
            </w:pPr>
          </w:p>
          <w:p w:rsidR="003E607D" w:rsidRDefault="00A14D21" w:rsidP="00A14D21">
            <w:pPr>
              <w:jc w:val="both"/>
            </w:pPr>
            <w:r>
              <w:t>“Toda extensión horaria de estos profesionales de la educación deberá incorporarse en sus contratos vigentes en calidad de titulares y siempre que dichas extensiones se hayan prolongado por tres años continuos o cuatro años discontinuos, y no correspondan a labores docentes transitorias, experimentales, optativas, especiales o de reemplazo.”.</w:t>
            </w:r>
          </w:p>
        </w:tc>
      </w:tr>
      <w:tr w:rsidR="003E607D" w:rsidRPr="00AF176D" w:rsidTr="003E607D">
        <w:tc>
          <w:tcPr>
            <w:tcW w:w="5386" w:type="dxa"/>
          </w:tcPr>
          <w:p w:rsidR="003E607D" w:rsidRDefault="003E607D" w:rsidP="00E90923">
            <w:pPr>
              <w:jc w:val="both"/>
              <w:rPr>
                <w:b/>
                <w:lang w:val="es-ES"/>
              </w:rPr>
            </w:pPr>
            <w:r w:rsidRPr="00E90923">
              <w:rPr>
                <w:b/>
                <w:lang w:val="es-ES"/>
              </w:rPr>
              <w:t xml:space="preserve">Artículo 41: </w:t>
            </w:r>
            <w:r w:rsidRPr="00E90923">
              <w:rPr>
                <w:lang w:val="es-ES"/>
              </w:rPr>
              <w:t>Para todos los efectos legales, el feriado de los profesionales de la educación que se desempeñen en establecimientos educacionales será el período de interrupción de las actividades escolares en los meses de enero a febrero o el que medie entre el término del año escolar y el comienzo del siguiente, según corresponda</w:t>
            </w:r>
            <w:r w:rsidR="00B3526A">
              <w:rPr>
                <w:lang w:val="es-ES"/>
              </w:rPr>
              <w:t xml:space="preserve"> ____________</w:t>
            </w:r>
            <w:r w:rsidRPr="00E90923">
              <w:rPr>
                <w:lang w:val="es-ES"/>
              </w:rPr>
              <w:t xml:space="preserve">. Durante dicha interrupción </w:t>
            </w:r>
            <w:r w:rsidRPr="00E90923">
              <w:rPr>
                <w:b/>
                <w:lang w:val="es-ES"/>
              </w:rPr>
              <w:t>podrán ser convocados para cumplir actividades de perfeccionamiento u otras que no tengan el carácter de docencia de aula, hasta por un período de tres semanas consecutivas.</w:t>
            </w:r>
          </w:p>
        </w:tc>
        <w:tc>
          <w:tcPr>
            <w:tcW w:w="5386" w:type="dxa"/>
          </w:tcPr>
          <w:p w:rsidR="003E607D" w:rsidRPr="0054662A" w:rsidRDefault="00741F82" w:rsidP="00741F82">
            <w:pPr>
              <w:jc w:val="both"/>
              <w:rPr>
                <w:lang w:val="es"/>
              </w:rPr>
            </w:pPr>
            <w:r w:rsidRPr="00741F82">
              <w:rPr>
                <w:lang w:val="es"/>
              </w:rPr>
              <w:t xml:space="preserve">2) Sustitúyese en el artículo 41, después de la palabra “interrupción,” la segunda vez que aparece, la oración “podrán ser convocados para cumplir actividades de perfeccionamiento u otras que no tengan el carácter de docencia de aula, hasta por un período de tres semanas consecutivas.”, por la siguiente: “solo podrán ser convocados para cumplir actividades inscritas en el Registro Público de Acciones Formativas Certificadas del Centro de Perfeccionamiento e Investigación Pedagógica (CPEIP), durante las tres primeras semanas de enero. Dicha convocatoria deberá realizarse, a más tardar el día </w:t>
            </w:r>
            <w:r w:rsidRPr="00741F82">
              <w:rPr>
                <w:b/>
                <w:lang w:val="es"/>
              </w:rPr>
              <w:t>30 de noviembre</w:t>
            </w:r>
            <w:r w:rsidRPr="00741F82">
              <w:rPr>
                <w:lang w:val="es"/>
              </w:rPr>
              <w:t xml:space="preserve"> del año escolar docente respectivo.”.</w:t>
            </w:r>
          </w:p>
        </w:tc>
        <w:tc>
          <w:tcPr>
            <w:tcW w:w="5102" w:type="dxa"/>
          </w:tcPr>
          <w:p w:rsidR="007078A7" w:rsidRDefault="007078A7" w:rsidP="00A14D21">
            <w:pPr>
              <w:jc w:val="both"/>
              <w:rPr>
                <w:lang w:val="es"/>
              </w:rPr>
            </w:pPr>
          </w:p>
          <w:p w:rsidR="003E607D" w:rsidRDefault="00A14D21" w:rsidP="00A14D21">
            <w:pPr>
              <w:jc w:val="both"/>
              <w:rPr>
                <w:lang w:val="es"/>
              </w:rPr>
            </w:pPr>
            <w:r w:rsidRPr="00A14D21">
              <w:rPr>
                <w:lang w:val="es"/>
              </w:rPr>
              <w:t>2</w:t>
            </w:r>
            <w:r w:rsidR="00B3526A">
              <w:rPr>
                <w:lang w:val="es"/>
              </w:rPr>
              <w:t xml:space="preserve">) </w:t>
            </w:r>
            <w:r w:rsidRPr="00A14D21">
              <w:rPr>
                <w:lang w:val="es"/>
              </w:rPr>
              <w:t xml:space="preserve">De la diputada Girardi y de los diputados </w:t>
            </w:r>
            <w:r w:rsidR="00B3526A">
              <w:t xml:space="preserve">González y Jiménez para </w:t>
            </w:r>
            <w:r w:rsidRPr="00A14D21">
              <w:rPr>
                <w:lang w:val="es"/>
              </w:rPr>
              <w:t>agregar en el artículo 41, a continuación de la palabra “corresponda”, la frase “así como durante la interrupción de las actividades académicas en la época invernal de cada año”.</w:t>
            </w:r>
          </w:p>
          <w:p w:rsidR="007078A7" w:rsidRDefault="007078A7" w:rsidP="00A14D21">
            <w:pPr>
              <w:jc w:val="both"/>
              <w:rPr>
                <w:lang w:val="es"/>
              </w:rPr>
            </w:pPr>
          </w:p>
          <w:p w:rsidR="007078A7" w:rsidRDefault="007078A7" w:rsidP="00A14D21">
            <w:pPr>
              <w:jc w:val="both"/>
              <w:rPr>
                <w:lang w:val="es"/>
              </w:rPr>
            </w:pPr>
          </w:p>
          <w:p w:rsidR="007078A7" w:rsidRDefault="007078A7" w:rsidP="00A14D21">
            <w:pPr>
              <w:jc w:val="both"/>
              <w:rPr>
                <w:lang w:val="es"/>
              </w:rPr>
            </w:pPr>
          </w:p>
          <w:p w:rsidR="00A14D21" w:rsidRPr="00EC1A4D" w:rsidRDefault="00B3526A" w:rsidP="00B3526A">
            <w:pPr>
              <w:jc w:val="both"/>
              <w:rPr>
                <w:lang w:val="es"/>
              </w:rPr>
            </w:pPr>
            <w:r>
              <w:rPr>
                <w:lang w:val="es"/>
              </w:rPr>
              <w:t xml:space="preserve">3) </w:t>
            </w:r>
            <w:r w:rsidR="00A14D21" w:rsidRPr="00A14D21">
              <w:rPr>
                <w:lang w:val="es"/>
              </w:rPr>
              <w:t xml:space="preserve">De los diputados José Miguel Castro y Andrés Celis </w:t>
            </w:r>
            <w:r>
              <w:rPr>
                <w:lang w:val="es"/>
              </w:rPr>
              <w:t>p</w:t>
            </w:r>
            <w:r w:rsidR="00A14D21" w:rsidRPr="00A14D21">
              <w:rPr>
                <w:lang w:val="es"/>
              </w:rPr>
              <w:t>ara reemplazar en el artículo 41 la frase “el día 30 de noviembre” por “el 15 de diciembre”.</w:t>
            </w:r>
          </w:p>
        </w:tc>
      </w:tr>
      <w:tr w:rsidR="003E607D" w:rsidRPr="00AF176D" w:rsidTr="003E607D">
        <w:tc>
          <w:tcPr>
            <w:tcW w:w="5386" w:type="dxa"/>
          </w:tcPr>
          <w:p w:rsidR="003E607D" w:rsidRDefault="003E607D" w:rsidP="00E90923">
            <w:pPr>
              <w:jc w:val="both"/>
              <w:rPr>
                <w:b/>
                <w:lang w:val="es-ES"/>
              </w:rPr>
            </w:pPr>
            <w:r w:rsidRPr="00E90923">
              <w:rPr>
                <w:b/>
                <w:lang w:val="es-ES"/>
              </w:rPr>
              <w:lastRenderedPageBreak/>
              <w:t>Artículo 41 bis</w:t>
            </w:r>
            <w:r w:rsidRPr="00E90923">
              <w:rPr>
                <w:lang w:val="es-ES"/>
              </w:rPr>
              <w:t xml:space="preserve">.- Los profesionales de la educación con contrato vigente </w:t>
            </w:r>
            <w:r w:rsidRPr="00E90923">
              <w:rPr>
                <w:b/>
                <w:lang w:val="es-ES"/>
              </w:rPr>
              <w:t>al mes de diciembre</w:t>
            </w:r>
            <w:r w:rsidRPr="00E90923">
              <w:rPr>
                <w:lang w:val="es-ES"/>
              </w:rPr>
              <w:t>, tendrán derecho a que éste se prorrogue por los meses de enero y febrero o por el período que medie entre dicho mes y el día anterior al inicio del año escolar siguiente, siempre que el profesional de la educación tenga más de seis meses continuos de servicios para el mismo municipio o corporación educacional municipal.</w:t>
            </w:r>
          </w:p>
        </w:tc>
        <w:tc>
          <w:tcPr>
            <w:tcW w:w="5386" w:type="dxa"/>
          </w:tcPr>
          <w:p w:rsidR="003E607D" w:rsidRPr="0054662A" w:rsidRDefault="00741F82" w:rsidP="00AF3214">
            <w:pPr>
              <w:jc w:val="both"/>
              <w:rPr>
                <w:lang w:val="es"/>
              </w:rPr>
            </w:pPr>
            <w:r w:rsidRPr="00741F82">
              <w:rPr>
                <w:lang w:val="es"/>
              </w:rPr>
              <w:t>3) Sustitúyese en el artículo 41 bis, después de la palabra “vigente”, la frase “al mes de diciembre” por la frase: “al 1 de diciembre”.</w:t>
            </w:r>
          </w:p>
        </w:tc>
        <w:tc>
          <w:tcPr>
            <w:tcW w:w="5102" w:type="dxa"/>
          </w:tcPr>
          <w:p w:rsidR="003E607D" w:rsidRPr="00EC1A4D" w:rsidRDefault="003E607D" w:rsidP="00AF3214">
            <w:pPr>
              <w:jc w:val="both"/>
              <w:rPr>
                <w:lang w:val="es"/>
              </w:rPr>
            </w:pPr>
          </w:p>
        </w:tc>
      </w:tr>
      <w:tr w:rsidR="003E607D" w:rsidRPr="00AF176D" w:rsidTr="003E607D">
        <w:tc>
          <w:tcPr>
            <w:tcW w:w="5386" w:type="dxa"/>
          </w:tcPr>
          <w:p w:rsidR="00A14D21" w:rsidRPr="00A14D21" w:rsidRDefault="00A14D21" w:rsidP="00A14D21">
            <w:pPr>
              <w:jc w:val="both"/>
              <w:rPr>
                <w:lang w:val="es-ES"/>
              </w:rPr>
            </w:pPr>
            <w:r w:rsidRPr="00A14D21">
              <w:rPr>
                <w:b/>
                <w:lang w:val="es-ES"/>
              </w:rPr>
              <w:t>Artículo 70.-</w:t>
            </w:r>
            <w:r w:rsidRPr="00A14D21">
              <w:rPr>
                <w:lang w:val="es-ES"/>
              </w:rPr>
              <w:t xml:space="preserve"> Establécese un sistema de evaluación de los profesionales de la educación que se desempeñen en funciones de docencia de aula, de carácter formativo. </w:t>
            </w:r>
          </w:p>
          <w:p w:rsidR="00A14D21" w:rsidRPr="00A14D21" w:rsidRDefault="00A14D21" w:rsidP="00A14D21">
            <w:pPr>
              <w:jc w:val="both"/>
              <w:rPr>
                <w:lang w:val="es-ES"/>
              </w:rPr>
            </w:pPr>
            <w:r>
              <w:rPr>
                <w:lang w:val="es-ES"/>
              </w:rPr>
              <w:t xml:space="preserve">   </w:t>
            </w:r>
            <w:r w:rsidRPr="00A14D21">
              <w:rPr>
                <w:lang w:val="es-ES"/>
              </w:rPr>
              <w:t xml:space="preserve">Corresponderá al Ministerio de Educación, a través del Centro de Perfeccionamiento, Experimentación e Investigaciones Pedagógicas (CPEIP), la coordinación técnica para la adecuada aplicación de los procesos de evaluación. </w:t>
            </w:r>
          </w:p>
          <w:p w:rsidR="00A14D21" w:rsidRPr="00A14D21" w:rsidRDefault="00A14D21" w:rsidP="00A14D21">
            <w:pPr>
              <w:jc w:val="both"/>
              <w:rPr>
                <w:lang w:val="es-ES"/>
              </w:rPr>
            </w:pPr>
            <w:r>
              <w:rPr>
                <w:lang w:val="es-ES"/>
              </w:rPr>
              <w:t xml:space="preserve">   </w:t>
            </w:r>
            <w:r w:rsidRPr="00A14D21">
              <w:rPr>
                <w:lang w:val="es-ES"/>
              </w:rPr>
              <w:t xml:space="preserve">La evaluación del desempeño profesional se realizará tomando en consideración los dominios, criterios e instrumentos establecidos por el Ministerio de Educación, a través del Centro de Perfeccionamiento, Experimentación e Investigaciones Pedagógicas (CPEIP). Además, existirán Comisiones Comunales de Evaluación Docente con la responsabilidad de aplicar localmente el sistema de evaluación. </w:t>
            </w:r>
          </w:p>
          <w:p w:rsidR="00A14D21" w:rsidRPr="00A14D21" w:rsidRDefault="00A14D21" w:rsidP="00A14D21">
            <w:pPr>
              <w:jc w:val="both"/>
              <w:rPr>
                <w:lang w:val="es-ES"/>
              </w:rPr>
            </w:pPr>
            <w:r>
              <w:rPr>
                <w:lang w:val="es-ES"/>
              </w:rPr>
              <w:t xml:space="preserve">   </w:t>
            </w:r>
            <w:r w:rsidRPr="00A14D21">
              <w:rPr>
                <w:lang w:val="es-ES"/>
              </w:rPr>
              <w:t xml:space="preserve">La evaluación estará a cargo de evaluadores pares, es decir, profesores de aula que se desempeñen en el mismo nivel escolar, sector del currículo y modalidad del docente evaluado, aunque en distintos establecimientos educacionales que los docentes evaluados. </w:t>
            </w:r>
            <w:r w:rsidRPr="00A14D21">
              <w:rPr>
                <w:lang w:val="es-ES"/>
              </w:rPr>
              <w:lastRenderedPageBreak/>
              <w:t xml:space="preserve">Excepcionalmente, cuando no existan docentes del mismo sector del currículo para desempeñarse como evaluadores pares, podrá ejercer tal función un docente que reúna los otros requisitos anteriores. El reglamento determinará la forma de selección y nombramiento, los requisitos, inhabilidades, incompatibilidades y obligaciones a que estarán sujetos los evaluadores pares en el ejercicio de esa función. </w:t>
            </w:r>
          </w:p>
          <w:p w:rsidR="00A14D21" w:rsidRPr="00A14D21" w:rsidRDefault="00A14D21" w:rsidP="00A14D21">
            <w:pPr>
              <w:jc w:val="both"/>
              <w:rPr>
                <w:lang w:val="es-ES"/>
              </w:rPr>
            </w:pPr>
            <w:r>
              <w:rPr>
                <w:lang w:val="es-ES"/>
              </w:rPr>
              <w:t xml:space="preserve">   </w:t>
            </w:r>
            <w:r w:rsidRPr="00A14D21">
              <w:rPr>
                <w:lang w:val="es-ES"/>
              </w:rPr>
              <w:t xml:space="preserve">La evaluación de cada docente se realizará cada cuatro años y su resultado final corresponderá a uno de los siguientes niveles de desempeño: destacado, competente, básico o insatisfactorio. </w:t>
            </w:r>
          </w:p>
          <w:p w:rsidR="00A14D21" w:rsidRPr="00A14D21" w:rsidRDefault="00A14D21" w:rsidP="00A14D21">
            <w:pPr>
              <w:jc w:val="both"/>
              <w:rPr>
                <w:lang w:val="es-ES"/>
              </w:rPr>
            </w:pPr>
            <w:r>
              <w:rPr>
                <w:lang w:val="es-ES"/>
              </w:rPr>
              <w:t xml:space="preserve">   </w:t>
            </w:r>
            <w:r w:rsidRPr="00A14D21">
              <w:rPr>
                <w:lang w:val="es-ES"/>
              </w:rPr>
              <w:t xml:space="preserve">Los resultados finales de la evaluación de cada profesional de la educación se considerarán como antecedente para los concursos públicos estipulados en este Título. Del mismo modo, se considerarán para optar a cupos o becas en actividades de perfeccionamiento o estudios de post- grado, para financiar proyectos individuales de innovación y, en general, en todas las decisiones que se tomen para seleccionar profesionales. </w:t>
            </w:r>
          </w:p>
          <w:p w:rsidR="00A14D21" w:rsidRPr="00A14D21" w:rsidRDefault="00A14D21" w:rsidP="00A14D21">
            <w:pPr>
              <w:jc w:val="both"/>
              <w:rPr>
                <w:lang w:val="es-ES"/>
              </w:rPr>
            </w:pPr>
            <w:r>
              <w:rPr>
                <w:lang w:val="es-ES"/>
              </w:rPr>
              <w:t xml:space="preserve">   </w:t>
            </w:r>
            <w:r w:rsidRPr="00A14D21">
              <w:rPr>
                <w:lang w:val="es-ES"/>
              </w:rPr>
              <w:t xml:space="preserve">Cada vez que un profesional de la educación resulte evaluado con desempeño insatisfactorio, deberá ser sometido al año siguiente a una nueva evaluación, pudiendo el sostenedor exigirle que deje la responsabilidad de curso para trabajar durante el año en su plan de superación profesional, debiendo el empleador asumir el gasto que representa el reemplazo del docente en aula. Si el desempeño en el nivel insatisfactorio se mantuviera en la segunda evaluación consecutiva, el </w:t>
            </w:r>
            <w:r w:rsidRPr="00A14D21">
              <w:rPr>
                <w:lang w:val="es-ES"/>
              </w:rPr>
              <w:lastRenderedPageBreak/>
              <w:t xml:space="preserve">profesional de la educación dejará de pertenecer a la dotación docente. Los profesionales de la educación que resulten evaluados con desempeño básico deberán evaluarse al año subsiguiente, pudiendo el sostenedor exigirle que deje la responsabilidad de curso para trabajar durante el año en su plan de superación profesional, debiendo el empleador asumir el gasto que representa el reemplazo del docente en aula. En caso de que resulten calificados con desempeño básico en tres evaluaciones consecutivas o en forma alternada con desempeño básico o insatisfactorio durante tres evaluaciones consecutivas, dejará de pertenecer a la dotación docente. </w:t>
            </w:r>
          </w:p>
          <w:p w:rsidR="00A14D21" w:rsidRPr="00A14D21" w:rsidRDefault="00A14D21" w:rsidP="00A14D21">
            <w:pPr>
              <w:jc w:val="both"/>
              <w:rPr>
                <w:lang w:val="es-ES"/>
              </w:rPr>
            </w:pPr>
            <w:r>
              <w:rPr>
                <w:lang w:val="es-ES"/>
              </w:rPr>
              <w:t xml:space="preserve">   </w:t>
            </w:r>
            <w:r w:rsidRPr="00A14D21">
              <w:rPr>
                <w:lang w:val="es-ES"/>
              </w:rPr>
              <w:t xml:space="preserve">Para los efectos de lo dispuesto en el inciso segundo letra a) del artículo 7° bis de esta ley, se entenderá por mal evaluado a quienes resulten evaluados con desempeño insatisfactorio o básico. </w:t>
            </w:r>
          </w:p>
          <w:p w:rsidR="00A14D21" w:rsidRPr="00A14D21" w:rsidRDefault="00A14D21" w:rsidP="00A14D21">
            <w:pPr>
              <w:jc w:val="both"/>
              <w:rPr>
                <w:lang w:val="es-ES"/>
              </w:rPr>
            </w:pPr>
            <w:r>
              <w:rPr>
                <w:lang w:val="es-ES"/>
              </w:rPr>
              <w:t xml:space="preserve">   </w:t>
            </w:r>
            <w:r w:rsidRPr="00A14D21">
              <w:rPr>
                <w:lang w:val="es-ES"/>
              </w:rPr>
              <w:t xml:space="preserve">Un reglamento, que deberá dictarse en el plazo de 120 días contados desde la fecha de publicación de esta ley en el Diario Oficial, establecerá la composición y funciones de las Comisiones Comunales de Evaluación Docente, las que estarán integradas, a lo menos, por el Jefe del Departamento de Administración Municipal de Educación o el Director de la Corporación Municipal respectivo y los evaluadores pares de la comuna correspondiente; fijará los procedimientos, la periodicidad, los plazos y los demás aspectos técnicos del sistema de evaluación docente y los planes de superación profesional a los que deberán someterse los profesionales de la educación con resultados básicos e insatisfactorios; y las normas </w:t>
            </w:r>
            <w:r w:rsidRPr="00A14D21">
              <w:rPr>
                <w:lang w:val="es-ES"/>
              </w:rPr>
              <w:lastRenderedPageBreak/>
              <w:t xml:space="preserve">objetivas que permitan a los profesionales de la educación, a los municipios respectivos y a los equipos de gestión de los establecimientos educacionales tomar conocimiento pormenorizado de la evaluación. </w:t>
            </w:r>
          </w:p>
          <w:p w:rsidR="00A14D21" w:rsidRPr="00A14D21" w:rsidRDefault="00A14D21" w:rsidP="00A14D21">
            <w:pPr>
              <w:jc w:val="both"/>
              <w:rPr>
                <w:lang w:val="es-ES"/>
              </w:rPr>
            </w:pPr>
            <w:r>
              <w:rPr>
                <w:lang w:val="es-ES"/>
              </w:rPr>
              <w:t xml:space="preserve">   </w:t>
            </w:r>
            <w:r w:rsidRPr="00A14D21">
              <w:rPr>
                <w:lang w:val="es-ES"/>
              </w:rPr>
              <w:t>Asimismo el reglamento establecerá los procedimientos para interponer los recursos contemplados en la ley, que les permitan a los profesionales de la educación ejercer su derecho a recurrir respecto de los resultados de su evaluación.</w:t>
            </w:r>
          </w:p>
          <w:p w:rsidR="00A14D21" w:rsidRPr="00A14D21" w:rsidRDefault="00A14D21" w:rsidP="00A14D21">
            <w:pPr>
              <w:jc w:val="both"/>
              <w:rPr>
                <w:b/>
                <w:lang w:val="es-ES"/>
              </w:rPr>
            </w:pPr>
            <w:r w:rsidRPr="00A14D21">
              <w:rPr>
                <w:b/>
                <w:lang w:val="es-ES"/>
              </w:rPr>
              <w:t xml:space="preserve">   Podrán eximirse del proceso de evaluación docente establecido en los incisos anteriores, los profesionales de la educación a quienes les falten tres años o menos para cumplir la edad legal para jubilar, siempre que presenten la renuncia anticipada e irrevocable a su cargo, la que se hará efectiva al cumplirse la edad legal de jubilación por el sólo ministerio de la ley. En todo caso, estos profesionales tendrán derecho a la indemnización establecida en el artículo 73 y quedarán sujetos a lo prescrito en el artículo 74. </w:t>
            </w:r>
          </w:p>
          <w:p w:rsidR="003E607D" w:rsidRPr="00A14D21" w:rsidRDefault="00A14D21" w:rsidP="00A14D21">
            <w:pPr>
              <w:jc w:val="both"/>
              <w:rPr>
                <w:lang w:val="es-ES"/>
              </w:rPr>
            </w:pPr>
            <w:r>
              <w:rPr>
                <w:lang w:val="es-ES"/>
              </w:rPr>
              <w:t xml:space="preserve">   </w:t>
            </w:r>
            <w:r w:rsidRPr="00A14D21">
              <w:rPr>
                <w:lang w:val="es-ES"/>
              </w:rPr>
              <w:t>Aquellos profesionales de la educación que se encuentren reconocidos en los tramos experto I o II, en el Sistema de Desarrollo Profesional Docente, estarán exceptuados de la evaluación de desempeño docente a que se refiere este artículo.</w:t>
            </w:r>
          </w:p>
        </w:tc>
        <w:tc>
          <w:tcPr>
            <w:tcW w:w="5386" w:type="dxa"/>
          </w:tcPr>
          <w:p w:rsidR="00741F82" w:rsidRPr="00741F82" w:rsidRDefault="00741F82" w:rsidP="00741F82">
            <w:pPr>
              <w:jc w:val="both"/>
              <w:rPr>
                <w:lang w:val="es"/>
              </w:rPr>
            </w:pPr>
            <w:r w:rsidRPr="00741F82">
              <w:rPr>
                <w:lang w:val="es"/>
              </w:rPr>
              <w:lastRenderedPageBreak/>
              <w:t>4) Reemplázase el inciso undécimo del artículo 70, por el siguiente:</w:t>
            </w: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41F82" w:rsidRDefault="00741F82" w:rsidP="00741F82">
            <w:pPr>
              <w:jc w:val="both"/>
              <w:rPr>
                <w:lang w:val="es"/>
              </w:rPr>
            </w:pPr>
          </w:p>
          <w:p w:rsidR="007078A7" w:rsidRDefault="007078A7" w:rsidP="00741F82">
            <w:pPr>
              <w:jc w:val="both"/>
              <w:rPr>
                <w:lang w:val="es"/>
              </w:rPr>
            </w:pPr>
          </w:p>
          <w:p w:rsidR="00741F82" w:rsidRDefault="00741F82" w:rsidP="00741F82">
            <w:pPr>
              <w:jc w:val="both"/>
              <w:rPr>
                <w:lang w:val="es"/>
              </w:rPr>
            </w:pPr>
          </w:p>
          <w:p w:rsidR="00741F82" w:rsidRPr="00741F82" w:rsidRDefault="00741F82" w:rsidP="00741F82">
            <w:pPr>
              <w:jc w:val="both"/>
              <w:rPr>
                <w:lang w:val="es"/>
              </w:rPr>
            </w:pPr>
          </w:p>
          <w:p w:rsidR="00741F82" w:rsidRPr="00741F82" w:rsidRDefault="00741F82" w:rsidP="00741F82">
            <w:pPr>
              <w:jc w:val="both"/>
              <w:rPr>
                <w:lang w:val="es"/>
              </w:rPr>
            </w:pPr>
          </w:p>
          <w:p w:rsidR="003E607D" w:rsidRPr="0054662A" w:rsidRDefault="00741F82" w:rsidP="00741F82">
            <w:pPr>
              <w:jc w:val="both"/>
              <w:rPr>
                <w:lang w:val="es"/>
              </w:rPr>
            </w:pPr>
            <w:r w:rsidRPr="00741F82">
              <w:rPr>
                <w:lang w:val="es"/>
              </w:rPr>
              <w:t>“Podrán eximirse del proceso de evaluación docente establecido en los incisos anteriores, los profesionales de la educación a quienes les falten tres años o menos para cumplir la edad legal para jubilar. Con todo, estos profesionales quedarán sujetos a lo prescrito en los artículos 73, 73 bis y 74 de esta misma ley o de la ley de Incentivo al Retiro vigente. Cumplida la edad legal para jubilar, si el profesional docente continuase en funciones, no podrá eximirse del proceso de evaluación docente.”.</w:t>
            </w:r>
          </w:p>
        </w:tc>
        <w:tc>
          <w:tcPr>
            <w:tcW w:w="5102" w:type="dxa"/>
          </w:tcPr>
          <w:p w:rsidR="003E607D" w:rsidRPr="00EC1A4D" w:rsidRDefault="003E607D" w:rsidP="00E90923">
            <w:pPr>
              <w:jc w:val="both"/>
              <w:rPr>
                <w:lang w:val="es"/>
              </w:rPr>
            </w:pPr>
          </w:p>
        </w:tc>
      </w:tr>
      <w:tr w:rsidR="003E607D" w:rsidRPr="00AF176D" w:rsidTr="003E607D">
        <w:tc>
          <w:tcPr>
            <w:tcW w:w="5386" w:type="dxa"/>
          </w:tcPr>
          <w:p w:rsidR="003E607D" w:rsidRPr="00E90923" w:rsidRDefault="003E607D" w:rsidP="00E90923">
            <w:pPr>
              <w:jc w:val="both"/>
              <w:rPr>
                <w:lang w:val="es-ES"/>
              </w:rPr>
            </w:pPr>
            <w:r w:rsidRPr="00E90923">
              <w:rPr>
                <w:b/>
                <w:lang w:val="es-ES"/>
              </w:rPr>
              <w:lastRenderedPageBreak/>
              <w:t xml:space="preserve">Artículo 72: </w:t>
            </w:r>
            <w:r w:rsidRPr="00E90923">
              <w:rPr>
                <w:lang w:val="es-ES"/>
              </w:rPr>
              <w:t>Los profesionales de la educación que forman parte de una dotación docente del sector municipal, dejarán de pertenecer a ella, solamente, por las siguientes causales:</w:t>
            </w:r>
          </w:p>
          <w:p w:rsidR="003E607D" w:rsidRPr="00E90923" w:rsidRDefault="003E607D" w:rsidP="00E90923">
            <w:pPr>
              <w:jc w:val="both"/>
              <w:rPr>
                <w:lang w:val="es-ES"/>
              </w:rPr>
            </w:pPr>
            <w:r w:rsidRPr="00E90923">
              <w:rPr>
                <w:lang w:val="es-ES"/>
              </w:rPr>
              <w:t>a) Por renuncia voluntaria;</w:t>
            </w:r>
          </w:p>
          <w:p w:rsidR="003E607D" w:rsidRPr="00E90923" w:rsidRDefault="003E607D" w:rsidP="00E90923">
            <w:pPr>
              <w:jc w:val="both"/>
              <w:rPr>
                <w:lang w:val="es-ES"/>
              </w:rPr>
            </w:pPr>
            <w:r w:rsidRPr="00E90923">
              <w:rPr>
                <w:lang w:val="es-ES"/>
              </w:rPr>
              <w:lastRenderedPageBreak/>
              <w:t>b) Por falta de probidad, conducta inmoral, establecidas fehacientemente en un sumario, de acuerdo al procedimiento establecido en los artículos 127 al 143 de la ley N° 18.883, en lo que fuere pertinente, considerándose las adecuaciones reglamentarias que correspondan.</w:t>
            </w:r>
          </w:p>
          <w:p w:rsidR="003E607D" w:rsidRPr="00E90923" w:rsidRDefault="003E607D" w:rsidP="00E90923">
            <w:pPr>
              <w:jc w:val="both"/>
              <w:rPr>
                <w:lang w:val="es-ES"/>
              </w:rPr>
            </w:pPr>
            <w:r w:rsidRPr="00E90923">
              <w:rPr>
                <w:lang w:val="es-ES"/>
              </w:rPr>
              <w:t>En el caso que se trate de una investigación o sumario administrativo que afecte a un profesional de la educación, la designación del fiscal recaerá en un profesional de la respectiva Municipalidad o Departamento de Educación Municipal o de la Corporación Municipal, designado por el sostenedor.</w:t>
            </w:r>
          </w:p>
          <w:p w:rsidR="003E607D" w:rsidRPr="00E90923" w:rsidRDefault="003E607D" w:rsidP="00E90923">
            <w:pPr>
              <w:jc w:val="both"/>
              <w:rPr>
                <w:lang w:val="es-ES"/>
              </w:rPr>
            </w:pPr>
            <w:r w:rsidRPr="00E90923">
              <w:rPr>
                <w:lang w:val="es-ES"/>
              </w:rPr>
              <w:t xml:space="preserve">c) Por incumplimiento grave de las obligaciones que impone su función, tales como la no concurrencia del docente a sus labores en forma reiterada, impuntualidades reiteradas del docente, incumplimiento de sus obligaciones docentes conforme a los planes y programas de estudio que debe impartir, abandono injustificado del aula de clases o delegación de su trabajo profesional en otras personas. </w:t>
            </w:r>
          </w:p>
          <w:p w:rsidR="003E607D" w:rsidRPr="00E90923" w:rsidRDefault="003E607D" w:rsidP="00E90923">
            <w:pPr>
              <w:jc w:val="both"/>
              <w:rPr>
                <w:lang w:val="es-ES"/>
              </w:rPr>
            </w:pPr>
            <w:r w:rsidRPr="00E90923">
              <w:rPr>
                <w:lang w:val="es-ES"/>
              </w:rPr>
              <w:t>Se entenderá por no concurrencia en forma reiterada la inasistencia del trabajador a sus labores sin causa justificada durante dos días seguidos, dos lunes en el mes o un total de tres días durante igual período de tiempo.</w:t>
            </w:r>
          </w:p>
          <w:p w:rsidR="003E607D" w:rsidRPr="00E90923" w:rsidRDefault="003E607D" w:rsidP="00E90923">
            <w:pPr>
              <w:jc w:val="both"/>
              <w:rPr>
                <w:lang w:val="es-ES"/>
              </w:rPr>
            </w:pPr>
            <w:r w:rsidRPr="00E90923">
              <w:rPr>
                <w:lang w:val="es-ES"/>
              </w:rPr>
              <w:t>d) Por término del período por el cual se efectuó el contrato;</w:t>
            </w:r>
          </w:p>
          <w:p w:rsidR="003E607D" w:rsidRPr="00E90923" w:rsidRDefault="003E607D" w:rsidP="00E90923">
            <w:pPr>
              <w:jc w:val="both"/>
              <w:rPr>
                <w:lang w:val="es-ES"/>
              </w:rPr>
            </w:pPr>
            <w:r w:rsidRPr="00E90923">
              <w:rPr>
                <w:lang w:val="es-ES"/>
              </w:rPr>
              <w:t>e) Por obtención de jubilación, pensión o renta vitalicia de un régimen previsional, en relación a las respectivas funciones docentes;</w:t>
            </w:r>
          </w:p>
          <w:p w:rsidR="003E607D" w:rsidRPr="00E90923" w:rsidRDefault="003E607D" w:rsidP="00E90923">
            <w:pPr>
              <w:jc w:val="both"/>
              <w:rPr>
                <w:lang w:val="es-ES"/>
              </w:rPr>
            </w:pPr>
            <w:r w:rsidRPr="00E90923">
              <w:rPr>
                <w:lang w:val="es-ES"/>
              </w:rPr>
              <w:t>f) Por fallecimiento;</w:t>
            </w:r>
          </w:p>
          <w:p w:rsidR="003E607D" w:rsidRPr="00E90923" w:rsidRDefault="003E607D" w:rsidP="00E90923">
            <w:pPr>
              <w:jc w:val="both"/>
              <w:rPr>
                <w:lang w:val="es-ES"/>
              </w:rPr>
            </w:pPr>
            <w:r w:rsidRPr="00E90923">
              <w:rPr>
                <w:lang w:val="es-ES"/>
              </w:rPr>
              <w:lastRenderedPageBreak/>
              <w:t>g) Por aplicación del inciso séptimo del artículo 70.</w:t>
            </w:r>
          </w:p>
          <w:p w:rsidR="003E607D" w:rsidRPr="00E90923" w:rsidRDefault="003E607D" w:rsidP="00E90923">
            <w:pPr>
              <w:jc w:val="both"/>
              <w:rPr>
                <w:lang w:val="es-ES"/>
              </w:rPr>
            </w:pPr>
            <w:r w:rsidRPr="00E90923">
              <w:rPr>
                <w:lang w:val="es-ES"/>
              </w:rPr>
              <w:t>h) Por salud irrecuperable o incompatible con el desempeño de su función en conformidad a lo dispuesto en los artículos 72 bis y 72 ter.</w:t>
            </w:r>
          </w:p>
          <w:p w:rsidR="003E607D" w:rsidRPr="00E90923" w:rsidRDefault="003E607D" w:rsidP="00E90923">
            <w:pPr>
              <w:jc w:val="both"/>
              <w:rPr>
                <w:lang w:val="es-ES"/>
              </w:rPr>
            </w:pPr>
            <w:r w:rsidRPr="00E90923">
              <w:rPr>
                <w:lang w:val="es-ES"/>
              </w:rPr>
              <w:t>i) Por pérdida sobreviniente de algunos de los requisitos de incorporación a una dotación docente</w:t>
            </w:r>
            <w:r>
              <w:rPr>
                <w:lang w:val="es-ES"/>
              </w:rPr>
              <w:t>.</w:t>
            </w:r>
          </w:p>
          <w:p w:rsidR="003E607D" w:rsidRPr="00E90923" w:rsidRDefault="003E607D" w:rsidP="00E90923">
            <w:pPr>
              <w:jc w:val="both"/>
              <w:rPr>
                <w:lang w:val="es-ES"/>
              </w:rPr>
            </w:pPr>
            <w:r w:rsidRPr="00E90923">
              <w:rPr>
                <w:lang w:val="es-ES"/>
              </w:rPr>
              <w:t>j) Por supresión de las horas que sirvan, en conformidad con lo dispuesto en el artículo 22 de esta ley.</w:t>
            </w:r>
          </w:p>
          <w:p w:rsidR="003E607D" w:rsidRPr="004D5ACA" w:rsidRDefault="003E607D" w:rsidP="00E90923">
            <w:pPr>
              <w:jc w:val="both"/>
              <w:rPr>
                <w:b/>
                <w:strike/>
                <w:lang w:val="es-ES"/>
              </w:rPr>
            </w:pPr>
            <w:r w:rsidRPr="004D5ACA">
              <w:rPr>
                <w:b/>
                <w:strike/>
                <w:lang w:val="es-ES"/>
              </w:rPr>
              <w:t>k) Por acogerse a la renuncia anticipada conforme a lo establecido en el inciso final del artículo 70.</w:t>
            </w:r>
          </w:p>
          <w:p w:rsidR="003E607D" w:rsidRPr="00E90923" w:rsidRDefault="003E607D" w:rsidP="00E90923">
            <w:pPr>
              <w:jc w:val="both"/>
              <w:rPr>
                <w:lang w:val="es-ES"/>
              </w:rPr>
            </w:pPr>
            <w:r w:rsidRPr="00E90923">
              <w:rPr>
                <w:lang w:val="es-ES"/>
              </w:rPr>
              <w:t>l) Por disposición del sostenedor, a proposición del director del establecimiento en el ejercicio de la facultad contemplada en el inciso tercero letra a) del artículo 7° bis de esta ley, tratándose de los docentes mal evaluados en virtud de lo dispuesto en el artículo 70 de esta ley. Para estos efectos, los establecimientos que contaren con menos de 20 docentes podrán poner término anualmente a la relación laboral de un docente.</w:t>
            </w:r>
          </w:p>
          <w:p w:rsidR="003E607D" w:rsidRPr="00E90923" w:rsidRDefault="003E607D" w:rsidP="00E90923">
            <w:pPr>
              <w:jc w:val="both"/>
              <w:rPr>
                <w:lang w:val="es-ES"/>
              </w:rPr>
            </w:pPr>
            <w:r w:rsidRPr="00E90923">
              <w:rPr>
                <w:lang w:val="es-ES"/>
              </w:rPr>
              <w:t>m) Por aplicación de lo dispuesto en el artículo 19 S.</w:t>
            </w:r>
          </w:p>
          <w:p w:rsidR="003E607D" w:rsidRDefault="003E607D" w:rsidP="00371B8A">
            <w:pPr>
              <w:jc w:val="both"/>
              <w:rPr>
                <w:b/>
                <w:lang w:val="es-ES"/>
              </w:rPr>
            </w:pPr>
            <w:r w:rsidRPr="00E90923">
              <w:rPr>
                <w:lang w:val="es-ES"/>
              </w:rPr>
              <w:t>A los profesionales de la educación que terminen una relación laboral por las causales de las letras a), c), d), g) y j), se les considerará su experiencia y su perfeccionamiento en posteriores concursos para incorporarse a otra dotación, o para reincorporarse a la misma. Tratándose de los casos establecidos en las letras b) y c) precedentes, se aplicará lo establecido en el artículo 134 de la ley N° 18.883.</w:t>
            </w:r>
          </w:p>
        </w:tc>
        <w:tc>
          <w:tcPr>
            <w:tcW w:w="5386" w:type="dxa"/>
          </w:tcPr>
          <w:p w:rsidR="003E607D" w:rsidRDefault="003E607D" w:rsidP="004D5ACA">
            <w:pPr>
              <w:jc w:val="both"/>
              <w:rPr>
                <w:lang w:val="es"/>
              </w:rPr>
            </w:pPr>
          </w:p>
          <w:p w:rsidR="003E607D" w:rsidRDefault="003E607D" w:rsidP="004D5ACA">
            <w:pPr>
              <w:jc w:val="both"/>
              <w:rPr>
                <w:lang w:val="es"/>
              </w:rPr>
            </w:pPr>
          </w:p>
          <w:p w:rsidR="003E607D" w:rsidRDefault="003E607D" w:rsidP="004D5ACA">
            <w:pPr>
              <w:jc w:val="both"/>
              <w:rPr>
                <w:lang w:val="es"/>
              </w:rPr>
            </w:pPr>
          </w:p>
          <w:p w:rsidR="003E607D" w:rsidRDefault="003E607D" w:rsidP="004D5ACA">
            <w:pPr>
              <w:jc w:val="both"/>
              <w:rPr>
                <w:lang w:val="es"/>
              </w:rPr>
            </w:pPr>
          </w:p>
          <w:p w:rsidR="003E607D" w:rsidRDefault="003E607D" w:rsidP="004D5ACA">
            <w:pPr>
              <w:jc w:val="both"/>
              <w:rPr>
                <w:lang w:val="es"/>
              </w:rPr>
            </w:pPr>
          </w:p>
          <w:p w:rsidR="003E607D" w:rsidRDefault="003E607D" w:rsidP="004D5ACA">
            <w:pPr>
              <w:jc w:val="both"/>
              <w:rPr>
                <w:lang w:val="es"/>
              </w:rPr>
            </w:pPr>
          </w:p>
          <w:p w:rsidR="003E607D" w:rsidRDefault="003E607D" w:rsidP="004D5ACA">
            <w:pPr>
              <w:jc w:val="both"/>
              <w:rPr>
                <w:lang w:val="es"/>
              </w:rPr>
            </w:pPr>
          </w:p>
          <w:p w:rsidR="003E607D" w:rsidRDefault="003E607D" w:rsidP="004D5ACA">
            <w:pPr>
              <w:jc w:val="both"/>
              <w:rPr>
                <w:lang w:val="es"/>
              </w:rPr>
            </w:pPr>
          </w:p>
          <w:p w:rsidR="003E607D" w:rsidRDefault="003E607D" w:rsidP="004D5ACA">
            <w:pPr>
              <w:jc w:val="both"/>
              <w:rPr>
                <w:lang w:val="es"/>
              </w:rPr>
            </w:pPr>
          </w:p>
          <w:p w:rsidR="003E607D" w:rsidRDefault="003E607D" w:rsidP="004D5ACA">
            <w:pPr>
              <w:jc w:val="both"/>
              <w:rPr>
                <w:lang w:val="es"/>
              </w:rPr>
            </w:pPr>
          </w:p>
          <w:p w:rsidR="003E607D" w:rsidRDefault="003E607D" w:rsidP="004D5ACA">
            <w:pPr>
              <w:jc w:val="both"/>
              <w:rPr>
                <w:lang w:val="es"/>
              </w:rPr>
            </w:pPr>
          </w:p>
          <w:p w:rsidR="003E607D" w:rsidRDefault="003E607D" w:rsidP="004D5ACA">
            <w:pPr>
              <w:jc w:val="both"/>
              <w:rPr>
                <w:lang w:val="es"/>
              </w:rPr>
            </w:pPr>
          </w:p>
          <w:p w:rsidR="003E607D" w:rsidRDefault="003E607D" w:rsidP="004D5ACA">
            <w:pPr>
              <w:jc w:val="both"/>
              <w:rPr>
                <w:lang w:val="es"/>
              </w:rPr>
            </w:pPr>
          </w:p>
          <w:p w:rsidR="003E607D" w:rsidRDefault="003E607D" w:rsidP="004D5ACA">
            <w:pPr>
              <w:jc w:val="both"/>
              <w:rPr>
                <w:lang w:val="es"/>
              </w:rPr>
            </w:pPr>
          </w:p>
          <w:p w:rsidR="003E607D" w:rsidRDefault="003E607D" w:rsidP="004D5ACA">
            <w:pPr>
              <w:jc w:val="both"/>
              <w:rPr>
                <w:lang w:val="es"/>
              </w:rPr>
            </w:pPr>
          </w:p>
          <w:p w:rsidR="003E607D" w:rsidRDefault="003E607D" w:rsidP="004D5ACA">
            <w:pPr>
              <w:jc w:val="both"/>
              <w:rPr>
                <w:lang w:val="es"/>
              </w:rPr>
            </w:pPr>
          </w:p>
          <w:p w:rsidR="003E607D" w:rsidRDefault="003E607D" w:rsidP="004D5ACA">
            <w:pPr>
              <w:jc w:val="both"/>
              <w:rPr>
                <w:lang w:val="es"/>
              </w:rPr>
            </w:pPr>
          </w:p>
          <w:p w:rsidR="003E607D" w:rsidRDefault="003E607D" w:rsidP="004D5ACA">
            <w:pPr>
              <w:jc w:val="both"/>
              <w:rPr>
                <w:lang w:val="es"/>
              </w:rPr>
            </w:pPr>
          </w:p>
          <w:p w:rsidR="003E607D" w:rsidRDefault="003E607D" w:rsidP="004D5ACA">
            <w:pPr>
              <w:jc w:val="both"/>
              <w:rPr>
                <w:lang w:val="es"/>
              </w:rPr>
            </w:pPr>
          </w:p>
          <w:p w:rsidR="003E607D" w:rsidRDefault="003E607D" w:rsidP="004D5ACA">
            <w:pPr>
              <w:jc w:val="both"/>
              <w:rPr>
                <w:lang w:val="es"/>
              </w:rPr>
            </w:pPr>
          </w:p>
          <w:p w:rsidR="003E607D" w:rsidRDefault="003E607D" w:rsidP="004D5ACA">
            <w:pPr>
              <w:jc w:val="both"/>
              <w:rPr>
                <w:lang w:val="es"/>
              </w:rPr>
            </w:pPr>
          </w:p>
          <w:p w:rsidR="003E607D" w:rsidRDefault="003E607D" w:rsidP="004D5ACA">
            <w:pPr>
              <w:jc w:val="both"/>
              <w:rPr>
                <w:lang w:val="es"/>
              </w:rPr>
            </w:pPr>
          </w:p>
          <w:p w:rsidR="003E607D" w:rsidRDefault="003E607D" w:rsidP="004D5ACA">
            <w:pPr>
              <w:jc w:val="both"/>
              <w:rPr>
                <w:lang w:val="es"/>
              </w:rPr>
            </w:pPr>
          </w:p>
          <w:p w:rsidR="003E607D" w:rsidRDefault="003E607D" w:rsidP="004D5ACA">
            <w:pPr>
              <w:jc w:val="both"/>
              <w:rPr>
                <w:lang w:val="es"/>
              </w:rPr>
            </w:pPr>
          </w:p>
          <w:p w:rsidR="003E607D" w:rsidRDefault="003E607D" w:rsidP="004D5ACA">
            <w:pPr>
              <w:jc w:val="both"/>
              <w:rPr>
                <w:lang w:val="es"/>
              </w:rPr>
            </w:pPr>
          </w:p>
          <w:p w:rsidR="003E607D" w:rsidRDefault="003E607D" w:rsidP="004D5ACA">
            <w:pPr>
              <w:jc w:val="both"/>
              <w:rPr>
                <w:lang w:val="es"/>
              </w:rPr>
            </w:pPr>
          </w:p>
          <w:p w:rsidR="003E607D" w:rsidRDefault="003E607D" w:rsidP="004D5ACA">
            <w:pPr>
              <w:jc w:val="both"/>
              <w:rPr>
                <w:lang w:val="es"/>
              </w:rPr>
            </w:pPr>
          </w:p>
          <w:p w:rsidR="003E607D" w:rsidRDefault="003E607D" w:rsidP="004D5ACA">
            <w:pPr>
              <w:jc w:val="both"/>
              <w:rPr>
                <w:lang w:val="es"/>
              </w:rPr>
            </w:pPr>
          </w:p>
          <w:p w:rsidR="003E607D" w:rsidRDefault="003E607D" w:rsidP="004D5ACA">
            <w:pPr>
              <w:jc w:val="both"/>
              <w:rPr>
                <w:lang w:val="es"/>
              </w:rPr>
            </w:pPr>
          </w:p>
          <w:p w:rsidR="003E607D" w:rsidRDefault="003E607D" w:rsidP="004D5ACA">
            <w:pPr>
              <w:jc w:val="both"/>
              <w:rPr>
                <w:lang w:val="es"/>
              </w:rPr>
            </w:pPr>
          </w:p>
          <w:p w:rsidR="003E607D" w:rsidRDefault="003E607D" w:rsidP="004D5ACA">
            <w:pPr>
              <w:jc w:val="both"/>
              <w:rPr>
                <w:lang w:val="es"/>
              </w:rPr>
            </w:pPr>
          </w:p>
          <w:p w:rsidR="00595D13" w:rsidRDefault="00595D13" w:rsidP="004D5ACA">
            <w:pPr>
              <w:jc w:val="both"/>
              <w:rPr>
                <w:lang w:val="es"/>
              </w:rPr>
            </w:pPr>
          </w:p>
          <w:p w:rsidR="00595D13" w:rsidRDefault="00595D13" w:rsidP="004D5ACA">
            <w:pPr>
              <w:jc w:val="both"/>
              <w:rPr>
                <w:lang w:val="es"/>
              </w:rPr>
            </w:pPr>
          </w:p>
          <w:p w:rsidR="00595D13" w:rsidRDefault="00595D13" w:rsidP="004D5ACA">
            <w:pPr>
              <w:jc w:val="both"/>
              <w:rPr>
                <w:lang w:val="es"/>
              </w:rPr>
            </w:pPr>
          </w:p>
          <w:p w:rsidR="00595D13" w:rsidRDefault="00595D13" w:rsidP="004D5ACA">
            <w:pPr>
              <w:jc w:val="both"/>
              <w:rPr>
                <w:lang w:val="es"/>
              </w:rPr>
            </w:pPr>
          </w:p>
          <w:p w:rsidR="00595D13" w:rsidRDefault="00595D13" w:rsidP="004D5ACA">
            <w:pPr>
              <w:jc w:val="both"/>
              <w:rPr>
                <w:lang w:val="es"/>
              </w:rPr>
            </w:pPr>
          </w:p>
          <w:p w:rsidR="00595D13" w:rsidRDefault="00595D13" w:rsidP="004D5ACA">
            <w:pPr>
              <w:jc w:val="both"/>
              <w:rPr>
                <w:lang w:val="es"/>
              </w:rPr>
            </w:pPr>
          </w:p>
          <w:p w:rsidR="00595D13" w:rsidRDefault="00595D13" w:rsidP="004D5ACA">
            <w:pPr>
              <w:jc w:val="both"/>
              <w:rPr>
                <w:lang w:val="es"/>
              </w:rPr>
            </w:pPr>
          </w:p>
          <w:p w:rsidR="00595D13" w:rsidRDefault="00595D13" w:rsidP="004D5ACA">
            <w:pPr>
              <w:jc w:val="both"/>
              <w:rPr>
                <w:lang w:val="es"/>
              </w:rPr>
            </w:pPr>
          </w:p>
          <w:p w:rsidR="008E7A35" w:rsidRDefault="008E7A35" w:rsidP="004D5ACA">
            <w:pPr>
              <w:jc w:val="both"/>
              <w:rPr>
                <w:lang w:val="es"/>
              </w:rPr>
            </w:pPr>
          </w:p>
          <w:p w:rsidR="003E607D" w:rsidRDefault="003E607D" w:rsidP="004D5ACA">
            <w:pPr>
              <w:jc w:val="both"/>
              <w:rPr>
                <w:lang w:val="es"/>
              </w:rPr>
            </w:pPr>
          </w:p>
          <w:p w:rsidR="007078A7" w:rsidRDefault="007078A7" w:rsidP="004D5ACA">
            <w:pPr>
              <w:jc w:val="both"/>
              <w:rPr>
                <w:lang w:val="es"/>
              </w:rPr>
            </w:pPr>
          </w:p>
          <w:p w:rsidR="00741F82" w:rsidRPr="00741F82" w:rsidRDefault="00741F82" w:rsidP="00741F82">
            <w:pPr>
              <w:jc w:val="both"/>
              <w:rPr>
                <w:lang w:val="es"/>
              </w:rPr>
            </w:pPr>
          </w:p>
          <w:p w:rsidR="003E607D" w:rsidRPr="0054662A" w:rsidRDefault="00741F82" w:rsidP="0038445B">
            <w:pPr>
              <w:jc w:val="both"/>
              <w:rPr>
                <w:lang w:val="es"/>
              </w:rPr>
            </w:pPr>
            <w:r w:rsidRPr="00741F82">
              <w:rPr>
                <w:lang w:val="es"/>
              </w:rPr>
              <w:t>5) Derógase la letra k) del artículo 72, que establece que los profesionales de la educación que forman parte de una dotación docente del sector municipal, dejarán de pertenecer a ella por acogerse a la renuncia anticipada conforme a lo establecido en el inciso final del artículo 70.</w:t>
            </w:r>
          </w:p>
        </w:tc>
        <w:tc>
          <w:tcPr>
            <w:tcW w:w="5102" w:type="dxa"/>
          </w:tcPr>
          <w:p w:rsidR="003E607D" w:rsidRDefault="003E607D" w:rsidP="004D5ACA">
            <w:pPr>
              <w:jc w:val="both"/>
              <w:rPr>
                <w:lang w:val="es"/>
              </w:rPr>
            </w:pPr>
          </w:p>
        </w:tc>
      </w:tr>
    </w:tbl>
    <w:p w:rsidR="0035055F" w:rsidRDefault="0035055F" w:rsidP="00480E88">
      <w:pPr>
        <w:spacing w:after="0" w:line="240" w:lineRule="auto"/>
      </w:pPr>
    </w:p>
    <w:sectPr w:rsidR="0035055F" w:rsidSect="00423015">
      <w:headerReference w:type="default" r:id="rId8"/>
      <w:headerReference w:type="first" r:id="rId9"/>
      <w:footerReference w:type="first" r:id="rId10"/>
      <w:footnotePr>
        <w:pos w:val="beneathText"/>
      </w:footnotePr>
      <w:endnotePr>
        <w:numFmt w:val="decimal"/>
      </w:endnotePr>
      <w:pgSz w:w="20163" w:h="12242" w:orient="landscape" w:code="5"/>
      <w:pgMar w:top="1985" w:right="1134" w:bottom="2268" w:left="2835"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59F" w:rsidRDefault="009B559F" w:rsidP="00CA7856">
      <w:pPr>
        <w:spacing w:after="0" w:line="240" w:lineRule="auto"/>
      </w:pPr>
      <w:r>
        <w:separator/>
      </w:r>
    </w:p>
  </w:endnote>
  <w:endnote w:type="continuationSeparator" w:id="0">
    <w:p w:rsidR="009B559F" w:rsidRDefault="009B559F" w:rsidP="00CA7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245" w:rsidRPr="004B47C2" w:rsidRDefault="008A2245" w:rsidP="004B47C2">
    <w:pPr>
      <w:pStyle w:val="Piedepgina"/>
      <w:jc w:val="center"/>
      <w:rPr>
        <w:b/>
        <w:sz w:val="28"/>
        <w:szCs w:val="28"/>
      </w:rPr>
    </w:pPr>
    <w:r w:rsidRPr="004B47C2">
      <w:rPr>
        <w:b/>
        <w:sz w:val="28"/>
        <w:szCs w:val="28"/>
      </w:rPr>
      <w:t>COMISIÓN DE EDUCACIÓN</w:t>
    </w:r>
  </w:p>
  <w:p w:rsidR="008A2245" w:rsidRDefault="008A22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59F" w:rsidRDefault="009B559F" w:rsidP="00CA7856">
      <w:pPr>
        <w:spacing w:after="0" w:line="240" w:lineRule="auto"/>
      </w:pPr>
      <w:r>
        <w:separator/>
      </w:r>
    </w:p>
  </w:footnote>
  <w:footnote w:type="continuationSeparator" w:id="0">
    <w:p w:rsidR="009B559F" w:rsidRDefault="009B559F" w:rsidP="00CA78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2380680"/>
      <w:docPartObj>
        <w:docPartGallery w:val="Page Numbers (Top of Page)"/>
        <w:docPartUnique/>
      </w:docPartObj>
    </w:sdtPr>
    <w:sdtEndPr/>
    <w:sdtContent>
      <w:p w:rsidR="008A2245" w:rsidRDefault="008A2245">
        <w:pPr>
          <w:pStyle w:val="Encabezado"/>
          <w:jc w:val="right"/>
        </w:pPr>
        <w:r>
          <w:fldChar w:fldCharType="begin"/>
        </w:r>
        <w:r>
          <w:instrText>PAGE   \* MERGEFORMAT</w:instrText>
        </w:r>
        <w:r>
          <w:fldChar w:fldCharType="separate"/>
        </w:r>
        <w:r w:rsidR="00304F3E" w:rsidRPr="00304F3E">
          <w:rPr>
            <w:noProof/>
            <w:lang w:val="es-ES"/>
          </w:rPr>
          <w:t>2</w:t>
        </w:r>
        <w:r>
          <w:fldChar w:fldCharType="end"/>
        </w:r>
      </w:p>
    </w:sdtContent>
  </w:sdt>
  <w:p w:rsidR="008A2245" w:rsidRPr="006917AD" w:rsidRDefault="008A2245" w:rsidP="006917AD">
    <w:pPr>
      <w:pStyle w:val="Encabezado"/>
      <w:jc w:val="center"/>
      <w:rPr>
        <w:b/>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245" w:rsidRDefault="008A2245" w:rsidP="00905457">
    <w:pPr>
      <w:pStyle w:val="Encabezado"/>
      <w:spacing w:after="240"/>
      <w:jc w:val="center"/>
      <w:rPr>
        <w:b/>
        <w:bCs/>
        <w:sz w:val="28"/>
        <w:szCs w:val="28"/>
      </w:rPr>
    </w:pPr>
    <w:r w:rsidRPr="00866571">
      <w:rPr>
        <w:b/>
        <w:bCs/>
        <w:sz w:val="28"/>
        <w:szCs w:val="28"/>
      </w:rPr>
      <w:t>Proyecto</w:t>
    </w:r>
    <w:r w:rsidR="00924C9C" w:rsidRPr="00924C9C">
      <w:rPr>
        <w:b/>
        <w:bCs/>
        <w:sz w:val="28"/>
        <w:szCs w:val="28"/>
      </w:rPr>
      <w:t xml:space="preserve"> de ley</w:t>
    </w:r>
    <w:r w:rsidR="00B647EA">
      <w:rPr>
        <w:b/>
        <w:bCs/>
        <w:sz w:val="28"/>
        <w:szCs w:val="28"/>
      </w:rPr>
      <w:t xml:space="preserve"> que </w:t>
    </w:r>
    <w:r w:rsidR="00371B8A">
      <w:rPr>
        <w:b/>
        <w:bCs/>
        <w:sz w:val="28"/>
        <w:szCs w:val="28"/>
      </w:rPr>
      <w:t>m</w:t>
    </w:r>
    <w:r w:rsidR="00371B8A" w:rsidRPr="00371B8A">
      <w:rPr>
        <w:b/>
        <w:bCs/>
        <w:sz w:val="28"/>
        <w:szCs w:val="28"/>
      </w:rPr>
      <w:t xml:space="preserve">odifica la ley N° 19.070, que Aprueba Estatuto de los Profesionales de la Educación, en diversas materias de orden laboral </w:t>
    </w:r>
    <w:r w:rsidR="009D0E45" w:rsidRPr="009D0E45">
      <w:rPr>
        <w:b/>
        <w:bCs/>
        <w:sz w:val="28"/>
        <w:szCs w:val="28"/>
      </w:rPr>
      <w:t>(boletín N° 1</w:t>
    </w:r>
    <w:r w:rsidR="00371B8A">
      <w:rPr>
        <w:b/>
        <w:bCs/>
        <w:sz w:val="28"/>
        <w:szCs w:val="28"/>
      </w:rPr>
      <w:t>1</w:t>
    </w:r>
    <w:r w:rsidR="009D0E45" w:rsidRPr="009D0E45">
      <w:rPr>
        <w:b/>
        <w:bCs/>
        <w:sz w:val="28"/>
        <w:szCs w:val="28"/>
      </w:rPr>
      <w:t>.</w:t>
    </w:r>
    <w:r w:rsidR="00371B8A">
      <w:rPr>
        <w:b/>
        <w:bCs/>
        <w:sz w:val="28"/>
        <w:szCs w:val="28"/>
      </w:rPr>
      <w:t>780</w:t>
    </w:r>
    <w:r w:rsidR="009D0E45" w:rsidRPr="009D0E45">
      <w:rPr>
        <w:b/>
        <w:bCs/>
        <w:sz w:val="28"/>
        <w:szCs w:val="28"/>
      </w:rPr>
      <w:t>-04)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74ABE"/>
    <w:multiLevelType w:val="hybridMultilevel"/>
    <w:tmpl w:val="DD6C158A"/>
    <w:lvl w:ilvl="0" w:tplc="6E04E934">
      <w:start w:val="1"/>
      <w:numFmt w:val="decimal"/>
      <w:lvlText w:val="%1)"/>
      <w:lvlJc w:val="left"/>
      <w:pPr>
        <w:ind w:left="1778"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8593CEB"/>
    <w:multiLevelType w:val="multilevel"/>
    <w:tmpl w:val="1F6843E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27547023"/>
    <w:multiLevelType w:val="multilevel"/>
    <w:tmpl w:val="1F6843E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3A690D65"/>
    <w:multiLevelType w:val="multilevel"/>
    <w:tmpl w:val="1F6843E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4F7A39CD"/>
    <w:multiLevelType w:val="hybridMultilevel"/>
    <w:tmpl w:val="F0F4880A"/>
    <w:lvl w:ilvl="0" w:tplc="EA846B62">
      <w:start w:val="1"/>
      <w:numFmt w:val="decimal"/>
      <w:lvlText w:val="%1)"/>
      <w:lvlJc w:val="left"/>
      <w:pPr>
        <w:ind w:left="536" w:hanging="360"/>
      </w:pPr>
      <w:rPr>
        <w:rFonts w:hint="default"/>
      </w:rPr>
    </w:lvl>
    <w:lvl w:ilvl="1" w:tplc="340A0019" w:tentative="1">
      <w:start w:val="1"/>
      <w:numFmt w:val="lowerLetter"/>
      <w:lvlText w:val="%2."/>
      <w:lvlJc w:val="left"/>
      <w:pPr>
        <w:ind w:left="1256" w:hanging="360"/>
      </w:pPr>
    </w:lvl>
    <w:lvl w:ilvl="2" w:tplc="340A001B" w:tentative="1">
      <w:start w:val="1"/>
      <w:numFmt w:val="lowerRoman"/>
      <w:lvlText w:val="%3."/>
      <w:lvlJc w:val="right"/>
      <w:pPr>
        <w:ind w:left="1976" w:hanging="180"/>
      </w:pPr>
    </w:lvl>
    <w:lvl w:ilvl="3" w:tplc="340A000F" w:tentative="1">
      <w:start w:val="1"/>
      <w:numFmt w:val="decimal"/>
      <w:lvlText w:val="%4."/>
      <w:lvlJc w:val="left"/>
      <w:pPr>
        <w:ind w:left="2696" w:hanging="360"/>
      </w:pPr>
    </w:lvl>
    <w:lvl w:ilvl="4" w:tplc="340A0019" w:tentative="1">
      <w:start w:val="1"/>
      <w:numFmt w:val="lowerLetter"/>
      <w:lvlText w:val="%5."/>
      <w:lvlJc w:val="left"/>
      <w:pPr>
        <w:ind w:left="3416" w:hanging="360"/>
      </w:pPr>
    </w:lvl>
    <w:lvl w:ilvl="5" w:tplc="340A001B" w:tentative="1">
      <w:start w:val="1"/>
      <w:numFmt w:val="lowerRoman"/>
      <w:lvlText w:val="%6."/>
      <w:lvlJc w:val="right"/>
      <w:pPr>
        <w:ind w:left="4136" w:hanging="180"/>
      </w:pPr>
    </w:lvl>
    <w:lvl w:ilvl="6" w:tplc="340A000F" w:tentative="1">
      <w:start w:val="1"/>
      <w:numFmt w:val="decimal"/>
      <w:lvlText w:val="%7."/>
      <w:lvlJc w:val="left"/>
      <w:pPr>
        <w:ind w:left="4856" w:hanging="360"/>
      </w:pPr>
    </w:lvl>
    <w:lvl w:ilvl="7" w:tplc="340A0019" w:tentative="1">
      <w:start w:val="1"/>
      <w:numFmt w:val="lowerLetter"/>
      <w:lvlText w:val="%8."/>
      <w:lvlJc w:val="left"/>
      <w:pPr>
        <w:ind w:left="5576" w:hanging="360"/>
      </w:pPr>
    </w:lvl>
    <w:lvl w:ilvl="8" w:tplc="340A001B" w:tentative="1">
      <w:start w:val="1"/>
      <w:numFmt w:val="lowerRoman"/>
      <w:lvlText w:val="%9."/>
      <w:lvlJc w:val="right"/>
      <w:pPr>
        <w:ind w:left="6296" w:hanging="180"/>
      </w:pPr>
    </w:lvl>
  </w:abstractNum>
  <w:abstractNum w:abstractNumId="5" w15:restartNumberingAfterBreak="0">
    <w:nsid w:val="71B50DB7"/>
    <w:multiLevelType w:val="hybridMultilevel"/>
    <w:tmpl w:val="8528EB18"/>
    <w:lvl w:ilvl="0" w:tplc="4F12C372">
      <w:start w:val="1"/>
      <w:numFmt w:val="lowerLetter"/>
      <w:lvlText w:val="%1)"/>
      <w:lvlJc w:val="left"/>
      <w:pPr>
        <w:ind w:left="1425" w:hanging="432"/>
      </w:pPr>
      <w:rPr>
        <w:rFonts w:hint="default"/>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6" w15:restartNumberingAfterBreak="0">
    <w:nsid w:val="74984A5D"/>
    <w:multiLevelType w:val="hybridMultilevel"/>
    <w:tmpl w:val="49F6E41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drawingGridHorizontalSpacing w:val="110"/>
  <w:displayHorizontalDrawingGridEvery w:val="2"/>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2A6"/>
    <w:rsid w:val="00000E18"/>
    <w:rsid w:val="00001ECF"/>
    <w:rsid w:val="00034345"/>
    <w:rsid w:val="00034705"/>
    <w:rsid w:val="00040E80"/>
    <w:rsid w:val="00041607"/>
    <w:rsid w:val="00046E6F"/>
    <w:rsid w:val="00052019"/>
    <w:rsid w:val="000568BE"/>
    <w:rsid w:val="00070012"/>
    <w:rsid w:val="00074A14"/>
    <w:rsid w:val="000769C0"/>
    <w:rsid w:val="00077401"/>
    <w:rsid w:val="0008104E"/>
    <w:rsid w:val="000813E8"/>
    <w:rsid w:val="00081D89"/>
    <w:rsid w:val="00081FF8"/>
    <w:rsid w:val="000838D4"/>
    <w:rsid w:val="00083BF3"/>
    <w:rsid w:val="00087605"/>
    <w:rsid w:val="00087F2E"/>
    <w:rsid w:val="000939FA"/>
    <w:rsid w:val="00096A9C"/>
    <w:rsid w:val="000A02E7"/>
    <w:rsid w:val="000A1EF2"/>
    <w:rsid w:val="000A26FB"/>
    <w:rsid w:val="000A4269"/>
    <w:rsid w:val="000A4FD3"/>
    <w:rsid w:val="000A5FFD"/>
    <w:rsid w:val="000A709E"/>
    <w:rsid w:val="000B0185"/>
    <w:rsid w:val="000B38E1"/>
    <w:rsid w:val="000B49C1"/>
    <w:rsid w:val="000B790A"/>
    <w:rsid w:val="000C0872"/>
    <w:rsid w:val="000C0CEA"/>
    <w:rsid w:val="000C4E55"/>
    <w:rsid w:val="000C51D5"/>
    <w:rsid w:val="000D021F"/>
    <w:rsid w:val="000D179A"/>
    <w:rsid w:val="000D2E3B"/>
    <w:rsid w:val="000E74E2"/>
    <w:rsid w:val="000F28DC"/>
    <w:rsid w:val="000F3995"/>
    <w:rsid w:val="000F3CAA"/>
    <w:rsid w:val="000F4F81"/>
    <w:rsid w:val="00104817"/>
    <w:rsid w:val="00107E0B"/>
    <w:rsid w:val="0011343B"/>
    <w:rsid w:val="0011523D"/>
    <w:rsid w:val="00116020"/>
    <w:rsid w:val="00122787"/>
    <w:rsid w:val="0012644F"/>
    <w:rsid w:val="00127EF0"/>
    <w:rsid w:val="00133134"/>
    <w:rsid w:val="00140B61"/>
    <w:rsid w:val="00141E93"/>
    <w:rsid w:val="00146A40"/>
    <w:rsid w:val="00151038"/>
    <w:rsid w:val="00151FA9"/>
    <w:rsid w:val="00160AD3"/>
    <w:rsid w:val="00182229"/>
    <w:rsid w:val="00182AAA"/>
    <w:rsid w:val="001842BC"/>
    <w:rsid w:val="00186089"/>
    <w:rsid w:val="00195ED9"/>
    <w:rsid w:val="00197396"/>
    <w:rsid w:val="001A2AEB"/>
    <w:rsid w:val="001A68FF"/>
    <w:rsid w:val="001A7224"/>
    <w:rsid w:val="001B18A1"/>
    <w:rsid w:val="001B252C"/>
    <w:rsid w:val="001B2D57"/>
    <w:rsid w:val="001B5EC6"/>
    <w:rsid w:val="001B6730"/>
    <w:rsid w:val="001C0482"/>
    <w:rsid w:val="001C514E"/>
    <w:rsid w:val="001D0D79"/>
    <w:rsid w:val="001D0F7A"/>
    <w:rsid w:val="001E622B"/>
    <w:rsid w:val="001F22FF"/>
    <w:rsid w:val="001F2581"/>
    <w:rsid w:val="001F32B6"/>
    <w:rsid w:val="001F54B8"/>
    <w:rsid w:val="002017EA"/>
    <w:rsid w:val="0020307F"/>
    <w:rsid w:val="002045A3"/>
    <w:rsid w:val="00212A42"/>
    <w:rsid w:val="002130EC"/>
    <w:rsid w:val="002132BB"/>
    <w:rsid w:val="00213EA1"/>
    <w:rsid w:val="0021638A"/>
    <w:rsid w:val="00221064"/>
    <w:rsid w:val="002226F7"/>
    <w:rsid w:val="00222E3B"/>
    <w:rsid w:val="002326E9"/>
    <w:rsid w:val="002336CB"/>
    <w:rsid w:val="00237B69"/>
    <w:rsid w:val="002450B9"/>
    <w:rsid w:val="00245704"/>
    <w:rsid w:val="00245AA3"/>
    <w:rsid w:val="0025046E"/>
    <w:rsid w:val="00251526"/>
    <w:rsid w:val="00251788"/>
    <w:rsid w:val="0025578B"/>
    <w:rsid w:val="00256E90"/>
    <w:rsid w:val="0025782A"/>
    <w:rsid w:val="00262C97"/>
    <w:rsid w:val="00263179"/>
    <w:rsid w:val="0026575A"/>
    <w:rsid w:val="00266571"/>
    <w:rsid w:val="00272FCD"/>
    <w:rsid w:val="002730A0"/>
    <w:rsid w:val="00274B8E"/>
    <w:rsid w:val="00280646"/>
    <w:rsid w:val="00284AE4"/>
    <w:rsid w:val="0029024E"/>
    <w:rsid w:val="002927D0"/>
    <w:rsid w:val="00293452"/>
    <w:rsid w:val="002937C3"/>
    <w:rsid w:val="00297D0A"/>
    <w:rsid w:val="002A0802"/>
    <w:rsid w:val="002A2AC4"/>
    <w:rsid w:val="002A5370"/>
    <w:rsid w:val="002B1A85"/>
    <w:rsid w:val="002B479D"/>
    <w:rsid w:val="002B4BA8"/>
    <w:rsid w:val="002B6AEA"/>
    <w:rsid w:val="002D60C2"/>
    <w:rsid w:val="002D6F0F"/>
    <w:rsid w:val="002E08F6"/>
    <w:rsid w:val="002E114D"/>
    <w:rsid w:val="002E1511"/>
    <w:rsid w:val="002E4C4C"/>
    <w:rsid w:val="002E7B35"/>
    <w:rsid w:val="002F047A"/>
    <w:rsid w:val="002F3964"/>
    <w:rsid w:val="002F3CBF"/>
    <w:rsid w:val="002F3D6F"/>
    <w:rsid w:val="002F52BB"/>
    <w:rsid w:val="002F6691"/>
    <w:rsid w:val="002F72D0"/>
    <w:rsid w:val="003002D7"/>
    <w:rsid w:val="003023E2"/>
    <w:rsid w:val="00302889"/>
    <w:rsid w:val="0030417B"/>
    <w:rsid w:val="00304647"/>
    <w:rsid w:val="00304F3E"/>
    <w:rsid w:val="003123EC"/>
    <w:rsid w:val="0031298A"/>
    <w:rsid w:val="00315EAD"/>
    <w:rsid w:val="003161AE"/>
    <w:rsid w:val="00325A3A"/>
    <w:rsid w:val="00336144"/>
    <w:rsid w:val="003361EC"/>
    <w:rsid w:val="00343165"/>
    <w:rsid w:val="003448CC"/>
    <w:rsid w:val="00344B2B"/>
    <w:rsid w:val="00345FF4"/>
    <w:rsid w:val="0035055F"/>
    <w:rsid w:val="00351927"/>
    <w:rsid w:val="003546D1"/>
    <w:rsid w:val="00355FAE"/>
    <w:rsid w:val="003573DE"/>
    <w:rsid w:val="00360387"/>
    <w:rsid w:val="003609DE"/>
    <w:rsid w:val="0036364B"/>
    <w:rsid w:val="003637D7"/>
    <w:rsid w:val="00370000"/>
    <w:rsid w:val="00371B8A"/>
    <w:rsid w:val="00372E09"/>
    <w:rsid w:val="003739CB"/>
    <w:rsid w:val="003770D3"/>
    <w:rsid w:val="003779B9"/>
    <w:rsid w:val="00382BFB"/>
    <w:rsid w:val="0038445B"/>
    <w:rsid w:val="00387E1E"/>
    <w:rsid w:val="00390C61"/>
    <w:rsid w:val="00390D38"/>
    <w:rsid w:val="003915AF"/>
    <w:rsid w:val="00393C08"/>
    <w:rsid w:val="003950CD"/>
    <w:rsid w:val="003956B7"/>
    <w:rsid w:val="00395CC3"/>
    <w:rsid w:val="00397144"/>
    <w:rsid w:val="003B71C5"/>
    <w:rsid w:val="003C0927"/>
    <w:rsid w:val="003C095B"/>
    <w:rsid w:val="003C6B8F"/>
    <w:rsid w:val="003D61D6"/>
    <w:rsid w:val="003E0CE0"/>
    <w:rsid w:val="003E38F3"/>
    <w:rsid w:val="003E5536"/>
    <w:rsid w:val="003E5CCF"/>
    <w:rsid w:val="003E607D"/>
    <w:rsid w:val="003F14F9"/>
    <w:rsid w:val="003F1D2D"/>
    <w:rsid w:val="003F401F"/>
    <w:rsid w:val="004006D5"/>
    <w:rsid w:val="004116A3"/>
    <w:rsid w:val="00414A71"/>
    <w:rsid w:val="004203A3"/>
    <w:rsid w:val="00422EE4"/>
    <w:rsid w:val="00423015"/>
    <w:rsid w:val="00425BFF"/>
    <w:rsid w:val="00431780"/>
    <w:rsid w:val="0043205A"/>
    <w:rsid w:val="00432F37"/>
    <w:rsid w:val="0043594A"/>
    <w:rsid w:val="00436FD7"/>
    <w:rsid w:val="0044039C"/>
    <w:rsid w:val="00441F22"/>
    <w:rsid w:val="00443A16"/>
    <w:rsid w:val="004448E3"/>
    <w:rsid w:val="0045060A"/>
    <w:rsid w:val="004534F6"/>
    <w:rsid w:val="004547B3"/>
    <w:rsid w:val="0045628B"/>
    <w:rsid w:val="004656B3"/>
    <w:rsid w:val="004750C7"/>
    <w:rsid w:val="00480E88"/>
    <w:rsid w:val="004848BB"/>
    <w:rsid w:val="00493050"/>
    <w:rsid w:val="00493DF9"/>
    <w:rsid w:val="004A0259"/>
    <w:rsid w:val="004A19BB"/>
    <w:rsid w:val="004A1B65"/>
    <w:rsid w:val="004A469B"/>
    <w:rsid w:val="004A640E"/>
    <w:rsid w:val="004A7123"/>
    <w:rsid w:val="004B47C2"/>
    <w:rsid w:val="004B47C6"/>
    <w:rsid w:val="004B489F"/>
    <w:rsid w:val="004C0F40"/>
    <w:rsid w:val="004C1038"/>
    <w:rsid w:val="004C1891"/>
    <w:rsid w:val="004C3D6A"/>
    <w:rsid w:val="004C6520"/>
    <w:rsid w:val="004D00AB"/>
    <w:rsid w:val="004D5037"/>
    <w:rsid w:val="004D5ACA"/>
    <w:rsid w:val="004D5CD6"/>
    <w:rsid w:val="004D6F95"/>
    <w:rsid w:val="004E119F"/>
    <w:rsid w:val="004E1FC1"/>
    <w:rsid w:val="004E2343"/>
    <w:rsid w:val="004E63A4"/>
    <w:rsid w:val="004E741F"/>
    <w:rsid w:val="004F25B6"/>
    <w:rsid w:val="004F3350"/>
    <w:rsid w:val="004F3372"/>
    <w:rsid w:val="004F6276"/>
    <w:rsid w:val="004F6317"/>
    <w:rsid w:val="004F674E"/>
    <w:rsid w:val="004F7DA7"/>
    <w:rsid w:val="005003FF"/>
    <w:rsid w:val="00502F1C"/>
    <w:rsid w:val="00503AEF"/>
    <w:rsid w:val="00503BFB"/>
    <w:rsid w:val="00503F97"/>
    <w:rsid w:val="00506181"/>
    <w:rsid w:val="005069F9"/>
    <w:rsid w:val="005113C0"/>
    <w:rsid w:val="00511D92"/>
    <w:rsid w:val="00512953"/>
    <w:rsid w:val="00517BCB"/>
    <w:rsid w:val="005227FE"/>
    <w:rsid w:val="0052375F"/>
    <w:rsid w:val="00524176"/>
    <w:rsid w:val="005251D5"/>
    <w:rsid w:val="00525482"/>
    <w:rsid w:val="00530CA8"/>
    <w:rsid w:val="005315C2"/>
    <w:rsid w:val="0053305A"/>
    <w:rsid w:val="00534057"/>
    <w:rsid w:val="00534ADD"/>
    <w:rsid w:val="0053783F"/>
    <w:rsid w:val="00537CEE"/>
    <w:rsid w:val="00545DB3"/>
    <w:rsid w:val="0054662A"/>
    <w:rsid w:val="005472FB"/>
    <w:rsid w:val="00550EF7"/>
    <w:rsid w:val="00551CFA"/>
    <w:rsid w:val="005526B5"/>
    <w:rsid w:val="0055625B"/>
    <w:rsid w:val="00557494"/>
    <w:rsid w:val="00562D80"/>
    <w:rsid w:val="005672D3"/>
    <w:rsid w:val="00571EFF"/>
    <w:rsid w:val="00574596"/>
    <w:rsid w:val="005753CA"/>
    <w:rsid w:val="0057739F"/>
    <w:rsid w:val="00580D2B"/>
    <w:rsid w:val="00583C3D"/>
    <w:rsid w:val="005858EB"/>
    <w:rsid w:val="005906FB"/>
    <w:rsid w:val="005919F4"/>
    <w:rsid w:val="0059314E"/>
    <w:rsid w:val="00594E6F"/>
    <w:rsid w:val="00595617"/>
    <w:rsid w:val="00595D13"/>
    <w:rsid w:val="0059791D"/>
    <w:rsid w:val="005A4AAA"/>
    <w:rsid w:val="005B0795"/>
    <w:rsid w:val="005B2BDE"/>
    <w:rsid w:val="005B3232"/>
    <w:rsid w:val="005B35ED"/>
    <w:rsid w:val="005B46F4"/>
    <w:rsid w:val="005B716B"/>
    <w:rsid w:val="005C0C36"/>
    <w:rsid w:val="005C2897"/>
    <w:rsid w:val="005C474E"/>
    <w:rsid w:val="005D0F76"/>
    <w:rsid w:val="005D40ED"/>
    <w:rsid w:val="005D4DD0"/>
    <w:rsid w:val="005D6C7E"/>
    <w:rsid w:val="005E1998"/>
    <w:rsid w:val="005E22DE"/>
    <w:rsid w:val="005E6179"/>
    <w:rsid w:val="005F65B5"/>
    <w:rsid w:val="00601032"/>
    <w:rsid w:val="0060570C"/>
    <w:rsid w:val="00607299"/>
    <w:rsid w:val="00607A0E"/>
    <w:rsid w:val="00610659"/>
    <w:rsid w:val="00611929"/>
    <w:rsid w:val="00612742"/>
    <w:rsid w:val="00612885"/>
    <w:rsid w:val="00612EE1"/>
    <w:rsid w:val="006135E7"/>
    <w:rsid w:val="006252BD"/>
    <w:rsid w:val="0062752C"/>
    <w:rsid w:val="006327E5"/>
    <w:rsid w:val="00637B74"/>
    <w:rsid w:val="00643876"/>
    <w:rsid w:val="006478D5"/>
    <w:rsid w:val="00661520"/>
    <w:rsid w:val="00661674"/>
    <w:rsid w:val="00662C5E"/>
    <w:rsid w:val="00664654"/>
    <w:rsid w:val="0066481A"/>
    <w:rsid w:val="0066635E"/>
    <w:rsid w:val="006701E7"/>
    <w:rsid w:val="0068106C"/>
    <w:rsid w:val="006832F5"/>
    <w:rsid w:val="00691507"/>
    <w:rsid w:val="006917AD"/>
    <w:rsid w:val="00692478"/>
    <w:rsid w:val="0069353E"/>
    <w:rsid w:val="00695149"/>
    <w:rsid w:val="006A11CB"/>
    <w:rsid w:val="006A4954"/>
    <w:rsid w:val="006A4E8C"/>
    <w:rsid w:val="006A65D1"/>
    <w:rsid w:val="006A65D4"/>
    <w:rsid w:val="006B27D2"/>
    <w:rsid w:val="006B4A6E"/>
    <w:rsid w:val="006C1D37"/>
    <w:rsid w:val="006C1D84"/>
    <w:rsid w:val="006C709D"/>
    <w:rsid w:val="006D21C3"/>
    <w:rsid w:val="006D2799"/>
    <w:rsid w:val="006D4332"/>
    <w:rsid w:val="006D6332"/>
    <w:rsid w:val="006D658A"/>
    <w:rsid w:val="006E2FEA"/>
    <w:rsid w:val="006E6C18"/>
    <w:rsid w:val="006F191F"/>
    <w:rsid w:val="006F2428"/>
    <w:rsid w:val="006F5931"/>
    <w:rsid w:val="00700A98"/>
    <w:rsid w:val="00703439"/>
    <w:rsid w:val="0070640C"/>
    <w:rsid w:val="00706BBE"/>
    <w:rsid w:val="00706D10"/>
    <w:rsid w:val="007078A7"/>
    <w:rsid w:val="00713D16"/>
    <w:rsid w:val="0071679E"/>
    <w:rsid w:val="00720031"/>
    <w:rsid w:val="00722741"/>
    <w:rsid w:val="007253E7"/>
    <w:rsid w:val="00731AF6"/>
    <w:rsid w:val="007321A9"/>
    <w:rsid w:val="00733FF4"/>
    <w:rsid w:val="007350E1"/>
    <w:rsid w:val="0073702E"/>
    <w:rsid w:val="00741F82"/>
    <w:rsid w:val="00744850"/>
    <w:rsid w:val="00746128"/>
    <w:rsid w:val="00753B26"/>
    <w:rsid w:val="00755B74"/>
    <w:rsid w:val="0075681B"/>
    <w:rsid w:val="00760864"/>
    <w:rsid w:val="00760D2E"/>
    <w:rsid w:val="007612F9"/>
    <w:rsid w:val="00766B6E"/>
    <w:rsid w:val="00766E75"/>
    <w:rsid w:val="00767221"/>
    <w:rsid w:val="007703DE"/>
    <w:rsid w:val="00770A4C"/>
    <w:rsid w:val="00774DBD"/>
    <w:rsid w:val="00786241"/>
    <w:rsid w:val="00786D71"/>
    <w:rsid w:val="00787D2E"/>
    <w:rsid w:val="007949C5"/>
    <w:rsid w:val="007A2A41"/>
    <w:rsid w:val="007A2B64"/>
    <w:rsid w:val="007A3003"/>
    <w:rsid w:val="007B1755"/>
    <w:rsid w:val="007B4993"/>
    <w:rsid w:val="007B6768"/>
    <w:rsid w:val="007C2B3F"/>
    <w:rsid w:val="007C2E24"/>
    <w:rsid w:val="007C48CC"/>
    <w:rsid w:val="007C5D8B"/>
    <w:rsid w:val="007E16D2"/>
    <w:rsid w:val="007E1BF2"/>
    <w:rsid w:val="007E2347"/>
    <w:rsid w:val="007E236C"/>
    <w:rsid w:val="007E413F"/>
    <w:rsid w:val="007E51DA"/>
    <w:rsid w:val="007E5FC2"/>
    <w:rsid w:val="007E6D61"/>
    <w:rsid w:val="007F3406"/>
    <w:rsid w:val="007F37F1"/>
    <w:rsid w:val="007F39C1"/>
    <w:rsid w:val="007F54FC"/>
    <w:rsid w:val="007F5755"/>
    <w:rsid w:val="00810C99"/>
    <w:rsid w:val="008146ED"/>
    <w:rsid w:val="0081570B"/>
    <w:rsid w:val="008158AF"/>
    <w:rsid w:val="0081711A"/>
    <w:rsid w:val="008223B9"/>
    <w:rsid w:val="00825EDE"/>
    <w:rsid w:val="00827F4E"/>
    <w:rsid w:val="00831C97"/>
    <w:rsid w:val="00831F65"/>
    <w:rsid w:val="008323CD"/>
    <w:rsid w:val="00832757"/>
    <w:rsid w:val="00834760"/>
    <w:rsid w:val="00834FD9"/>
    <w:rsid w:val="00835563"/>
    <w:rsid w:val="0083773D"/>
    <w:rsid w:val="008406F2"/>
    <w:rsid w:val="00841685"/>
    <w:rsid w:val="0084232E"/>
    <w:rsid w:val="00844B85"/>
    <w:rsid w:val="00850350"/>
    <w:rsid w:val="00853C34"/>
    <w:rsid w:val="008541D2"/>
    <w:rsid w:val="00855579"/>
    <w:rsid w:val="00855E2B"/>
    <w:rsid w:val="00862D92"/>
    <w:rsid w:val="0086386D"/>
    <w:rsid w:val="00866571"/>
    <w:rsid w:val="00874536"/>
    <w:rsid w:val="00875468"/>
    <w:rsid w:val="00875D74"/>
    <w:rsid w:val="0087716B"/>
    <w:rsid w:val="00882761"/>
    <w:rsid w:val="00883930"/>
    <w:rsid w:val="00887EC2"/>
    <w:rsid w:val="00896A76"/>
    <w:rsid w:val="008A1A13"/>
    <w:rsid w:val="008A2245"/>
    <w:rsid w:val="008A3186"/>
    <w:rsid w:val="008A3193"/>
    <w:rsid w:val="008A3898"/>
    <w:rsid w:val="008A4151"/>
    <w:rsid w:val="008A6319"/>
    <w:rsid w:val="008B0F8A"/>
    <w:rsid w:val="008B27E3"/>
    <w:rsid w:val="008B2AC7"/>
    <w:rsid w:val="008B7A5E"/>
    <w:rsid w:val="008C2EE5"/>
    <w:rsid w:val="008C3299"/>
    <w:rsid w:val="008C4479"/>
    <w:rsid w:val="008C6A28"/>
    <w:rsid w:val="008D6225"/>
    <w:rsid w:val="008D7C23"/>
    <w:rsid w:val="008E1F2C"/>
    <w:rsid w:val="008E5B1F"/>
    <w:rsid w:val="008E7102"/>
    <w:rsid w:val="008E73C4"/>
    <w:rsid w:val="008E7A35"/>
    <w:rsid w:val="008F3CAD"/>
    <w:rsid w:val="008F6510"/>
    <w:rsid w:val="008F65F6"/>
    <w:rsid w:val="00901D0C"/>
    <w:rsid w:val="00905457"/>
    <w:rsid w:val="0092035B"/>
    <w:rsid w:val="00922731"/>
    <w:rsid w:val="00922E18"/>
    <w:rsid w:val="00923180"/>
    <w:rsid w:val="00924C9C"/>
    <w:rsid w:val="00925EE4"/>
    <w:rsid w:val="00927060"/>
    <w:rsid w:val="0092719E"/>
    <w:rsid w:val="00927DC1"/>
    <w:rsid w:val="00934061"/>
    <w:rsid w:val="00935139"/>
    <w:rsid w:val="00936447"/>
    <w:rsid w:val="009421F1"/>
    <w:rsid w:val="00942445"/>
    <w:rsid w:val="00945997"/>
    <w:rsid w:val="009462CC"/>
    <w:rsid w:val="00951DCD"/>
    <w:rsid w:val="009540C6"/>
    <w:rsid w:val="00956A4F"/>
    <w:rsid w:val="00962DBF"/>
    <w:rsid w:val="009720C9"/>
    <w:rsid w:val="00975ECE"/>
    <w:rsid w:val="0098212F"/>
    <w:rsid w:val="009908AD"/>
    <w:rsid w:val="009957FE"/>
    <w:rsid w:val="00996DF3"/>
    <w:rsid w:val="009A4BF4"/>
    <w:rsid w:val="009A53E8"/>
    <w:rsid w:val="009A6DC4"/>
    <w:rsid w:val="009B2C96"/>
    <w:rsid w:val="009B559F"/>
    <w:rsid w:val="009C465A"/>
    <w:rsid w:val="009C46F2"/>
    <w:rsid w:val="009D0E45"/>
    <w:rsid w:val="009D3150"/>
    <w:rsid w:val="009D33A6"/>
    <w:rsid w:val="009D6496"/>
    <w:rsid w:val="009E48FC"/>
    <w:rsid w:val="009E634F"/>
    <w:rsid w:val="009F0858"/>
    <w:rsid w:val="009F1BD0"/>
    <w:rsid w:val="009F3598"/>
    <w:rsid w:val="009F4F76"/>
    <w:rsid w:val="009F55C5"/>
    <w:rsid w:val="00A056AD"/>
    <w:rsid w:val="00A06209"/>
    <w:rsid w:val="00A10768"/>
    <w:rsid w:val="00A11470"/>
    <w:rsid w:val="00A117DC"/>
    <w:rsid w:val="00A117FA"/>
    <w:rsid w:val="00A140C4"/>
    <w:rsid w:val="00A14D21"/>
    <w:rsid w:val="00A15BCA"/>
    <w:rsid w:val="00A166BC"/>
    <w:rsid w:val="00A20653"/>
    <w:rsid w:val="00A25ABB"/>
    <w:rsid w:val="00A301A5"/>
    <w:rsid w:val="00A31B61"/>
    <w:rsid w:val="00A3380A"/>
    <w:rsid w:val="00A406CA"/>
    <w:rsid w:val="00A415BA"/>
    <w:rsid w:val="00A42430"/>
    <w:rsid w:val="00A44087"/>
    <w:rsid w:val="00A4566E"/>
    <w:rsid w:val="00A54D44"/>
    <w:rsid w:val="00A5677F"/>
    <w:rsid w:val="00A60286"/>
    <w:rsid w:val="00A60A35"/>
    <w:rsid w:val="00A61B49"/>
    <w:rsid w:val="00A62AA9"/>
    <w:rsid w:val="00A63B5C"/>
    <w:rsid w:val="00A701C6"/>
    <w:rsid w:val="00A72006"/>
    <w:rsid w:val="00A72938"/>
    <w:rsid w:val="00A75A6E"/>
    <w:rsid w:val="00A776DD"/>
    <w:rsid w:val="00A81E3A"/>
    <w:rsid w:val="00A827C6"/>
    <w:rsid w:val="00A8333C"/>
    <w:rsid w:val="00A8441E"/>
    <w:rsid w:val="00A87EC2"/>
    <w:rsid w:val="00A9616C"/>
    <w:rsid w:val="00A970F0"/>
    <w:rsid w:val="00A971DC"/>
    <w:rsid w:val="00AB1F61"/>
    <w:rsid w:val="00AB3231"/>
    <w:rsid w:val="00AB4A78"/>
    <w:rsid w:val="00AB7D49"/>
    <w:rsid w:val="00AC41B4"/>
    <w:rsid w:val="00AD0F8F"/>
    <w:rsid w:val="00AD0F9D"/>
    <w:rsid w:val="00AD50C2"/>
    <w:rsid w:val="00AD544A"/>
    <w:rsid w:val="00AD70A7"/>
    <w:rsid w:val="00AE43F9"/>
    <w:rsid w:val="00AE6416"/>
    <w:rsid w:val="00AF176D"/>
    <w:rsid w:val="00AF3214"/>
    <w:rsid w:val="00AF66D9"/>
    <w:rsid w:val="00AF7659"/>
    <w:rsid w:val="00AF78CB"/>
    <w:rsid w:val="00B00E1B"/>
    <w:rsid w:val="00B14C2F"/>
    <w:rsid w:val="00B22922"/>
    <w:rsid w:val="00B2691F"/>
    <w:rsid w:val="00B31122"/>
    <w:rsid w:val="00B333CF"/>
    <w:rsid w:val="00B342DE"/>
    <w:rsid w:val="00B3526A"/>
    <w:rsid w:val="00B36801"/>
    <w:rsid w:val="00B4228D"/>
    <w:rsid w:val="00B430F8"/>
    <w:rsid w:val="00B50135"/>
    <w:rsid w:val="00B508B4"/>
    <w:rsid w:val="00B53C53"/>
    <w:rsid w:val="00B55312"/>
    <w:rsid w:val="00B575E7"/>
    <w:rsid w:val="00B647EA"/>
    <w:rsid w:val="00B67738"/>
    <w:rsid w:val="00B74FE0"/>
    <w:rsid w:val="00B75E0E"/>
    <w:rsid w:val="00B8540F"/>
    <w:rsid w:val="00B87FE2"/>
    <w:rsid w:val="00B95458"/>
    <w:rsid w:val="00BA0136"/>
    <w:rsid w:val="00BA0309"/>
    <w:rsid w:val="00BA6256"/>
    <w:rsid w:val="00BA6B90"/>
    <w:rsid w:val="00BA7FCB"/>
    <w:rsid w:val="00BB0287"/>
    <w:rsid w:val="00BC0592"/>
    <w:rsid w:val="00BC062F"/>
    <w:rsid w:val="00BC2750"/>
    <w:rsid w:val="00BC391D"/>
    <w:rsid w:val="00BC55AB"/>
    <w:rsid w:val="00BD1405"/>
    <w:rsid w:val="00BD6E38"/>
    <w:rsid w:val="00BD74AE"/>
    <w:rsid w:val="00BE117D"/>
    <w:rsid w:val="00BE7133"/>
    <w:rsid w:val="00BF22C7"/>
    <w:rsid w:val="00BF282B"/>
    <w:rsid w:val="00BF38DC"/>
    <w:rsid w:val="00BF6996"/>
    <w:rsid w:val="00BF7114"/>
    <w:rsid w:val="00C03A8A"/>
    <w:rsid w:val="00C03F5E"/>
    <w:rsid w:val="00C045B1"/>
    <w:rsid w:val="00C07AAD"/>
    <w:rsid w:val="00C11F45"/>
    <w:rsid w:val="00C12299"/>
    <w:rsid w:val="00C14923"/>
    <w:rsid w:val="00C14BA9"/>
    <w:rsid w:val="00C16237"/>
    <w:rsid w:val="00C21487"/>
    <w:rsid w:val="00C218E9"/>
    <w:rsid w:val="00C2566A"/>
    <w:rsid w:val="00C30556"/>
    <w:rsid w:val="00C30FD1"/>
    <w:rsid w:val="00C32261"/>
    <w:rsid w:val="00C35BFF"/>
    <w:rsid w:val="00C41A5D"/>
    <w:rsid w:val="00C458EB"/>
    <w:rsid w:val="00C5278F"/>
    <w:rsid w:val="00C567F0"/>
    <w:rsid w:val="00C616AF"/>
    <w:rsid w:val="00C62536"/>
    <w:rsid w:val="00C672A2"/>
    <w:rsid w:val="00C6749F"/>
    <w:rsid w:val="00C67841"/>
    <w:rsid w:val="00C7561B"/>
    <w:rsid w:val="00C77A97"/>
    <w:rsid w:val="00C819E4"/>
    <w:rsid w:val="00C84AE5"/>
    <w:rsid w:val="00C856EC"/>
    <w:rsid w:val="00C86C5E"/>
    <w:rsid w:val="00C872FE"/>
    <w:rsid w:val="00C91293"/>
    <w:rsid w:val="00C9166E"/>
    <w:rsid w:val="00C94407"/>
    <w:rsid w:val="00C9679D"/>
    <w:rsid w:val="00C97CFD"/>
    <w:rsid w:val="00CA042A"/>
    <w:rsid w:val="00CA0CED"/>
    <w:rsid w:val="00CA1365"/>
    <w:rsid w:val="00CA4232"/>
    <w:rsid w:val="00CA6E51"/>
    <w:rsid w:val="00CA7856"/>
    <w:rsid w:val="00CB310F"/>
    <w:rsid w:val="00CB5AE5"/>
    <w:rsid w:val="00CC16EC"/>
    <w:rsid w:val="00CC1A11"/>
    <w:rsid w:val="00CC1FA7"/>
    <w:rsid w:val="00CC4444"/>
    <w:rsid w:val="00CC5DC1"/>
    <w:rsid w:val="00CC6360"/>
    <w:rsid w:val="00CC67A2"/>
    <w:rsid w:val="00CC6D92"/>
    <w:rsid w:val="00CC75C2"/>
    <w:rsid w:val="00CD0A77"/>
    <w:rsid w:val="00CD2B55"/>
    <w:rsid w:val="00CD64A3"/>
    <w:rsid w:val="00CE2E27"/>
    <w:rsid w:val="00CE4358"/>
    <w:rsid w:val="00D04B7D"/>
    <w:rsid w:val="00D04BC0"/>
    <w:rsid w:val="00D05DB1"/>
    <w:rsid w:val="00D078AF"/>
    <w:rsid w:val="00D10B30"/>
    <w:rsid w:val="00D127A9"/>
    <w:rsid w:val="00D1280C"/>
    <w:rsid w:val="00D12B61"/>
    <w:rsid w:val="00D17F98"/>
    <w:rsid w:val="00D22CE0"/>
    <w:rsid w:val="00D26A57"/>
    <w:rsid w:val="00D302CE"/>
    <w:rsid w:val="00D303C7"/>
    <w:rsid w:val="00D30C2B"/>
    <w:rsid w:val="00D30D91"/>
    <w:rsid w:val="00D31DB4"/>
    <w:rsid w:val="00D35780"/>
    <w:rsid w:val="00D4110C"/>
    <w:rsid w:val="00D417AE"/>
    <w:rsid w:val="00D51870"/>
    <w:rsid w:val="00D56049"/>
    <w:rsid w:val="00D572C0"/>
    <w:rsid w:val="00D60AC7"/>
    <w:rsid w:val="00D61CFA"/>
    <w:rsid w:val="00D62E96"/>
    <w:rsid w:val="00D828F6"/>
    <w:rsid w:val="00D839B3"/>
    <w:rsid w:val="00D875CE"/>
    <w:rsid w:val="00D92DE2"/>
    <w:rsid w:val="00D94973"/>
    <w:rsid w:val="00DA05A2"/>
    <w:rsid w:val="00DA1A39"/>
    <w:rsid w:val="00DA30E3"/>
    <w:rsid w:val="00DA42ED"/>
    <w:rsid w:val="00DA450F"/>
    <w:rsid w:val="00DA676D"/>
    <w:rsid w:val="00DB250E"/>
    <w:rsid w:val="00DB309A"/>
    <w:rsid w:val="00DB4F70"/>
    <w:rsid w:val="00DB72A6"/>
    <w:rsid w:val="00DC0BCF"/>
    <w:rsid w:val="00DC3B24"/>
    <w:rsid w:val="00DC3B36"/>
    <w:rsid w:val="00DC4C89"/>
    <w:rsid w:val="00DD2361"/>
    <w:rsid w:val="00DD475D"/>
    <w:rsid w:val="00DF144F"/>
    <w:rsid w:val="00E02FF5"/>
    <w:rsid w:val="00E06555"/>
    <w:rsid w:val="00E11C4C"/>
    <w:rsid w:val="00E139C1"/>
    <w:rsid w:val="00E16888"/>
    <w:rsid w:val="00E2013B"/>
    <w:rsid w:val="00E22143"/>
    <w:rsid w:val="00E22ABE"/>
    <w:rsid w:val="00E237C7"/>
    <w:rsid w:val="00E32676"/>
    <w:rsid w:val="00E35311"/>
    <w:rsid w:val="00E36401"/>
    <w:rsid w:val="00E40F76"/>
    <w:rsid w:val="00E4260D"/>
    <w:rsid w:val="00E433F0"/>
    <w:rsid w:val="00E450C9"/>
    <w:rsid w:val="00E54FE0"/>
    <w:rsid w:val="00E60CD6"/>
    <w:rsid w:val="00E629AD"/>
    <w:rsid w:val="00E74925"/>
    <w:rsid w:val="00E76022"/>
    <w:rsid w:val="00E7771B"/>
    <w:rsid w:val="00E814D7"/>
    <w:rsid w:val="00E90923"/>
    <w:rsid w:val="00EA46A6"/>
    <w:rsid w:val="00EA555D"/>
    <w:rsid w:val="00EA69EB"/>
    <w:rsid w:val="00EB1063"/>
    <w:rsid w:val="00EB3288"/>
    <w:rsid w:val="00EB3D54"/>
    <w:rsid w:val="00EC1A4D"/>
    <w:rsid w:val="00EC38F0"/>
    <w:rsid w:val="00EC73CA"/>
    <w:rsid w:val="00ED197F"/>
    <w:rsid w:val="00ED6103"/>
    <w:rsid w:val="00ED6410"/>
    <w:rsid w:val="00ED6517"/>
    <w:rsid w:val="00ED6D41"/>
    <w:rsid w:val="00EE0101"/>
    <w:rsid w:val="00EE31C6"/>
    <w:rsid w:val="00EE4335"/>
    <w:rsid w:val="00EE6CA7"/>
    <w:rsid w:val="00EE79D2"/>
    <w:rsid w:val="00EF13C0"/>
    <w:rsid w:val="00EF2EBE"/>
    <w:rsid w:val="00EF35BC"/>
    <w:rsid w:val="00EF5F31"/>
    <w:rsid w:val="00EF6A49"/>
    <w:rsid w:val="00F018BA"/>
    <w:rsid w:val="00F039FD"/>
    <w:rsid w:val="00F050A8"/>
    <w:rsid w:val="00F14A83"/>
    <w:rsid w:val="00F14EE2"/>
    <w:rsid w:val="00F16C65"/>
    <w:rsid w:val="00F247C6"/>
    <w:rsid w:val="00F25FE1"/>
    <w:rsid w:val="00F26151"/>
    <w:rsid w:val="00F32D78"/>
    <w:rsid w:val="00F33DCD"/>
    <w:rsid w:val="00F348D4"/>
    <w:rsid w:val="00F41B2F"/>
    <w:rsid w:val="00F4447F"/>
    <w:rsid w:val="00F45CFA"/>
    <w:rsid w:val="00F523B2"/>
    <w:rsid w:val="00F5317A"/>
    <w:rsid w:val="00F54ACE"/>
    <w:rsid w:val="00F63FEE"/>
    <w:rsid w:val="00F7563A"/>
    <w:rsid w:val="00F75EA1"/>
    <w:rsid w:val="00F76F86"/>
    <w:rsid w:val="00F802C8"/>
    <w:rsid w:val="00F812C7"/>
    <w:rsid w:val="00F83AEA"/>
    <w:rsid w:val="00F9157F"/>
    <w:rsid w:val="00F9185D"/>
    <w:rsid w:val="00F91B03"/>
    <w:rsid w:val="00F91B9D"/>
    <w:rsid w:val="00F91CC1"/>
    <w:rsid w:val="00F91EB9"/>
    <w:rsid w:val="00F92538"/>
    <w:rsid w:val="00F955EF"/>
    <w:rsid w:val="00F95BC3"/>
    <w:rsid w:val="00FA26D7"/>
    <w:rsid w:val="00FA4975"/>
    <w:rsid w:val="00FC4676"/>
    <w:rsid w:val="00FD6AB6"/>
    <w:rsid w:val="00FE2985"/>
    <w:rsid w:val="00FE4835"/>
    <w:rsid w:val="00FE69F7"/>
    <w:rsid w:val="00FF0561"/>
    <w:rsid w:val="00FF09D0"/>
    <w:rsid w:val="00FF156F"/>
    <w:rsid w:val="00FF1975"/>
    <w:rsid w:val="00FF2EA8"/>
    <w:rsid w:val="00FF78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02550B-D9DF-4A6E-9DF5-15767400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3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B72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CA78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7856"/>
  </w:style>
  <w:style w:type="paragraph" w:styleId="Piedepgina">
    <w:name w:val="footer"/>
    <w:basedOn w:val="Normal"/>
    <w:link w:val="PiedepginaCar"/>
    <w:uiPriority w:val="99"/>
    <w:unhideWhenUsed/>
    <w:rsid w:val="00CA78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56"/>
  </w:style>
  <w:style w:type="paragraph" w:styleId="Prrafodelista">
    <w:name w:val="List Paragraph"/>
    <w:basedOn w:val="Normal"/>
    <w:uiPriority w:val="34"/>
    <w:qFormat/>
    <w:rsid w:val="004B47C2"/>
    <w:pPr>
      <w:ind w:left="720"/>
      <w:contextualSpacing/>
    </w:pPr>
  </w:style>
  <w:style w:type="paragraph" w:styleId="Textodeglobo">
    <w:name w:val="Balloon Text"/>
    <w:basedOn w:val="Normal"/>
    <w:link w:val="TextodegloboCar"/>
    <w:uiPriority w:val="99"/>
    <w:semiHidden/>
    <w:unhideWhenUsed/>
    <w:rsid w:val="00372E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2E09"/>
    <w:rPr>
      <w:rFonts w:ascii="Segoe UI" w:hAnsi="Segoe UI" w:cs="Segoe UI"/>
      <w:sz w:val="18"/>
      <w:szCs w:val="18"/>
    </w:rPr>
  </w:style>
  <w:style w:type="paragraph" w:styleId="Textonotapie">
    <w:name w:val="footnote text"/>
    <w:basedOn w:val="Normal"/>
    <w:link w:val="TextonotapieCar"/>
    <w:uiPriority w:val="99"/>
    <w:unhideWhenUsed/>
    <w:rsid w:val="00212A42"/>
    <w:pPr>
      <w:spacing w:after="0" w:line="240" w:lineRule="auto"/>
    </w:pPr>
    <w:rPr>
      <w:sz w:val="20"/>
      <w:szCs w:val="20"/>
    </w:rPr>
  </w:style>
  <w:style w:type="character" w:customStyle="1" w:styleId="TextonotapieCar">
    <w:name w:val="Texto nota pie Car"/>
    <w:basedOn w:val="Fuentedeprrafopredeter"/>
    <w:link w:val="Textonotapie"/>
    <w:uiPriority w:val="99"/>
    <w:rsid w:val="00212A42"/>
    <w:rPr>
      <w:sz w:val="20"/>
      <w:szCs w:val="20"/>
    </w:rPr>
  </w:style>
  <w:style w:type="character" w:styleId="Refdenotaalpie">
    <w:name w:val="footnote reference"/>
    <w:basedOn w:val="Fuentedeprrafopredeter"/>
    <w:uiPriority w:val="99"/>
    <w:semiHidden/>
    <w:unhideWhenUsed/>
    <w:rsid w:val="00212A42"/>
    <w:rPr>
      <w:vertAlign w:val="superscript"/>
    </w:rPr>
  </w:style>
  <w:style w:type="paragraph" w:styleId="HTMLconformatoprevio">
    <w:name w:val="HTML Preformatted"/>
    <w:basedOn w:val="Normal"/>
    <w:link w:val="HTMLconformatoprevioCar"/>
    <w:uiPriority w:val="99"/>
    <w:unhideWhenUsed/>
    <w:rsid w:val="00081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es-CL"/>
    </w:rPr>
  </w:style>
  <w:style w:type="character" w:customStyle="1" w:styleId="HTMLconformatoprevioCar">
    <w:name w:val="HTML con formato previo Car"/>
    <w:basedOn w:val="Fuentedeprrafopredeter"/>
    <w:link w:val="HTMLconformatoprevio"/>
    <w:uiPriority w:val="99"/>
    <w:rsid w:val="000813E8"/>
    <w:rPr>
      <w:rFonts w:ascii="Courier New" w:eastAsia="Times New Roman" w:hAnsi="Courier New" w:cs="Times New Roman"/>
      <w:sz w:val="20"/>
      <w:szCs w:val="20"/>
      <w:lang w:val="x-none" w:eastAsia="es-CL"/>
    </w:rPr>
  </w:style>
  <w:style w:type="character" w:styleId="Refdecomentario">
    <w:name w:val="annotation reference"/>
    <w:basedOn w:val="Fuentedeprrafopredeter"/>
    <w:uiPriority w:val="99"/>
    <w:semiHidden/>
    <w:unhideWhenUsed/>
    <w:rsid w:val="001A7224"/>
    <w:rPr>
      <w:sz w:val="16"/>
      <w:szCs w:val="16"/>
    </w:rPr>
  </w:style>
  <w:style w:type="paragraph" w:styleId="Textocomentario">
    <w:name w:val="annotation text"/>
    <w:basedOn w:val="Normal"/>
    <w:link w:val="TextocomentarioCar"/>
    <w:uiPriority w:val="99"/>
    <w:semiHidden/>
    <w:unhideWhenUsed/>
    <w:rsid w:val="001A722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7224"/>
    <w:rPr>
      <w:sz w:val="20"/>
      <w:szCs w:val="20"/>
    </w:rPr>
  </w:style>
  <w:style w:type="paragraph" w:styleId="Asuntodelcomentario">
    <w:name w:val="annotation subject"/>
    <w:basedOn w:val="Textocomentario"/>
    <w:next w:val="Textocomentario"/>
    <w:link w:val="AsuntodelcomentarioCar"/>
    <w:uiPriority w:val="99"/>
    <w:semiHidden/>
    <w:unhideWhenUsed/>
    <w:rsid w:val="001A7224"/>
    <w:rPr>
      <w:b/>
      <w:bCs/>
    </w:rPr>
  </w:style>
  <w:style w:type="character" w:customStyle="1" w:styleId="AsuntodelcomentarioCar">
    <w:name w:val="Asunto del comentario Car"/>
    <w:basedOn w:val="TextocomentarioCar"/>
    <w:link w:val="Asuntodelcomentario"/>
    <w:uiPriority w:val="99"/>
    <w:semiHidden/>
    <w:rsid w:val="001A7224"/>
    <w:rPr>
      <w:b/>
      <w:bCs/>
      <w:sz w:val="20"/>
      <w:szCs w:val="20"/>
    </w:rPr>
  </w:style>
  <w:style w:type="paragraph" w:styleId="Textonotaalfinal">
    <w:name w:val="endnote text"/>
    <w:basedOn w:val="Normal"/>
    <w:link w:val="TextonotaalfinalCar"/>
    <w:uiPriority w:val="99"/>
    <w:semiHidden/>
    <w:unhideWhenUsed/>
    <w:rsid w:val="002902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9024E"/>
    <w:rPr>
      <w:sz w:val="20"/>
      <w:szCs w:val="20"/>
    </w:rPr>
  </w:style>
  <w:style w:type="character" w:styleId="Refdenotaalfinal">
    <w:name w:val="endnote reference"/>
    <w:basedOn w:val="Fuentedeprrafopredeter"/>
    <w:uiPriority w:val="99"/>
    <w:semiHidden/>
    <w:unhideWhenUsed/>
    <w:rsid w:val="002902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13790">
      <w:bodyDiv w:val="1"/>
      <w:marLeft w:val="0"/>
      <w:marRight w:val="0"/>
      <w:marTop w:val="0"/>
      <w:marBottom w:val="0"/>
      <w:divBdr>
        <w:top w:val="none" w:sz="0" w:space="0" w:color="auto"/>
        <w:left w:val="none" w:sz="0" w:space="0" w:color="auto"/>
        <w:bottom w:val="none" w:sz="0" w:space="0" w:color="auto"/>
        <w:right w:val="none" w:sz="0" w:space="0" w:color="auto"/>
      </w:divBdr>
      <w:divsChild>
        <w:div w:id="1906142886">
          <w:marLeft w:val="0"/>
          <w:marRight w:val="0"/>
          <w:marTop w:val="0"/>
          <w:marBottom w:val="0"/>
          <w:divBdr>
            <w:top w:val="none" w:sz="0" w:space="0" w:color="auto"/>
            <w:left w:val="none" w:sz="0" w:space="0" w:color="auto"/>
            <w:bottom w:val="none" w:sz="0" w:space="0" w:color="auto"/>
            <w:right w:val="none" w:sz="0" w:space="0" w:color="auto"/>
          </w:divBdr>
        </w:div>
        <w:div w:id="620918948">
          <w:marLeft w:val="0"/>
          <w:marRight w:val="0"/>
          <w:marTop w:val="0"/>
          <w:marBottom w:val="0"/>
          <w:divBdr>
            <w:top w:val="none" w:sz="0" w:space="0" w:color="auto"/>
            <w:left w:val="none" w:sz="0" w:space="0" w:color="auto"/>
            <w:bottom w:val="none" w:sz="0" w:space="0" w:color="auto"/>
            <w:right w:val="none" w:sz="0" w:space="0" w:color="auto"/>
          </w:divBdr>
          <w:divsChild>
            <w:div w:id="1907111083">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212184054">
          <w:marLeft w:val="0"/>
          <w:marRight w:val="0"/>
          <w:marTop w:val="0"/>
          <w:marBottom w:val="0"/>
          <w:divBdr>
            <w:top w:val="none" w:sz="0" w:space="0" w:color="auto"/>
            <w:left w:val="none" w:sz="0" w:space="0" w:color="auto"/>
            <w:bottom w:val="none" w:sz="0" w:space="0" w:color="auto"/>
            <w:right w:val="none" w:sz="0" w:space="0" w:color="auto"/>
          </w:divBdr>
        </w:div>
      </w:divsChild>
    </w:div>
    <w:div w:id="159588605">
      <w:bodyDiv w:val="1"/>
      <w:marLeft w:val="0"/>
      <w:marRight w:val="0"/>
      <w:marTop w:val="0"/>
      <w:marBottom w:val="0"/>
      <w:divBdr>
        <w:top w:val="none" w:sz="0" w:space="0" w:color="auto"/>
        <w:left w:val="none" w:sz="0" w:space="0" w:color="auto"/>
        <w:bottom w:val="none" w:sz="0" w:space="0" w:color="auto"/>
        <w:right w:val="none" w:sz="0" w:space="0" w:color="auto"/>
      </w:divBdr>
    </w:div>
    <w:div w:id="240413368">
      <w:bodyDiv w:val="1"/>
      <w:marLeft w:val="0"/>
      <w:marRight w:val="0"/>
      <w:marTop w:val="0"/>
      <w:marBottom w:val="0"/>
      <w:divBdr>
        <w:top w:val="none" w:sz="0" w:space="0" w:color="auto"/>
        <w:left w:val="none" w:sz="0" w:space="0" w:color="auto"/>
        <w:bottom w:val="none" w:sz="0" w:space="0" w:color="auto"/>
        <w:right w:val="none" w:sz="0" w:space="0" w:color="auto"/>
      </w:divBdr>
    </w:div>
    <w:div w:id="255941324">
      <w:bodyDiv w:val="1"/>
      <w:marLeft w:val="0"/>
      <w:marRight w:val="0"/>
      <w:marTop w:val="0"/>
      <w:marBottom w:val="0"/>
      <w:divBdr>
        <w:top w:val="none" w:sz="0" w:space="0" w:color="auto"/>
        <w:left w:val="none" w:sz="0" w:space="0" w:color="auto"/>
        <w:bottom w:val="none" w:sz="0" w:space="0" w:color="auto"/>
        <w:right w:val="none" w:sz="0" w:space="0" w:color="auto"/>
      </w:divBdr>
    </w:div>
    <w:div w:id="306516838">
      <w:bodyDiv w:val="1"/>
      <w:marLeft w:val="0"/>
      <w:marRight w:val="0"/>
      <w:marTop w:val="0"/>
      <w:marBottom w:val="0"/>
      <w:divBdr>
        <w:top w:val="none" w:sz="0" w:space="0" w:color="auto"/>
        <w:left w:val="none" w:sz="0" w:space="0" w:color="auto"/>
        <w:bottom w:val="none" w:sz="0" w:space="0" w:color="auto"/>
        <w:right w:val="none" w:sz="0" w:space="0" w:color="auto"/>
      </w:divBdr>
    </w:div>
    <w:div w:id="325013807">
      <w:bodyDiv w:val="1"/>
      <w:marLeft w:val="0"/>
      <w:marRight w:val="0"/>
      <w:marTop w:val="0"/>
      <w:marBottom w:val="0"/>
      <w:divBdr>
        <w:top w:val="none" w:sz="0" w:space="0" w:color="auto"/>
        <w:left w:val="none" w:sz="0" w:space="0" w:color="auto"/>
        <w:bottom w:val="none" w:sz="0" w:space="0" w:color="auto"/>
        <w:right w:val="none" w:sz="0" w:space="0" w:color="auto"/>
      </w:divBdr>
    </w:div>
    <w:div w:id="325523774">
      <w:bodyDiv w:val="1"/>
      <w:marLeft w:val="0"/>
      <w:marRight w:val="0"/>
      <w:marTop w:val="0"/>
      <w:marBottom w:val="0"/>
      <w:divBdr>
        <w:top w:val="none" w:sz="0" w:space="0" w:color="auto"/>
        <w:left w:val="none" w:sz="0" w:space="0" w:color="auto"/>
        <w:bottom w:val="none" w:sz="0" w:space="0" w:color="auto"/>
        <w:right w:val="none" w:sz="0" w:space="0" w:color="auto"/>
      </w:divBdr>
      <w:divsChild>
        <w:div w:id="2024435226">
          <w:marLeft w:val="0"/>
          <w:marRight w:val="0"/>
          <w:marTop w:val="0"/>
          <w:marBottom w:val="0"/>
          <w:divBdr>
            <w:top w:val="none" w:sz="0" w:space="0" w:color="auto"/>
            <w:left w:val="none" w:sz="0" w:space="0" w:color="auto"/>
            <w:bottom w:val="none" w:sz="0" w:space="0" w:color="auto"/>
            <w:right w:val="none" w:sz="0" w:space="0" w:color="auto"/>
          </w:divBdr>
        </w:div>
        <w:div w:id="2138991230">
          <w:marLeft w:val="0"/>
          <w:marRight w:val="0"/>
          <w:marTop w:val="0"/>
          <w:marBottom w:val="0"/>
          <w:divBdr>
            <w:top w:val="none" w:sz="0" w:space="0" w:color="auto"/>
            <w:left w:val="none" w:sz="0" w:space="0" w:color="auto"/>
            <w:bottom w:val="none" w:sz="0" w:space="0" w:color="auto"/>
            <w:right w:val="none" w:sz="0" w:space="0" w:color="auto"/>
          </w:divBdr>
        </w:div>
      </w:divsChild>
    </w:div>
    <w:div w:id="429735805">
      <w:bodyDiv w:val="1"/>
      <w:marLeft w:val="0"/>
      <w:marRight w:val="0"/>
      <w:marTop w:val="0"/>
      <w:marBottom w:val="0"/>
      <w:divBdr>
        <w:top w:val="none" w:sz="0" w:space="0" w:color="auto"/>
        <w:left w:val="none" w:sz="0" w:space="0" w:color="auto"/>
        <w:bottom w:val="none" w:sz="0" w:space="0" w:color="auto"/>
        <w:right w:val="none" w:sz="0" w:space="0" w:color="auto"/>
      </w:divBdr>
    </w:div>
    <w:div w:id="509494429">
      <w:bodyDiv w:val="1"/>
      <w:marLeft w:val="0"/>
      <w:marRight w:val="0"/>
      <w:marTop w:val="0"/>
      <w:marBottom w:val="0"/>
      <w:divBdr>
        <w:top w:val="none" w:sz="0" w:space="0" w:color="auto"/>
        <w:left w:val="none" w:sz="0" w:space="0" w:color="auto"/>
        <w:bottom w:val="none" w:sz="0" w:space="0" w:color="auto"/>
        <w:right w:val="none" w:sz="0" w:space="0" w:color="auto"/>
      </w:divBdr>
    </w:div>
    <w:div w:id="876039558">
      <w:bodyDiv w:val="1"/>
      <w:marLeft w:val="0"/>
      <w:marRight w:val="0"/>
      <w:marTop w:val="0"/>
      <w:marBottom w:val="0"/>
      <w:divBdr>
        <w:top w:val="none" w:sz="0" w:space="0" w:color="auto"/>
        <w:left w:val="none" w:sz="0" w:space="0" w:color="auto"/>
        <w:bottom w:val="none" w:sz="0" w:space="0" w:color="auto"/>
        <w:right w:val="none" w:sz="0" w:space="0" w:color="auto"/>
      </w:divBdr>
    </w:div>
    <w:div w:id="1255436246">
      <w:bodyDiv w:val="1"/>
      <w:marLeft w:val="0"/>
      <w:marRight w:val="0"/>
      <w:marTop w:val="0"/>
      <w:marBottom w:val="0"/>
      <w:divBdr>
        <w:top w:val="none" w:sz="0" w:space="0" w:color="auto"/>
        <w:left w:val="none" w:sz="0" w:space="0" w:color="auto"/>
        <w:bottom w:val="none" w:sz="0" w:space="0" w:color="auto"/>
        <w:right w:val="none" w:sz="0" w:space="0" w:color="auto"/>
      </w:divBdr>
    </w:div>
    <w:div w:id="1308128367">
      <w:bodyDiv w:val="1"/>
      <w:marLeft w:val="0"/>
      <w:marRight w:val="0"/>
      <w:marTop w:val="0"/>
      <w:marBottom w:val="0"/>
      <w:divBdr>
        <w:top w:val="none" w:sz="0" w:space="0" w:color="auto"/>
        <w:left w:val="none" w:sz="0" w:space="0" w:color="auto"/>
        <w:bottom w:val="none" w:sz="0" w:space="0" w:color="auto"/>
        <w:right w:val="none" w:sz="0" w:space="0" w:color="auto"/>
      </w:divBdr>
      <w:divsChild>
        <w:div w:id="1608350267">
          <w:marLeft w:val="0"/>
          <w:marRight w:val="0"/>
          <w:marTop w:val="0"/>
          <w:marBottom w:val="0"/>
          <w:divBdr>
            <w:top w:val="none" w:sz="0" w:space="0" w:color="auto"/>
            <w:left w:val="none" w:sz="0" w:space="0" w:color="auto"/>
            <w:bottom w:val="none" w:sz="0" w:space="0" w:color="auto"/>
            <w:right w:val="none" w:sz="0" w:space="0" w:color="auto"/>
          </w:divBdr>
          <w:divsChild>
            <w:div w:id="1337414835">
              <w:marLeft w:val="150"/>
              <w:marRight w:val="0"/>
              <w:marTop w:val="0"/>
              <w:marBottom w:val="0"/>
              <w:divBdr>
                <w:top w:val="none" w:sz="0" w:space="0" w:color="auto"/>
                <w:left w:val="none" w:sz="0" w:space="0" w:color="auto"/>
                <w:bottom w:val="none" w:sz="0" w:space="0" w:color="auto"/>
                <w:right w:val="none" w:sz="0" w:space="0" w:color="auto"/>
              </w:divBdr>
              <w:divsChild>
                <w:div w:id="1021199874">
                  <w:marLeft w:val="0"/>
                  <w:marRight w:val="0"/>
                  <w:marTop w:val="0"/>
                  <w:marBottom w:val="0"/>
                  <w:divBdr>
                    <w:top w:val="none" w:sz="0" w:space="0" w:color="auto"/>
                    <w:left w:val="none" w:sz="0" w:space="0" w:color="auto"/>
                    <w:bottom w:val="none" w:sz="0" w:space="0" w:color="auto"/>
                    <w:right w:val="none" w:sz="0" w:space="0" w:color="auto"/>
                  </w:divBdr>
                  <w:divsChild>
                    <w:div w:id="1777747480">
                      <w:marLeft w:val="0"/>
                      <w:marRight w:val="0"/>
                      <w:marTop w:val="0"/>
                      <w:marBottom w:val="0"/>
                      <w:divBdr>
                        <w:top w:val="none" w:sz="0" w:space="0" w:color="auto"/>
                        <w:left w:val="none" w:sz="0" w:space="0" w:color="auto"/>
                        <w:bottom w:val="none" w:sz="0" w:space="0" w:color="auto"/>
                        <w:right w:val="none" w:sz="0" w:space="0" w:color="auto"/>
                      </w:divBdr>
                      <w:divsChild>
                        <w:div w:id="466900774">
                          <w:marLeft w:val="0"/>
                          <w:marRight w:val="0"/>
                          <w:marTop w:val="0"/>
                          <w:marBottom w:val="0"/>
                          <w:divBdr>
                            <w:top w:val="none" w:sz="0" w:space="0" w:color="auto"/>
                            <w:left w:val="none" w:sz="0" w:space="0" w:color="auto"/>
                            <w:bottom w:val="none" w:sz="0" w:space="0" w:color="auto"/>
                            <w:right w:val="none" w:sz="0" w:space="0" w:color="auto"/>
                          </w:divBdr>
                          <w:divsChild>
                            <w:div w:id="1320227845">
                              <w:marLeft w:val="0"/>
                              <w:marRight w:val="0"/>
                              <w:marTop w:val="0"/>
                              <w:marBottom w:val="0"/>
                              <w:divBdr>
                                <w:top w:val="none" w:sz="0" w:space="0" w:color="auto"/>
                                <w:left w:val="none" w:sz="0" w:space="0" w:color="auto"/>
                                <w:bottom w:val="none" w:sz="0" w:space="0" w:color="auto"/>
                                <w:right w:val="none" w:sz="0" w:space="0" w:color="auto"/>
                              </w:divBdr>
                              <w:divsChild>
                                <w:div w:id="555312701">
                                  <w:marLeft w:val="0"/>
                                  <w:marRight w:val="0"/>
                                  <w:marTop w:val="0"/>
                                  <w:marBottom w:val="0"/>
                                  <w:divBdr>
                                    <w:top w:val="none" w:sz="0" w:space="0" w:color="auto"/>
                                    <w:left w:val="none" w:sz="0" w:space="0" w:color="auto"/>
                                    <w:bottom w:val="none" w:sz="0" w:space="0" w:color="auto"/>
                                    <w:right w:val="none" w:sz="0" w:space="0" w:color="auto"/>
                                  </w:divBdr>
                                  <w:divsChild>
                                    <w:div w:id="1784375798">
                                      <w:marLeft w:val="0"/>
                                      <w:marRight w:val="0"/>
                                      <w:marTop w:val="0"/>
                                      <w:marBottom w:val="0"/>
                                      <w:divBdr>
                                        <w:top w:val="none" w:sz="0" w:space="0" w:color="auto"/>
                                        <w:left w:val="none" w:sz="0" w:space="0" w:color="auto"/>
                                        <w:bottom w:val="none" w:sz="0" w:space="0" w:color="auto"/>
                                        <w:right w:val="none" w:sz="0" w:space="0" w:color="auto"/>
                                      </w:divBdr>
                                    </w:div>
                                    <w:div w:id="782770316">
                                      <w:marLeft w:val="0"/>
                                      <w:marRight w:val="0"/>
                                      <w:marTop w:val="0"/>
                                      <w:marBottom w:val="0"/>
                                      <w:divBdr>
                                        <w:top w:val="none" w:sz="0" w:space="0" w:color="auto"/>
                                        <w:left w:val="none" w:sz="0" w:space="0" w:color="auto"/>
                                        <w:bottom w:val="none" w:sz="0" w:space="0" w:color="auto"/>
                                        <w:right w:val="none" w:sz="0" w:space="0" w:color="auto"/>
                                      </w:divBdr>
                                    </w:div>
                                    <w:div w:id="740327001">
                                      <w:marLeft w:val="0"/>
                                      <w:marRight w:val="0"/>
                                      <w:marTop w:val="0"/>
                                      <w:marBottom w:val="0"/>
                                      <w:divBdr>
                                        <w:top w:val="none" w:sz="0" w:space="0" w:color="auto"/>
                                        <w:left w:val="none" w:sz="0" w:space="0" w:color="auto"/>
                                        <w:bottom w:val="none" w:sz="0" w:space="0" w:color="auto"/>
                                        <w:right w:val="none" w:sz="0" w:space="0" w:color="auto"/>
                                      </w:divBdr>
                                    </w:div>
                                    <w:div w:id="1081102098">
                                      <w:marLeft w:val="0"/>
                                      <w:marRight w:val="0"/>
                                      <w:marTop w:val="0"/>
                                      <w:marBottom w:val="0"/>
                                      <w:divBdr>
                                        <w:top w:val="none" w:sz="0" w:space="0" w:color="auto"/>
                                        <w:left w:val="none" w:sz="0" w:space="0" w:color="auto"/>
                                        <w:bottom w:val="none" w:sz="0" w:space="0" w:color="auto"/>
                                        <w:right w:val="none" w:sz="0" w:space="0" w:color="auto"/>
                                      </w:divBdr>
                                    </w:div>
                                    <w:div w:id="950548955">
                                      <w:marLeft w:val="0"/>
                                      <w:marRight w:val="0"/>
                                      <w:marTop w:val="0"/>
                                      <w:marBottom w:val="0"/>
                                      <w:divBdr>
                                        <w:top w:val="none" w:sz="0" w:space="0" w:color="auto"/>
                                        <w:left w:val="none" w:sz="0" w:space="0" w:color="auto"/>
                                        <w:bottom w:val="none" w:sz="0" w:space="0" w:color="auto"/>
                                        <w:right w:val="none" w:sz="0" w:space="0" w:color="auto"/>
                                      </w:divBdr>
                                      <w:divsChild>
                                        <w:div w:id="2032795888">
                                          <w:marLeft w:val="0"/>
                                          <w:marRight w:val="0"/>
                                          <w:marTop w:val="0"/>
                                          <w:marBottom w:val="0"/>
                                          <w:divBdr>
                                            <w:top w:val="single" w:sz="6" w:space="8" w:color="CCCCCC"/>
                                            <w:left w:val="single" w:sz="6" w:space="8" w:color="CCCCCC"/>
                                            <w:bottom w:val="single" w:sz="6" w:space="8" w:color="CCCCCC"/>
                                            <w:right w:val="single" w:sz="6" w:space="8" w:color="CCCCCC"/>
                                          </w:divBdr>
                                        </w:div>
                                        <w:div w:id="1914125394">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sChild>
        </w:div>
      </w:divsChild>
    </w:div>
    <w:div w:id="1343967185">
      <w:bodyDiv w:val="1"/>
      <w:marLeft w:val="0"/>
      <w:marRight w:val="0"/>
      <w:marTop w:val="0"/>
      <w:marBottom w:val="0"/>
      <w:divBdr>
        <w:top w:val="none" w:sz="0" w:space="0" w:color="auto"/>
        <w:left w:val="none" w:sz="0" w:space="0" w:color="auto"/>
        <w:bottom w:val="none" w:sz="0" w:space="0" w:color="auto"/>
        <w:right w:val="none" w:sz="0" w:space="0" w:color="auto"/>
      </w:divBdr>
    </w:div>
    <w:div w:id="1466193003">
      <w:bodyDiv w:val="1"/>
      <w:marLeft w:val="0"/>
      <w:marRight w:val="0"/>
      <w:marTop w:val="0"/>
      <w:marBottom w:val="0"/>
      <w:divBdr>
        <w:top w:val="none" w:sz="0" w:space="0" w:color="auto"/>
        <w:left w:val="none" w:sz="0" w:space="0" w:color="auto"/>
        <w:bottom w:val="none" w:sz="0" w:space="0" w:color="auto"/>
        <w:right w:val="none" w:sz="0" w:space="0" w:color="auto"/>
      </w:divBdr>
    </w:div>
    <w:div w:id="1486627417">
      <w:bodyDiv w:val="1"/>
      <w:marLeft w:val="0"/>
      <w:marRight w:val="0"/>
      <w:marTop w:val="0"/>
      <w:marBottom w:val="0"/>
      <w:divBdr>
        <w:top w:val="none" w:sz="0" w:space="0" w:color="auto"/>
        <w:left w:val="none" w:sz="0" w:space="0" w:color="auto"/>
        <w:bottom w:val="none" w:sz="0" w:space="0" w:color="auto"/>
        <w:right w:val="none" w:sz="0" w:space="0" w:color="auto"/>
      </w:divBdr>
    </w:div>
    <w:div w:id="1574005993">
      <w:bodyDiv w:val="1"/>
      <w:marLeft w:val="0"/>
      <w:marRight w:val="0"/>
      <w:marTop w:val="0"/>
      <w:marBottom w:val="0"/>
      <w:divBdr>
        <w:top w:val="none" w:sz="0" w:space="0" w:color="auto"/>
        <w:left w:val="none" w:sz="0" w:space="0" w:color="auto"/>
        <w:bottom w:val="none" w:sz="0" w:space="0" w:color="auto"/>
        <w:right w:val="none" w:sz="0" w:space="0" w:color="auto"/>
      </w:divBdr>
      <w:divsChild>
        <w:div w:id="2096129460">
          <w:marLeft w:val="0"/>
          <w:marRight w:val="0"/>
          <w:marTop w:val="0"/>
          <w:marBottom w:val="0"/>
          <w:divBdr>
            <w:top w:val="none" w:sz="0" w:space="0" w:color="auto"/>
            <w:left w:val="none" w:sz="0" w:space="0" w:color="auto"/>
            <w:bottom w:val="none" w:sz="0" w:space="0" w:color="auto"/>
            <w:right w:val="none" w:sz="0" w:space="0" w:color="auto"/>
          </w:divBdr>
        </w:div>
      </w:divsChild>
    </w:div>
    <w:div w:id="1599554820">
      <w:bodyDiv w:val="1"/>
      <w:marLeft w:val="0"/>
      <w:marRight w:val="0"/>
      <w:marTop w:val="0"/>
      <w:marBottom w:val="0"/>
      <w:divBdr>
        <w:top w:val="none" w:sz="0" w:space="0" w:color="auto"/>
        <w:left w:val="none" w:sz="0" w:space="0" w:color="auto"/>
        <w:bottom w:val="none" w:sz="0" w:space="0" w:color="auto"/>
        <w:right w:val="none" w:sz="0" w:space="0" w:color="auto"/>
      </w:divBdr>
    </w:div>
    <w:div w:id="1733312690">
      <w:bodyDiv w:val="1"/>
      <w:marLeft w:val="0"/>
      <w:marRight w:val="0"/>
      <w:marTop w:val="0"/>
      <w:marBottom w:val="0"/>
      <w:divBdr>
        <w:top w:val="none" w:sz="0" w:space="0" w:color="auto"/>
        <w:left w:val="none" w:sz="0" w:space="0" w:color="auto"/>
        <w:bottom w:val="none" w:sz="0" w:space="0" w:color="auto"/>
        <w:right w:val="none" w:sz="0" w:space="0" w:color="auto"/>
      </w:divBdr>
    </w:div>
    <w:div w:id="1757170492">
      <w:bodyDiv w:val="1"/>
      <w:marLeft w:val="0"/>
      <w:marRight w:val="0"/>
      <w:marTop w:val="0"/>
      <w:marBottom w:val="0"/>
      <w:divBdr>
        <w:top w:val="none" w:sz="0" w:space="0" w:color="auto"/>
        <w:left w:val="none" w:sz="0" w:space="0" w:color="auto"/>
        <w:bottom w:val="none" w:sz="0" w:space="0" w:color="auto"/>
        <w:right w:val="none" w:sz="0" w:space="0" w:color="auto"/>
      </w:divBdr>
    </w:div>
    <w:div w:id="1870752134">
      <w:bodyDiv w:val="1"/>
      <w:marLeft w:val="0"/>
      <w:marRight w:val="0"/>
      <w:marTop w:val="0"/>
      <w:marBottom w:val="0"/>
      <w:divBdr>
        <w:top w:val="none" w:sz="0" w:space="0" w:color="auto"/>
        <w:left w:val="none" w:sz="0" w:space="0" w:color="auto"/>
        <w:bottom w:val="none" w:sz="0" w:space="0" w:color="auto"/>
        <w:right w:val="none" w:sz="0" w:space="0" w:color="auto"/>
      </w:divBdr>
    </w:div>
    <w:div w:id="1893080805">
      <w:bodyDiv w:val="1"/>
      <w:marLeft w:val="0"/>
      <w:marRight w:val="0"/>
      <w:marTop w:val="0"/>
      <w:marBottom w:val="0"/>
      <w:divBdr>
        <w:top w:val="none" w:sz="0" w:space="0" w:color="auto"/>
        <w:left w:val="none" w:sz="0" w:space="0" w:color="auto"/>
        <w:bottom w:val="none" w:sz="0" w:space="0" w:color="auto"/>
        <w:right w:val="none" w:sz="0" w:space="0" w:color="auto"/>
      </w:divBdr>
    </w:div>
    <w:div w:id="2033991973">
      <w:bodyDiv w:val="1"/>
      <w:marLeft w:val="0"/>
      <w:marRight w:val="0"/>
      <w:marTop w:val="0"/>
      <w:marBottom w:val="0"/>
      <w:divBdr>
        <w:top w:val="none" w:sz="0" w:space="0" w:color="auto"/>
        <w:left w:val="none" w:sz="0" w:space="0" w:color="auto"/>
        <w:bottom w:val="none" w:sz="0" w:space="0" w:color="auto"/>
        <w:right w:val="none" w:sz="0" w:space="0" w:color="auto"/>
      </w:divBdr>
    </w:div>
    <w:div w:id="210167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F1966-F38E-41F0-845C-19648A1DE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2032</Words>
  <Characters>11176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mcorrea</dc:creator>
  <cp:lastModifiedBy>Teresita Sandoval Lagos</cp:lastModifiedBy>
  <cp:revision>2</cp:revision>
  <cp:lastPrinted>2019-06-11T19:17:00Z</cp:lastPrinted>
  <dcterms:created xsi:type="dcterms:W3CDTF">2019-06-11T19:18:00Z</dcterms:created>
  <dcterms:modified xsi:type="dcterms:W3CDTF">2019-06-11T19:18:00Z</dcterms:modified>
</cp:coreProperties>
</file>