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4AB2" w14:textId="77777777" w:rsidR="00B55BFB" w:rsidRDefault="005F1441" w:rsidP="005F1441">
      <w:pPr>
        <w:jc w:val="center"/>
        <w:rPr>
          <w:rFonts w:ascii="Arial Nova Cond" w:hAnsi="Arial Nova Cond"/>
          <w:b/>
          <w:bCs/>
          <w:sz w:val="20"/>
          <w:szCs w:val="20"/>
        </w:rPr>
      </w:pPr>
      <w:r w:rsidRPr="00E85788">
        <w:rPr>
          <w:rFonts w:ascii="Arial Nova Cond" w:hAnsi="Arial Nova Cond"/>
          <w:b/>
          <w:bCs/>
          <w:sz w:val="20"/>
          <w:szCs w:val="20"/>
        </w:rPr>
        <w:t>Minuta “Comentarios al PDL ‘Seguro de Salud Clase Media’ – Mensaje 066-367 (Boletín N° 12.662)”</w:t>
      </w:r>
    </w:p>
    <w:p w14:paraId="062474CC" w14:textId="77777777" w:rsidR="00A327D6" w:rsidRPr="00A327D6" w:rsidRDefault="00A327D6" w:rsidP="005F1441">
      <w:pPr>
        <w:jc w:val="center"/>
        <w:rPr>
          <w:rFonts w:ascii="Arial Nova Cond" w:hAnsi="Arial Nova Cond"/>
          <w:b/>
          <w:bCs/>
          <w:i/>
          <w:iCs/>
          <w:sz w:val="20"/>
          <w:szCs w:val="20"/>
        </w:rPr>
      </w:pPr>
      <w:r w:rsidRPr="00A327D6">
        <w:rPr>
          <w:rFonts w:ascii="Arial Nova Cond" w:hAnsi="Arial Nova Cond"/>
          <w:b/>
          <w:bCs/>
          <w:i/>
          <w:iCs/>
          <w:sz w:val="20"/>
          <w:szCs w:val="20"/>
        </w:rPr>
        <w:t>David Debrott Sánchez</w:t>
      </w:r>
    </w:p>
    <w:p w14:paraId="3FA15953" w14:textId="77777777" w:rsidR="005F1441" w:rsidRPr="005F1441" w:rsidRDefault="005F1441" w:rsidP="005F1441">
      <w:pPr>
        <w:jc w:val="both"/>
        <w:rPr>
          <w:rFonts w:ascii="Arial Nova Cond" w:hAnsi="Arial Nova Cond"/>
          <w:i/>
          <w:iCs/>
          <w:sz w:val="20"/>
          <w:szCs w:val="20"/>
        </w:rPr>
      </w:pPr>
      <w:r w:rsidRPr="005F1441">
        <w:rPr>
          <w:rFonts w:ascii="Arial Nova Cond" w:hAnsi="Arial Nova Cond"/>
          <w:i/>
          <w:iCs/>
          <w:sz w:val="20"/>
          <w:szCs w:val="20"/>
        </w:rPr>
        <w:t>Aspectos generales</w:t>
      </w:r>
    </w:p>
    <w:p w14:paraId="2BECAD3B" w14:textId="77777777" w:rsidR="005F1441" w:rsidRDefault="005F1441"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A228AE">
        <w:rPr>
          <w:rFonts w:ascii="Arial Nova Cond" w:hAnsi="Arial Nova Cond"/>
          <w:b/>
          <w:bCs/>
          <w:sz w:val="20"/>
          <w:szCs w:val="20"/>
        </w:rPr>
        <w:t>Visión parcial</w:t>
      </w:r>
      <w:r>
        <w:rPr>
          <w:rFonts w:ascii="Arial Nova Cond" w:hAnsi="Arial Nova Cond"/>
          <w:sz w:val="20"/>
          <w:szCs w:val="20"/>
        </w:rPr>
        <w:t>: El PDL aborda un aspecto particular del financiamiento (alto costo), de manera aislada de otros componentes de reforma (modernización FONASA, reforma ISAPRES) por lo que no garantiza coherencia. Se tramita fraccionadamente al interior del Legislativo.</w:t>
      </w:r>
    </w:p>
    <w:p w14:paraId="31BE6F60" w14:textId="77777777" w:rsidR="005F1441" w:rsidRDefault="005F1441"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A228AE">
        <w:rPr>
          <w:rFonts w:ascii="Arial Nova Cond" w:hAnsi="Arial Nova Cond"/>
          <w:b/>
          <w:bCs/>
          <w:sz w:val="20"/>
          <w:szCs w:val="20"/>
        </w:rPr>
        <w:t>Profundiza la segmentación</w:t>
      </w:r>
      <w:r>
        <w:rPr>
          <w:rFonts w:ascii="Arial Nova Cond" w:hAnsi="Arial Nova Cond"/>
          <w:sz w:val="20"/>
          <w:szCs w:val="20"/>
        </w:rPr>
        <w:t xml:space="preserve">: </w:t>
      </w:r>
      <w:r w:rsidR="00A228AE">
        <w:rPr>
          <w:rFonts w:ascii="Arial Nova Cond" w:hAnsi="Arial Nova Cond"/>
          <w:sz w:val="20"/>
          <w:szCs w:val="20"/>
        </w:rPr>
        <w:t>Al interior del FONASA, profundiza las diferencias entre grupos de población (clase media) que tiene o no acceso a este beneficio financiero.</w:t>
      </w:r>
    </w:p>
    <w:p w14:paraId="71C37F87" w14:textId="77777777" w:rsidR="00E85788" w:rsidRPr="00E85788" w:rsidRDefault="00A228AE" w:rsidP="00E85788">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A228AE">
        <w:rPr>
          <w:rFonts w:ascii="Arial Nova Cond" w:hAnsi="Arial Nova Cond"/>
          <w:b/>
          <w:bCs/>
          <w:sz w:val="20"/>
          <w:szCs w:val="20"/>
        </w:rPr>
        <w:t>Establece incentivos inadecuados</w:t>
      </w:r>
      <w:r>
        <w:rPr>
          <w:rFonts w:ascii="Arial Nova Cond" w:hAnsi="Arial Nova Cond"/>
          <w:sz w:val="20"/>
          <w:szCs w:val="20"/>
        </w:rPr>
        <w:t>: Tiende a fortalecer la libre elección (MLE), en lugar de fortalecer la atención institucional pública (MAI) y el modelo de atención en redes integradas. Además, privilegia el subsidio al sector privado.</w:t>
      </w:r>
    </w:p>
    <w:p w14:paraId="74004D15" w14:textId="77777777" w:rsidR="00A228AE" w:rsidRDefault="00A228AE" w:rsidP="00A228AE">
      <w:pPr>
        <w:spacing w:after="120" w:line="240" w:lineRule="auto"/>
        <w:jc w:val="both"/>
        <w:rPr>
          <w:rFonts w:ascii="Arial Nova Cond" w:hAnsi="Arial Nova Cond"/>
          <w:sz w:val="20"/>
          <w:szCs w:val="20"/>
        </w:rPr>
      </w:pPr>
      <w:r>
        <w:rPr>
          <w:rFonts w:ascii="Arial Nova Cond" w:hAnsi="Arial Nova Cond"/>
          <w:sz w:val="20"/>
          <w:szCs w:val="20"/>
        </w:rPr>
        <w:t>Aspectos específicos</w:t>
      </w:r>
    </w:p>
    <w:p w14:paraId="4A9A2653" w14:textId="77777777" w:rsidR="00A228AE" w:rsidRDefault="00F83776"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F83776">
        <w:rPr>
          <w:rFonts w:ascii="Arial Nova Cond" w:hAnsi="Arial Nova Cond"/>
          <w:b/>
          <w:bCs/>
          <w:sz w:val="20"/>
          <w:szCs w:val="20"/>
        </w:rPr>
        <w:t>MLE, baja cobertura y modelo incorrecto</w:t>
      </w:r>
      <w:r>
        <w:rPr>
          <w:rFonts w:ascii="Arial Nova Cond" w:hAnsi="Arial Nova Cond"/>
          <w:sz w:val="20"/>
          <w:szCs w:val="20"/>
        </w:rPr>
        <w:t>: El PDL se fundamenta en que la MLE tiene baja cobertura financiera, especialmente por las prestaciones donde se permite pago directo al prestador privado, además del copago (cuentas “excedibles”). Sin embargo, el PDL no resuelve ese problema, lo que podría ayudar a la regulación de precios del mercado privado (a través del poder de compra de FONASA). Pero</w:t>
      </w:r>
      <w:r w:rsidR="0088755D">
        <w:rPr>
          <w:rFonts w:ascii="Arial Nova Cond" w:hAnsi="Arial Nova Cond"/>
          <w:sz w:val="20"/>
          <w:szCs w:val="20"/>
        </w:rPr>
        <w:t>,</w:t>
      </w:r>
      <w:r>
        <w:rPr>
          <w:rFonts w:ascii="Arial Nova Cond" w:hAnsi="Arial Nova Cond"/>
          <w:sz w:val="20"/>
          <w:szCs w:val="20"/>
        </w:rPr>
        <w:t xml:space="preserve"> además, mantiene en la MLE el modelo incorrecto en que FONASA juega un rol pasivo.</w:t>
      </w:r>
    </w:p>
    <w:p w14:paraId="16BD1632" w14:textId="77777777" w:rsidR="00CE575E" w:rsidRDefault="00AD2F4B"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AD2F4B">
        <w:rPr>
          <w:rFonts w:ascii="Arial Nova Cond" w:hAnsi="Arial Nova Cond"/>
          <w:b/>
          <w:bCs/>
          <w:sz w:val="20"/>
          <w:szCs w:val="20"/>
        </w:rPr>
        <w:t xml:space="preserve">No hay equivalencia entre el </w:t>
      </w:r>
      <w:r>
        <w:rPr>
          <w:rFonts w:ascii="Arial Nova Cond" w:hAnsi="Arial Nova Cond"/>
          <w:b/>
          <w:bCs/>
          <w:sz w:val="20"/>
          <w:szCs w:val="20"/>
        </w:rPr>
        <w:t xml:space="preserve">gasto </w:t>
      </w:r>
      <w:r w:rsidRPr="00AD2F4B">
        <w:rPr>
          <w:rFonts w:ascii="Arial Nova Cond" w:hAnsi="Arial Nova Cond"/>
          <w:b/>
          <w:bCs/>
          <w:sz w:val="20"/>
          <w:szCs w:val="20"/>
        </w:rPr>
        <w:t xml:space="preserve">MLE público </w:t>
      </w:r>
      <w:r w:rsidRPr="00AD2F4B">
        <w:rPr>
          <w:rFonts w:ascii="Arial Nova Cond" w:hAnsi="Arial Nova Cond"/>
          <w:b/>
          <w:bCs/>
          <w:i/>
          <w:iCs/>
          <w:sz w:val="20"/>
          <w:szCs w:val="20"/>
        </w:rPr>
        <w:t>versus</w:t>
      </w:r>
      <w:r w:rsidRPr="00AD2F4B">
        <w:rPr>
          <w:rFonts w:ascii="Arial Nova Cond" w:hAnsi="Arial Nova Cond"/>
          <w:b/>
          <w:bCs/>
          <w:sz w:val="20"/>
          <w:szCs w:val="20"/>
        </w:rPr>
        <w:t xml:space="preserve"> privado</w:t>
      </w:r>
      <w:r>
        <w:rPr>
          <w:rFonts w:ascii="Arial Nova Cond" w:hAnsi="Arial Nova Cond"/>
          <w:sz w:val="20"/>
          <w:szCs w:val="20"/>
        </w:rPr>
        <w:t>: El PDL plantea que este seguro estará disponible en prestadores públicos y privados. Sin embargo, la realidad es que la MLE ocurre en mas de un 95% en el sector privado.</w:t>
      </w:r>
    </w:p>
    <w:p w14:paraId="6F09400C" w14:textId="77777777" w:rsidR="00AD2F4B" w:rsidRDefault="001D4034"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Pr>
          <w:rFonts w:ascii="Arial Nova Cond" w:hAnsi="Arial Nova Cond"/>
          <w:b/>
          <w:bCs/>
          <w:sz w:val="20"/>
          <w:szCs w:val="20"/>
        </w:rPr>
        <w:t>Mecanismo de pago</w:t>
      </w:r>
      <w:r>
        <w:rPr>
          <w:rFonts w:ascii="Arial Nova Cond" w:hAnsi="Arial Nova Cond"/>
          <w:sz w:val="20"/>
          <w:szCs w:val="20"/>
        </w:rPr>
        <w:t xml:space="preserve">: El PDL propone para el seguro un mecanismo de pago correcto (compra de “resultados” en salud </w:t>
      </w:r>
      <w:r w:rsidRPr="001D4034">
        <w:rPr>
          <w:rFonts w:ascii="Arial Nova Cond" w:hAnsi="Arial Nova Cond"/>
          <w:i/>
          <w:iCs/>
          <w:sz w:val="20"/>
          <w:szCs w:val="20"/>
        </w:rPr>
        <w:t>versus</w:t>
      </w:r>
      <w:r>
        <w:rPr>
          <w:rFonts w:ascii="Arial Nova Cond" w:hAnsi="Arial Nova Cond"/>
          <w:sz w:val="20"/>
          <w:szCs w:val="20"/>
        </w:rPr>
        <w:t xml:space="preserve"> “pago por prestaciones”), pero este mecanismo debería ser utilizado en todas las compras que hace FONASA, ya que esto es muy marginal.</w:t>
      </w:r>
    </w:p>
    <w:p w14:paraId="50EAFBED" w14:textId="77777777" w:rsidR="001D4034" w:rsidRDefault="00D91713"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Pr>
          <w:rFonts w:ascii="Arial Nova Cond" w:hAnsi="Arial Nova Cond"/>
          <w:b/>
          <w:bCs/>
          <w:sz w:val="20"/>
          <w:szCs w:val="20"/>
        </w:rPr>
        <w:t>Umbral de costo asegurado</w:t>
      </w:r>
      <w:r>
        <w:rPr>
          <w:rFonts w:ascii="Arial Nova Cond" w:hAnsi="Arial Nova Cond"/>
          <w:sz w:val="20"/>
          <w:szCs w:val="20"/>
        </w:rPr>
        <w:t>: El PDL propone utilizar el mismo umbral de la Ley Ricarte Soto para definir el nivel de gasto a partir del cual FONASA asume el total del gasto y el beneficiario deja de pagar. Ese umbral está definido para tratamientos de muy alto costo (pe: 500 millones por caso por año)</w:t>
      </w:r>
      <w:r w:rsidR="00BE3B41">
        <w:rPr>
          <w:rFonts w:ascii="Arial Nova Cond" w:hAnsi="Arial Nova Cond"/>
          <w:sz w:val="20"/>
          <w:szCs w:val="20"/>
        </w:rPr>
        <w:t>, por lo que no es razonable usar el mismo criterio.</w:t>
      </w:r>
    </w:p>
    <w:p w14:paraId="61CF9EC5" w14:textId="77777777" w:rsidR="00FD0EAD" w:rsidRDefault="005F0B84"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Pr>
          <w:rFonts w:ascii="Arial Nova Cond" w:hAnsi="Arial Nova Cond"/>
          <w:b/>
          <w:bCs/>
          <w:sz w:val="20"/>
          <w:szCs w:val="20"/>
        </w:rPr>
        <w:t>Pago por GRD</w:t>
      </w:r>
      <w:r w:rsidRPr="005F0B84">
        <w:rPr>
          <w:rFonts w:ascii="Arial Nova Cond" w:hAnsi="Arial Nova Cond"/>
          <w:sz w:val="20"/>
          <w:szCs w:val="20"/>
        </w:rPr>
        <w:t xml:space="preserve">: </w:t>
      </w:r>
      <w:r>
        <w:rPr>
          <w:rFonts w:ascii="Arial Nova Cond" w:hAnsi="Arial Nova Cond"/>
          <w:sz w:val="20"/>
          <w:szCs w:val="20"/>
        </w:rPr>
        <w:t>Los casos que serán considerados a partir del umbral, generalmente serán de muy alto costo. Esos casos generalmente son valores atípicos (outliers), por lo que el uso de los GRD es poco recomendado.</w:t>
      </w:r>
    </w:p>
    <w:p w14:paraId="750AC614" w14:textId="77777777" w:rsidR="005F0B84" w:rsidRDefault="005F0B84"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Pr>
          <w:rFonts w:ascii="Arial Nova Cond" w:hAnsi="Arial Nova Cond"/>
          <w:b/>
          <w:bCs/>
          <w:sz w:val="20"/>
          <w:szCs w:val="20"/>
        </w:rPr>
        <w:t>Incertidumbre en la priorización (reversibilidad)</w:t>
      </w:r>
      <w:r w:rsidRPr="005F0B84">
        <w:rPr>
          <w:rFonts w:ascii="Arial Nova Cond" w:hAnsi="Arial Nova Cond"/>
          <w:sz w:val="20"/>
          <w:szCs w:val="20"/>
        </w:rPr>
        <w:t>:</w:t>
      </w:r>
      <w:r>
        <w:rPr>
          <w:rFonts w:ascii="Arial Nova Cond" w:hAnsi="Arial Nova Cond"/>
          <w:sz w:val="20"/>
          <w:szCs w:val="20"/>
        </w:rPr>
        <w:t xml:space="preserve"> Plantea que FONASA, año a año, propongo el listado de intervenciones y tratamientos, junto a la Ley de Presupuestos, sin asegurar que la protección se mantenga en el tiempo. </w:t>
      </w:r>
      <w:r w:rsidR="00EB3FEC">
        <w:rPr>
          <w:rFonts w:ascii="Arial Nova Cond" w:hAnsi="Arial Nova Cond"/>
          <w:sz w:val="20"/>
          <w:szCs w:val="20"/>
        </w:rPr>
        <w:t>No se observa el rol del MINSAL como ente rector del sistema.</w:t>
      </w:r>
      <w:r w:rsidR="00F62E9D">
        <w:rPr>
          <w:rFonts w:ascii="Arial Nova Cond" w:hAnsi="Arial Nova Cond"/>
          <w:sz w:val="20"/>
          <w:szCs w:val="20"/>
        </w:rPr>
        <w:t xml:space="preserve"> Interviene FONASA y DIPRES.</w:t>
      </w:r>
    </w:p>
    <w:p w14:paraId="395DD74A" w14:textId="77777777" w:rsidR="00EB3FEC" w:rsidRDefault="00F62E9D"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F62E9D">
        <w:rPr>
          <w:rFonts w:ascii="Arial Nova Cond" w:hAnsi="Arial Nova Cond"/>
          <w:b/>
          <w:bCs/>
          <w:sz w:val="20"/>
          <w:szCs w:val="20"/>
        </w:rPr>
        <w:t>Fortalece la lógica de deducibles</w:t>
      </w:r>
      <w:r>
        <w:rPr>
          <w:rFonts w:ascii="Arial Nova Cond" w:hAnsi="Arial Nova Cond"/>
          <w:sz w:val="20"/>
          <w:szCs w:val="20"/>
        </w:rPr>
        <w:t xml:space="preserve">: </w:t>
      </w:r>
      <w:r w:rsidR="00E211E8">
        <w:rPr>
          <w:rFonts w:ascii="Arial Nova Cond" w:hAnsi="Arial Nova Cond"/>
          <w:sz w:val="20"/>
          <w:szCs w:val="20"/>
        </w:rPr>
        <w:t>Señala que siempre, una parte del costo lo pagará el beneficiario</w:t>
      </w:r>
      <w:r w:rsidR="00290DA9">
        <w:rPr>
          <w:rFonts w:ascii="Arial Nova Cond" w:hAnsi="Arial Nova Cond"/>
          <w:sz w:val="20"/>
          <w:szCs w:val="20"/>
        </w:rPr>
        <w:t xml:space="preserve"> (40% </w:t>
      </w:r>
      <w:r w:rsidR="004D5DD8">
        <w:rPr>
          <w:rFonts w:ascii="Arial Nova Cond" w:hAnsi="Arial Nova Cond"/>
          <w:sz w:val="20"/>
          <w:szCs w:val="20"/>
        </w:rPr>
        <w:t xml:space="preserve">de 12 </w:t>
      </w:r>
      <w:r w:rsidR="00290DA9">
        <w:rPr>
          <w:rFonts w:ascii="Arial Nova Cond" w:hAnsi="Arial Nova Cond"/>
          <w:sz w:val="20"/>
          <w:szCs w:val="20"/>
        </w:rPr>
        <w:t>ingreso</w:t>
      </w:r>
      <w:r w:rsidR="004D5DD8">
        <w:rPr>
          <w:rFonts w:ascii="Arial Nova Cond" w:hAnsi="Arial Nova Cond"/>
          <w:sz w:val="20"/>
          <w:szCs w:val="20"/>
        </w:rPr>
        <w:t>s mínimos mensuales</w:t>
      </w:r>
      <w:r w:rsidR="00290DA9">
        <w:rPr>
          <w:rFonts w:ascii="Arial Nova Cond" w:hAnsi="Arial Nova Cond"/>
          <w:sz w:val="20"/>
          <w:szCs w:val="20"/>
        </w:rPr>
        <w:t>)</w:t>
      </w:r>
      <w:r w:rsidR="00E211E8">
        <w:rPr>
          <w:rFonts w:ascii="Arial Nova Cond" w:hAnsi="Arial Nova Cond"/>
          <w:sz w:val="20"/>
          <w:szCs w:val="20"/>
        </w:rPr>
        <w:t>. Eso no es compatible con el tipo de prestaciones en las que el problema de riesgo moral es descartable.</w:t>
      </w:r>
    </w:p>
    <w:p w14:paraId="60190C9F" w14:textId="77777777" w:rsidR="00E211E8" w:rsidRDefault="00B86026" w:rsidP="00A228AE">
      <w:pPr>
        <w:pStyle w:val="Prrafodelista"/>
        <w:numPr>
          <w:ilvl w:val="0"/>
          <w:numId w:val="1"/>
        </w:numPr>
        <w:spacing w:after="120" w:line="240" w:lineRule="auto"/>
        <w:ind w:left="357" w:hanging="357"/>
        <w:contextualSpacing w:val="0"/>
        <w:jc w:val="both"/>
        <w:rPr>
          <w:rFonts w:ascii="Arial Nova Cond" w:hAnsi="Arial Nova Cond"/>
          <w:sz w:val="20"/>
          <w:szCs w:val="20"/>
        </w:rPr>
      </w:pPr>
      <w:r w:rsidRPr="00B86026">
        <w:rPr>
          <w:rFonts w:ascii="Arial Nova Cond" w:hAnsi="Arial Nova Cond"/>
          <w:b/>
          <w:bCs/>
          <w:sz w:val="20"/>
          <w:szCs w:val="20"/>
        </w:rPr>
        <w:t>No aporta recursos adicionales</w:t>
      </w:r>
      <w:r>
        <w:rPr>
          <w:rFonts w:ascii="Arial Nova Cond" w:hAnsi="Arial Nova Cond"/>
          <w:sz w:val="20"/>
          <w:szCs w:val="20"/>
        </w:rPr>
        <w:t>: El PDL no compromete recursos adicionales para el sector público.</w:t>
      </w:r>
    </w:p>
    <w:p w14:paraId="3C060854" w14:textId="77777777" w:rsidR="00B86026" w:rsidRPr="00B86026" w:rsidRDefault="00B86026" w:rsidP="00B86026">
      <w:pPr>
        <w:spacing w:after="120" w:line="240" w:lineRule="auto"/>
        <w:jc w:val="both"/>
        <w:rPr>
          <w:rFonts w:ascii="Arial Nova Cond" w:hAnsi="Arial Nova Cond"/>
          <w:sz w:val="20"/>
          <w:szCs w:val="20"/>
        </w:rPr>
      </w:pPr>
      <w:r w:rsidRPr="00B86026">
        <w:rPr>
          <w:rFonts w:ascii="Arial Nova Cond" w:hAnsi="Arial Nova Cond"/>
          <w:sz w:val="20"/>
          <w:szCs w:val="20"/>
        </w:rPr>
        <w:t>Informe financiero</w:t>
      </w:r>
    </w:p>
    <w:p w14:paraId="4E7A4CD1" w14:textId="637B14F0" w:rsidR="00B86026" w:rsidRDefault="00605498" w:rsidP="00B86026">
      <w:pPr>
        <w:pStyle w:val="Prrafodelista"/>
        <w:numPr>
          <w:ilvl w:val="0"/>
          <w:numId w:val="1"/>
        </w:numPr>
        <w:spacing w:after="120" w:line="240" w:lineRule="auto"/>
        <w:jc w:val="both"/>
        <w:rPr>
          <w:rFonts w:ascii="Arial Nova Cond" w:hAnsi="Arial Nova Cond"/>
          <w:sz w:val="20"/>
          <w:szCs w:val="20"/>
        </w:rPr>
      </w:pPr>
      <w:r w:rsidRPr="00605498">
        <w:rPr>
          <w:rFonts w:ascii="Arial Nova Cond" w:hAnsi="Arial Nova Cond"/>
          <w:b/>
          <w:bCs/>
          <w:sz w:val="20"/>
          <w:szCs w:val="20"/>
        </w:rPr>
        <w:t>El presupuesto incremental es marginal</w:t>
      </w:r>
      <w:r>
        <w:rPr>
          <w:rFonts w:ascii="Arial Nova Cond" w:hAnsi="Arial Nova Cond"/>
          <w:sz w:val="20"/>
          <w:szCs w:val="20"/>
        </w:rPr>
        <w:t>: Los $19.560 millones (Año 1) representan un 0,22% del presupuesto total del sector 2019. Una parte de ello son prestaciones de listas de espera quirúrgicas no GES (LEQ), que deberían resolverse en MAI y que ahora pasarían a MLE.</w:t>
      </w:r>
    </w:p>
    <w:p w14:paraId="585F10F3" w14:textId="7F558137" w:rsidR="00395252" w:rsidRPr="00395252" w:rsidRDefault="00395252" w:rsidP="00395252">
      <w:pPr>
        <w:spacing w:after="120" w:line="240" w:lineRule="auto"/>
        <w:jc w:val="right"/>
        <w:rPr>
          <w:rFonts w:ascii="Arial Nova Cond" w:hAnsi="Arial Nova Cond"/>
          <w:sz w:val="20"/>
          <w:szCs w:val="20"/>
        </w:rPr>
      </w:pPr>
      <w:bookmarkStart w:id="0" w:name="_GoBack"/>
      <w:bookmarkEnd w:id="0"/>
      <w:r>
        <w:rPr>
          <w:rFonts w:ascii="Arial Nova Cond" w:hAnsi="Arial Nova Cond"/>
          <w:sz w:val="20"/>
          <w:szCs w:val="20"/>
        </w:rPr>
        <w:t>Santiago-Valparaíso, 13 de Agosto de 2019.</w:t>
      </w:r>
    </w:p>
    <w:sectPr w:rsidR="00395252" w:rsidRPr="003952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A2C4" w14:textId="77777777" w:rsidR="008D37F5" w:rsidRDefault="008D37F5" w:rsidP="00A327D6">
      <w:pPr>
        <w:spacing w:after="0" w:line="240" w:lineRule="auto"/>
      </w:pPr>
      <w:r>
        <w:separator/>
      </w:r>
    </w:p>
  </w:endnote>
  <w:endnote w:type="continuationSeparator" w:id="0">
    <w:p w14:paraId="42D880EC" w14:textId="77777777" w:rsidR="008D37F5" w:rsidRDefault="008D37F5" w:rsidP="00A3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21CE7" w14:textId="77777777" w:rsidR="008D37F5" w:rsidRDefault="008D37F5" w:rsidP="00A327D6">
      <w:pPr>
        <w:spacing w:after="0" w:line="240" w:lineRule="auto"/>
      </w:pPr>
      <w:r>
        <w:separator/>
      </w:r>
    </w:p>
  </w:footnote>
  <w:footnote w:type="continuationSeparator" w:id="0">
    <w:p w14:paraId="30034795" w14:textId="77777777" w:rsidR="008D37F5" w:rsidRDefault="008D37F5" w:rsidP="00A32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A15"/>
    <w:multiLevelType w:val="hybridMultilevel"/>
    <w:tmpl w:val="89FAD0C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6"/>
    <w:rsid w:val="001558AC"/>
    <w:rsid w:val="001D4034"/>
    <w:rsid w:val="00255AC6"/>
    <w:rsid w:val="00290DA9"/>
    <w:rsid w:val="002C2FEE"/>
    <w:rsid w:val="00395252"/>
    <w:rsid w:val="004D5DD8"/>
    <w:rsid w:val="005F0B84"/>
    <w:rsid w:val="005F1441"/>
    <w:rsid w:val="00605498"/>
    <w:rsid w:val="006472DC"/>
    <w:rsid w:val="006B4F7D"/>
    <w:rsid w:val="0076788D"/>
    <w:rsid w:val="0088755D"/>
    <w:rsid w:val="008D37F5"/>
    <w:rsid w:val="00A228AE"/>
    <w:rsid w:val="00A327D6"/>
    <w:rsid w:val="00AD2F4B"/>
    <w:rsid w:val="00B55BFB"/>
    <w:rsid w:val="00B86026"/>
    <w:rsid w:val="00BE3B41"/>
    <w:rsid w:val="00CE575E"/>
    <w:rsid w:val="00D3198B"/>
    <w:rsid w:val="00D91713"/>
    <w:rsid w:val="00E211E8"/>
    <w:rsid w:val="00E76B48"/>
    <w:rsid w:val="00E85788"/>
    <w:rsid w:val="00EB3FEC"/>
    <w:rsid w:val="00F62E9D"/>
    <w:rsid w:val="00F83776"/>
    <w:rsid w:val="00FD0EAD"/>
    <w:rsid w:val="00FE74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1604"/>
  <w15:chartTrackingRefBased/>
  <w15:docId w15:val="{DE7F0AD5-0297-4745-AF69-C95924F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1441"/>
    <w:pPr>
      <w:ind w:left="720"/>
      <w:contextualSpacing/>
    </w:pPr>
  </w:style>
  <w:style w:type="paragraph" w:styleId="Textonotapie">
    <w:name w:val="footnote text"/>
    <w:basedOn w:val="Normal"/>
    <w:link w:val="TextonotapieCar"/>
    <w:uiPriority w:val="99"/>
    <w:semiHidden/>
    <w:unhideWhenUsed/>
    <w:rsid w:val="00A327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7D6"/>
    <w:rPr>
      <w:sz w:val="20"/>
      <w:szCs w:val="20"/>
    </w:rPr>
  </w:style>
  <w:style w:type="character" w:styleId="Refdenotaalpie">
    <w:name w:val="footnote reference"/>
    <w:basedOn w:val="Fuentedeprrafopredeter"/>
    <w:uiPriority w:val="99"/>
    <w:semiHidden/>
    <w:unhideWhenUsed/>
    <w:rsid w:val="00A32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2B99-1A66-4B50-9235-82F1DF5A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Debrott Sanchez</dc:creator>
  <cp:keywords/>
  <dc:description/>
  <cp:lastModifiedBy>Silvia Rivas Mena</cp:lastModifiedBy>
  <cp:revision>2</cp:revision>
  <cp:lastPrinted>2019-08-13T14:00:00Z</cp:lastPrinted>
  <dcterms:created xsi:type="dcterms:W3CDTF">2019-08-13T16:51:00Z</dcterms:created>
  <dcterms:modified xsi:type="dcterms:W3CDTF">2019-08-13T16:51:00Z</dcterms:modified>
</cp:coreProperties>
</file>