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5292"/>
        <w:gridCol w:w="5292"/>
        <w:gridCol w:w="5292"/>
      </w:tblGrid>
      <w:tr w:rsidR="00260319" w:rsidRPr="00237A02" w14:paraId="43B5076B" w14:textId="77777777" w:rsidTr="00E9755F">
        <w:trPr>
          <w:tblHeader/>
        </w:trPr>
        <w:tc>
          <w:tcPr>
            <w:tcW w:w="5292" w:type="dxa"/>
            <w:shd w:val="pct10" w:color="auto" w:fill="auto"/>
          </w:tcPr>
          <w:p w14:paraId="34AA7574" w14:textId="6933B793" w:rsidR="00260319" w:rsidRPr="00237A02" w:rsidRDefault="00480E5F" w:rsidP="00480E5F">
            <w:pPr>
              <w:jc w:val="center"/>
              <w:rPr>
                <w:b/>
                <w:sz w:val="20"/>
                <w:szCs w:val="20"/>
              </w:rPr>
            </w:pPr>
            <w:bookmarkStart w:id="0" w:name="_GoBack"/>
            <w:bookmarkEnd w:id="0"/>
            <w:r w:rsidRPr="00237A02">
              <w:rPr>
                <w:b/>
                <w:sz w:val="20"/>
                <w:szCs w:val="20"/>
              </w:rPr>
              <w:t xml:space="preserve">Ley </w:t>
            </w:r>
            <w:r w:rsidR="00E9755F" w:rsidRPr="00237A02">
              <w:rPr>
                <w:b/>
                <w:sz w:val="20"/>
                <w:szCs w:val="20"/>
              </w:rPr>
              <w:t>N°</w:t>
            </w:r>
            <w:r w:rsidRPr="00237A02">
              <w:rPr>
                <w:b/>
                <w:sz w:val="20"/>
                <w:szCs w:val="20"/>
              </w:rPr>
              <w:t>20</w:t>
            </w:r>
            <w:r w:rsidR="00E9755F" w:rsidRPr="00237A02">
              <w:rPr>
                <w:b/>
                <w:sz w:val="20"/>
                <w:szCs w:val="20"/>
              </w:rPr>
              <w:t>.</w:t>
            </w:r>
            <w:r w:rsidRPr="00237A02">
              <w:rPr>
                <w:b/>
                <w:sz w:val="20"/>
                <w:szCs w:val="20"/>
              </w:rPr>
              <w:t>606</w:t>
            </w:r>
          </w:p>
        </w:tc>
        <w:tc>
          <w:tcPr>
            <w:tcW w:w="5292" w:type="dxa"/>
            <w:shd w:val="pct10" w:color="auto" w:fill="auto"/>
          </w:tcPr>
          <w:p w14:paraId="0A68BE08" w14:textId="253B1013" w:rsidR="00260319" w:rsidRPr="00237A02" w:rsidRDefault="00480E5F" w:rsidP="00480E5F">
            <w:pPr>
              <w:jc w:val="center"/>
              <w:rPr>
                <w:b/>
                <w:sz w:val="20"/>
                <w:szCs w:val="20"/>
              </w:rPr>
            </w:pPr>
            <w:r w:rsidRPr="00237A02">
              <w:rPr>
                <w:b/>
                <w:sz w:val="20"/>
                <w:szCs w:val="20"/>
              </w:rPr>
              <w:t>Proyecto de ley</w:t>
            </w:r>
          </w:p>
        </w:tc>
        <w:tc>
          <w:tcPr>
            <w:tcW w:w="5292" w:type="dxa"/>
            <w:shd w:val="pct10" w:color="auto" w:fill="auto"/>
          </w:tcPr>
          <w:p w14:paraId="6F4EF90B" w14:textId="77777777" w:rsidR="00260319" w:rsidRPr="00237A02" w:rsidRDefault="00260319" w:rsidP="00480E5F">
            <w:pPr>
              <w:jc w:val="center"/>
              <w:rPr>
                <w:b/>
                <w:sz w:val="20"/>
                <w:szCs w:val="20"/>
              </w:rPr>
            </w:pPr>
          </w:p>
        </w:tc>
      </w:tr>
      <w:tr w:rsidR="00260319" w:rsidRPr="00237A02" w14:paraId="1EE199CC" w14:textId="77777777" w:rsidTr="00260319">
        <w:tc>
          <w:tcPr>
            <w:tcW w:w="5292" w:type="dxa"/>
          </w:tcPr>
          <w:p w14:paraId="2F299954" w14:textId="77777777" w:rsidR="00C03F1F" w:rsidRPr="00237A02" w:rsidRDefault="00C03F1F" w:rsidP="00C03F1F">
            <w:pPr>
              <w:rPr>
                <w:sz w:val="20"/>
                <w:szCs w:val="20"/>
              </w:rPr>
            </w:pPr>
            <w:r w:rsidRPr="00237A02">
              <w:rPr>
                <w:sz w:val="20"/>
                <w:szCs w:val="20"/>
              </w:rPr>
              <w:t>Artículo 2°.- Los fabricantes, productores, distribuidores e importadores de alimentos deberán informar en sus envases o etiquetas los ingredientes que contienen, incluyendo todos sus aditivos expresados en orden decreciente de proporciones, y su información nutricional, expresada en composición porcentual, unidad de peso o bajo la nomenclatura que indiquen los reglamentos vigentes.</w:t>
            </w:r>
          </w:p>
          <w:p w14:paraId="69EBE97B" w14:textId="77777777" w:rsidR="00C03F1F" w:rsidRPr="00237A02" w:rsidRDefault="00C03F1F" w:rsidP="00C03F1F">
            <w:pPr>
              <w:rPr>
                <w:sz w:val="20"/>
                <w:szCs w:val="20"/>
              </w:rPr>
            </w:pPr>
          </w:p>
          <w:p w14:paraId="1A68F5D8" w14:textId="77777777" w:rsidR="00C03F1F" w:rsidRPr="00237A02" w:rsidRDefault="00C03F1F" w:rsidP="00C03F1F">
            <w:pPr>
              <w:rPr>
                <w:sz w:val="20"/>
                <w:szCs w:val="20"/>
              </w:rPr>
            </w:pPr>
            <w:r w:rsidRPr="00237A02">
              <w:rPr>
                <w:sz w:val="20"/>
                <w:szCs w:val="20"/>
              </w:rPr>
              <w:t xml:space="preserve">     Será el Ministerio de Salud, mediante el Reglamento Sanitario de los Alimentos, el que determinará, además, la forma, tamaño, colores, proporción, características y contenido de las etiquetas y rótulos nutricionales de los alimentos, velando especialmente por que la información que en ellos se contenga sea visible y de fácil comprensión por la población.</w:t>
            </w:r>
          </w:p>
          <w:p w14:paraId="47AC10FF" w14:textId="77777777" w:rsidR="00C03F1F" w:rsidRPr="00237A02" w:rsidRDefault="00C03F1F" w:rsidP="00C03F1F">
            <w:pPr>
              <w:rPr>
                <w:sz w:val="20"/>
                <w:szCs w:val="20"/>
              </w:rPr>
            </w:pPr>
          </w:p>
          <w:p w14:paraId="12EA676B" w14:textId="0E2FEBBE" w:rsidR="00260319" w:rsidRPr="00237A02" w:rsidRDefault="00C03F1F" w:rsidP="00C03F1F">
            <w:pPr>
              <w:rPr>
                <w:sz w:val="20"/>
                <w:szCs w:val="20"/>
              </w:rPr>
            </w:pPr>
            <w:r w:rsidRPr="00237A02">
              <w:rPr>
                <w:sz w:val="20"/>
                <w:szCs w:val="20"/>
              </w:rPr>
              <w:t xml:space="preserve">     El etiquetado a que se refiere el inciso anterior deberá contemplar, al menos, los contenidos de energía, azúcares, sodio, grasas saturadas </w:t>
            </w:r>
            <w:r w:rsidR="00084FAD" w:rsidRPr="00237A02">
              <w:rPr>
                <w:b/>
                <w:sz w:val="20"/>
                <w:szCs w:val="20"/>
              </w:rPr>
              <w:t xml:space="preserve">(*) </w:t>
            </w:r>
            <w:r w:rsidRPr="00237A02">
              <w:rPr>
                <w:sz w:val="20"/>
                <w:szCs w:val="20"/>
              </w:rPr>
              <w:t>y los demás que el Ministerio de Salud determine.</w:t>
            </w:r>
          </w:p>
        </w:tc>
        <w:tc>
          <w:tcPr>
            <w:tcW w:w="5292" w:type="dxa"/>
          </w:tcPr>
          <w:p w14:paraId="458E3BA7" w14:textId="3AD9F9A7" w:rsidR="00260319" w:rsidRPr="00237A02" w:rsidRDefault="00084FAD" w:rsidP="00260319">
            <w:pPr>
              <w:rPr>
                <w:sz w:val="20"/>
                <w:szCs w:val="20"/>
              </w:rPr>
            </w:pPr>
            <w:r w:rsidRPr="00237A02">
              <w:rPr>
                <w:sz w:val="20"/>
                <w:szCs w:val="20"/>
              </w:rPr>
              <w:t>Artículo 1:</w:t>
            </w:r>
            <w:r w:rsidR="00D02553" w:rsidRPr="00237A02">
              <w:rPr>
                <w:sz w:val="20"/>
                <w:szCs w:val="20"/>
              </w:rPr>
              <w:t xml:space="preserve"> Modifíca</w:t>
            </w:r>
            <w:r w:rsidR="00260319" w:rsidRPr="00237A02">
              <w:rPr>
                <w:sz w:val="20"/>
                <w:szCs w:val="20"/>
              </w:rPr>
              <w:t>se la ley 20.606 sobre Composición Nutricional de los Alimentos y su Publicidad:</w:t>
            </w:r>
          </w:p>
          <w:p w14:paraId="4C97A28F" w14:textId="77777777" w:rsidR="00084FAD" w:rsidRPr="00237A02" w:rsidRDefault="00084FAD" w:rsidP="00260319">
            <w:pPr>
              <w:rPr>
                <w:sz w:val="20"/>
                <w:szCs w:val="20"/>
              </w:rPr>
            </w:pPr>
          </w:p>
          <w:p w14:paraId="718C4B3F" w14:textId="77777777" w:rsidR="00084FAD" w:rsidRPr="00237A02" w:rsidRDefault="00084FAD" w:rsidP="00260319">
            <w:pPr>
              <w:rPr>
                <w:sz w:val="20"/>
                <w:szCs w:val="20"/>
              </w:rPr>
            </w:pPr>
          </w:p>
          <w:p w14:paraId="7FC469FA" w14:textId="77777777" w:rsidR="00084FAD" w:rsidRPr="00237A02" w:rsidRDefault="00084FAD" w:rsidP="00260319">
            <w:pPr>
              <w:rPr>
                <w:sz w:val="20"/>
                <w:szCs w:val="20"/>
              </w:rPr>
            </w:pPr>
          </w:p>
          <w:p w14:paraId="31E8435C" w14:textId="77777777" w:rsidR="00084FAD" w:rsidRPr="00237A02" w:rsidRDefault="00084FAD" w:rsidP="00260319">
            <w:pPr>
              <w:rPr>
                <w:sz w:val="20"/>
                <w:szCs w:val="20"/>
              </w:rPr>
            </w:pPr>
          </w:p>
          <w:p w14:paraId="4D2121BE" w14:textId="77777777" w:rsidR="00084FAD" w:rsidRPr="00237A02" w:rsidRDefault="00084FAD" w:rsidP="00260319">
            <w:pPr>
              <w:rPr>
                <w:sz w:val="20"/>
                <w:szCs w:val="20"/>
              </w:rPr>
            </w:pPr>
          </w:p>
          <w:p w14:paraId="73BA64E5" w14:textId="77777777" w:rsidR="00084FAD" w:rsidRPr="00237A02" w:rsidRDefault="00084FAD" w:rsidP="00260319">
            <w:pPr>
              <w:rPr>
                <w:sz w:val="20"/>
                <w:szCs w:val="20"/>
              </w:rPr>
            </w:pPr>
          </w:p>
          <w:p w14:paraId="147CE3E8" w14:textId="77777777" w:rsidR="00084FAD" w:rsidRPr="00237A02" w:rsidRDefault="00084FAD" w:rsidP="00260319">
            <w:pPr>
              <w:rPr>
                <w:sz w:val="20"/>
                <w:szCs w:val="20"/>
              </w:rPr>
            </w:pPr>
          </w:p>
          <w:p w14:paraId="41D2CBB1" w14:textId="77777777" w:rsidR="00084FAD" w:rsidRPr="00237A02" w:rsidRDefault="00084FAD" w:rsidP="00260319">
            <w:pPr>
              <w:rPr>
                <w:sz w:val="20"/>
                <w:szCs w:val="20"/>
              </w:rPr>
            </w:pPr>
          </w:p>
          <w:p w14:paraId="36857E03" w14:textId="77777777" w:rsidR="00084FAD" w:rsidRPr="00237A02" w:rsidRDefault="00084FAD" w:rsidP="00260319">
            <w:pPr>
              <w:rPr>
                <w:sz w:val="20"/>
                <w:szCs w:val="20"/>
              </w:rPr>
            </w:pPr>
          </w:p>
          <w:p w14:paraId="68EC64EA" w14:textId="77777777" w:rsidR="00084FAD" w:rsidRPr="00237A02" w:rsidRDefault="00084FAD" w:rsidP="00260319">
            <w:pPr>
              <w:rPr>
                <w:sz w:val="20"/>
                <w:szCs w:val="20"/>
              </w:rPr>
            </w:pPr>
          </w:p>
          <w:p w14:paraId="71D01379" w14:textId="77777777" w:rsidR="00084FAD" w:rsidRPr="00237A02" w:rsidRDefault="00084FAD" w:rsidP="00260319">
            <w:pPr>
              <w:rPr>
                <w:sz w:val="20"/>
                <w:szCs w:val="20"/>
              </w:rPr>
            </w:pPr>
          </w:p>
          <w:p w14:paraId="56ABB57C" w14:textId="77777777" w:rsidR="00084FAD" w:rsidRPr="00237A02" w:rsidRDefault="00084FAD" w:rsidP="00260319">
            <w:pPr>
              <w:rPr>
                <w:sz w:val="20"/>
                <w:szCs w:val="20"/>
              </w:rPr>
            </w:pPr>
          </w:p>
          <w:p w14:paraId="550222BD" w14:textId="77777777" w:rsidR="00084FAD" w:rsidRPr="00237A02" w:rsidRDefault="00084FAD" w:rsidP="00260319">
            <w:pPr>
              <w:rPr>
                <w:sz w:val="20"/>
                <w:szCs w:val="20"/>
              </w:rPr>
            </w:pPr>
          </w:p>
          <w:p w14:paraId="5F739071" w14:textId="707999F2" w:rsidR="00084FAD" w:rsidRPr="00237A02" w:rsidRDefault="00260319" w:rsidP="00260319">
            <w:pPr>
              <w:rPr>
                <w:sz w:val="20"/>
                <w:szCs w:val="20"/>
              </w:rPr>
            </w:pPr>
            <w:r w:rsidRPr="00237A02">
              <w:rPr>
                <w:sz w:val="20"/>
                <w:szCs w:val="20"/>
              </w:rPr>
              <w:t>1.- Para incorporar en el inciso 3 del artículo 2° de la ley 20.606, luego de la frase “grasas saturadas” la siguiente palabra:</w:t>
            </w:r>
            <w:r w:rsidR="00084FAD" w:rsidRPr="00237A02">
              <w:rPr>
                <w:sz w:val="20"/>
                <w:szCs w:val="20"/>
              </w:rPr>
              <w:t xml:space="preserve"> </w:t>
            </w:r>
          </w:p>
          <w:p w14:paraId="1831E129" w14:textId="77777777" w:rsidR="00084FAD" w:rsidRPr="00237A02" w:rsidRDefault="00084FAD" w:rsidP="00260319">
            <w:pPr>
              <w:rPr>
                <w:sz w:val="20"/>
                <w:szCs w:val="20"/>
              </w:rPr>
            </w:pPr>
          </w:p>
          <w:p w14:paraId="3A6F3F20" w14:textId="6F7936A2" w:rsidR="00260319" w:rsidRPr="00237A02" w:rsidRDefault="00260319" w:rsidP="00260319">
            <w:pPr>
              <w:rPr>
                <w:sz w:val="20"/>
                <w:szCs w:val="20"/>
              </w:rPr>
            </w:pPr>
            <w:r w:rsidRPr="00237A02">
              <w:rPr>
                <w:sz w:val="20"/>
                <w:szCs w:val="20"/>
              </w:rPr>
              <w:t>“, gluten”</w:t>
            </w:r>
            <w:r w:rsidR="00084FAD" w:rsidRPr="00237A02">
              <w:rPr>
                <w:sz w:val="20"/>
                <w:szCs w:val="20"/>
              </w:rPr>
              <w:t>.</w:t>
            </w:r>
          </w:p>
          <w:p w14:paraId="0F1B3A5C" w14:textId="77777777" w:rsidR="00260319" w:rsidRPr="00237A02" w:rsidRDefault="00260319" w:rsidP="00084FAD">
            <w:pPr>
              <w:rPr>
                <w:sz w:val="20"/>
                <w:szCs w:val="20"/>
              </w:rPr>
            </w:pPr>
          </w:p>
        </w:tc>
        <w:tc>
          <w:tcPr>
            <w:tcW w:w="5292" w:type="dxa"/>
          </w:tcPr>
          <w:p w14:paraId="229A920C" w14:textId="77777777" w:rsidR="00260319" w:rsidRPr="00237A02" w:rsidRDefault="00260319">
            <w:pPr>
              <w:rPr>
                <w:sz w:val="20"/>
                <w:szCs w:val="20"/>
              </w:rPr>
            </w:pPr>
          </w:p>
        </w:tc>
      </w:tr>
      <w:tr w:rsidR="00260319" w:rsidRPr="00237A02" w14:paraId="7C493F0A" w14:textId="77777777" w:rsidTr="00260319">
        <w:tc>
          <w:tcPr>
            <w:tcW w:w="5292" w:type="dxa"/>
          </w:tcPr>
          <w:p w14:paraId="16DF9AC1" w14:textId="77777777" w:rsidR="00C03F1F" w:rsidRPr="00237A02" w:rsidRDefault="00C03F1F" w:rsidP="00C03F1F">
            <w:pPr>
              <w:rPr>
                <w:sz w:val="20"/>
                <w:szCs w:val="20"/>
              </w:rPr>
            </w:pPr>
            <w:r w:rsidRPr="00237A02">
              <w:rPr>
                <w:sz w:val="20"/>
                <w:szCs w:val="20"/>
              </w:rPr>
              <w:t>Artículo 4°.- Los establecimientos de educación parvularia, básica y media del país deberán incluir, en todos sus niveles y modalidades de enseñanza, actividades didácticas y físicas que contribuyan a desarrollar hábitos de una alimentación saludable y adviertan sobre los efectos nocivos de una dieta excesiva en grasas, grasas saturadas, azúcares, sodio y otros nutrientes cuyo consumo en determinadas cantidades o volúmenes pueden representar un riesgo para la salud.</w:t>
            </w:r>
          </w:p>
          <w:p w14:paraId="1B40ACB7" w14:textId="77777777" w:rsidR="00C03F1F" w:rsidRPr="00237A02" w:rsidRDefault="00C03F1F" w:rsidP="00C03F1F">
            <w:pPr>
              <w:rPr>
                <w:sz w:val="20"/>
                <w:szCs w:val="20"/>
              </w:rPr>
            </w:pPr>
          </w:p>
          <w:p w14:paraId="62ED58B7" w14:textId="77777777" w:rsidR="00084FAD" w:rsidRPr="00237A02" w:rsidRDefault="00084FAD" w:rsidP="00C03F1F">
            <w:pPr>
              <w:rPr>
                <w:sz w:val="20"/>
                <w:szCs w:val="20"/>
              </w:rPr>
            </w:pPr>
          </w:p>
          <w:p w14:paraId="46715C5E" w14:textId="77777777" w:rsidR="00084FAD" w:rsidRPr="00237A02" w:rsidRDefault="00084FAD" w:rsidP="00C03F1F">
            <w:pPr>
              <w:rPr>
                <w:sz w:val="20"/>
                <w:szCs w:val="20"/>
              </w:rPr>
            </w:pPr>
          </w:p>
          <w:p w14:paraId="05F14D9B" w14:textId="77777777" w:rsidR="00084FAD" w:rsidRPr="00237A02" w:rsidRDefault="00084FAD" w:rsidP="00C03F1F">
            <w:pPr>
              <w:rPr>
                <w:sz w:val="20"/>
                <w:szCs w:val="20"/>
              </w:rPr>
            </w:pPr>
          </w:p>
          <w:p w14:paraId="4FD5ECDE" w14:textId="1B2EB0B7" w:rsidR="00260319" w:rsidRPr="00237A02" w:rsidRDefault="00C03F1F" w:rsidP="00C03F1F">
            <w:pPr>
              <w:rPr>
                <w:sz w:val="20"/>
                <w:szCs w:val="20"/>
              </w:rPr>
            </w:pPr>
            <w:r w:rsidRPr="00237A02">
              <w:rPr>
                <w:sz w:val="20"/>
                <w:szCs w:val="20"/>
              </w:rPr>
              <w:t xml:space="preserve">     Los establecimientos educacionales del país deberán incorporar actividad física y práctica del deporte, a fin de fomentar en sus estudiantes el hábito de una vida activa y saludable.</w:t>
            </w:r>
          </w:p>
        </w:tc>
        <w:tc>
          <w:tcPr>
            <w:tcW w:w="5292" w:type="dxa"/>
          </w:tcPr>
          <w:p w14:paraId="3C2D29D7" w14:textId="77777777" w:rsidR="00084FAD" w:rsidRPr="00237A02" w:rsidRDefault="00084FAD" w:rsidP="00260319">
            <w:pPr>
              <w:rPr>
                <w:sz w:val="20"/>
                <w:szCs w:val="20"/>
              </w:rPr>
            </w:pPr>
          </w:p>
          <w:p w14:paraId="59602D1E" w14:textId="77777777" w:rsidR="00084FAD" w:rsidRPr="00237A02" w:rsidRDefault="00084FAD" w:rsidP="00260319">
            <w:pPr>
              <w:rPr>
                <w:sz w:val="20"/>
                <w:szCs w:val="20"/>
              </w:rPr>
            </w:pPr>
          </w:p>
          <w:p w14:paraId="59AFC96A" w14:textId="77777777" w:rsidR="00084FAD" w:rsidRPr="00237A02" w:rsidRDefault="00084FAD" w:rsidP="00260319">
            <w:pPr>
              <w:rPr>
                <w:sz w:val="20"/>
                <w:szCs w:val="20"/>
              </w:rPr>
            </w:pPr>
          </w:p>
          <w:p w14:paraId="47CEC877" w14:textId="77777777" w:rsidR="00084FAD" w:rsidRDefault="00084FAD" w:rsidP="00260319">
            <w:pPr>
              <w:rPr>
                <w:sz w:val="20"/>
                <w:szCs w:val="20"/>
              </w:rPr>
            </w:pPr>
          </w:p>
          <w:p w14:paraId="3CA595B5" w14:textId="77777777" w:rsidR="00237A02" w:rsidRPr="00237A02" w:rsidRDefault="00237A02" w:rsidP="00260319">
            <w:pPr>
              <w:rPr>
                <w:sz w:val="20"/>
                <w:szCs w:val="20"/>
              </w:rPr>
            </w:pPr>
          </w:p>
          <w:p w14:paraId="5CECDE9B" w14:textId="2BAAFAB1" w:rsidR="00260319" w:rsidRPr="00237A02" w:rsidRDefault="00260319" w:rsidP="00260319">
            <w:pPr>
              <w:rPr>
                <w:sz w:val="20"/>
                <w:szCs w:val="20"/>
              </w:rPr>
            </w:pPr>
            <w:r w:rsidRPr="00237A02">
              <w:rPr>
                <w:sz w:val="20"/>
                <w:szCs w:val="20"/>
              </w:rPr>
              <w:t>2.- Para incorporar en el inciso primero del artículo 4° de la ley 20.606, después del punto a parte que pasa a ser seguido, el siguiente texto:</w:t>
            </w:r>
          </w:p>
          <w:p w14:paraId="5C72F55A" w14:textId="77777777" w:rsidR="00084FAD" w:rsidRPr="00237A02" w:rsidRDefault="00084FAD" w:rsidP="00260319">
            <w:pPr>
              <w:rPr>
                <w:sz w:val="20"/>
                <w:szCs w:val="20"/>
              </w:rPr>
            </w:pPr>
          </w:p>
          <w:p w14:paraId="0624D7F9" w14:textId="77777777" w:rsidR="00260319" w:rsidRPr="00237A02" w:rsidRDefault="00260319" w:rsidP="00260319">
            <w:pPr>
              <w:rPr>
                <w:sz w:val="20"/>
                <w:szCs w:val="20"/>
              </w:rPr>
            </w:pPr>
            <w:r w:rsidRPr="00237A02">
              <w:rPr>
                <w:sz w:val="20"/>
                <w:szCs w:val="20"/>
              </w:rPr>
              <w:t>“Asimismo, deberán advertir sobre las diversas patologías relacionadas con intolerancias alimentarias, como la enfermedad celíaca producida por el consumo de gluten, entre otras.”</w:t>
            </w:r>
          </w:p>
          <w:p w14:paraId="4E7E2201" w14:textId="77777777" w:rsidR="00260319" w:rsidRPr="00237A02" w:rsidRDefault="00260319">
            <w:pPr>
              <w:rPr>
                <w:sz w:val="20"/>
                <w:szCs w:val="20"/>
              </w:rPr>
            </w:pPr>
          </w:p>
        </w:tc>
        <w:tc>
          <w:tcPr>
            <w:tcW w:w="5292" w:type="dxa"/>
          </w:tcPr>
          <w:p w14:paraId="57EB6331" w14:textId="77777777" w:rsidR="00260319" w:rsidRPr="00237A02" w:rsidRDefault="00260319">
            <w:pPr>
              <w:rPr>
                <w:sz w:val="20"/>
                <w:szCs w:val="20"/>
              </w:rPr>
            </w:pPr>
          </w:p>
        </w:tc>
      </w:tr>
      <w:tr w:rsidR="00260319" w:rsidRPr="00237A02" w14:paraId="551165C2" w14:textId="77777777" w:rsidTr="00260319">
        <w:tc>
          <w:tcPr>
            <w:tcW w:w="5292" w:type="dxa"/>
          </w:tcPr>
          <w:p w14:paraId="3831D359" w14:textId="09DE1AED" w:rsidR="00C03F1F" w:rsidRPr="00237A02" w:rsidRDefault="00C03F1F" w:rsidP="00C03F1F">
            <w:pPr>
              <w:rPr>
                <w:sz w:val="20"/>
                <w:szCs w:val="20"/>
              </w:rPr>
            </w:pPr>
            <w:r w:rsidRPr="00237A02">
              <w:rPr>
                <w:sz w:val="20"/>
                <w:szCs w:val="20"/>
              </w:rPr>
              <w:t>Artículo 5°.- El Ministerio de Salud determinará los alimentos que, por unidad de peso o volumen, o por porción de consumo, presenten en su composición nutricional elevados contenidos de calorías, grasas, azúcares, sal</w:t>
            </w:r>
            <w:r w:rsidR="00084FAD" w:rsidRPr="00237A02">
              <w:rPr>
                <w:sz w:val="20"/>
                <w:szCs w:val="20"/>
              </w:rPr>
              <w:t xml:space="preserve"> </w:t>
            </w:r>
            <w:r w:rsidR="00084FAD" w:rsidRPr="00237A02">
              <w:rPr>
                <w:b/>
                <w:sz w:val="20"/>
                <w:szCs w:val="20"/>
              </w:rPr>
              <w:t>(*)</w:t>
            </w:r>
            <w:r w:rsidRPr="00237A02">
              <w:rPr>
                <w:sz w:val="20"/>
                <w:szCs w:val="20"/>
              </w:rPr>
              <w:t xml:space="preserve"> u otros ingredientes que el reglamento determine. Este tipo de alimentos se deberá rotular como "alto en calorías", "alto en sal" o con otra denominación equivalente, según sea el caso.</w:t>
            </w:r>
          </w:p>
          <w:p w14:paraId="6A85CCD4" w14:textId="77777777" w:rsidR="00C03F1F" w:rsidRPr="00237A02" w:rsidRDefault="00C03F1F" w:rsidP="00C03F1F">
            <w:pPr>
              <w:rPr>
                <w:sz w:val="20"/>
                <w:szCs w:val="20"/>
              </w:rPr>
            </w:pPr>
          </w:p>
          <w:p w14:paraId="58DE3ED6" w14:textId="77777777" w:rsidR="00084FAD" w:rsidRPr="00237A02" w:rsidRDefault="00084FAD" w:rsidP="00C03F1F">
            <w:pPr>
              <w:rPr>
                <w:sz w:val="20"/>
                <w:szCs w:val="20"/>
              </w:rPr>
            </w:pPr>
          </w:p>
          <w:p w14:paraId="611D8775" w14:textId="77777777" w:rsidR="00084FAD" w:rsidRPr="00237A02" w:rsidRDefault="00084FAD" w:rsidP="00C03F1F">
            <w:pPr>
              <w:rPr>
                <w:sz w:val="20"/>
                <w:szCs w:val="20"/>
              </w:rPr>
            </w:pPr>
          </w:p>
          <w:p w14:paraId="2A0FD681" w14:textId="77777777" w:rsidR="00C03F1F" w:rsidRPr="00237A02" w:rsidRDefault="00C03F1F" w:rsidP="00C03F1F">
            <w:pPr>
              <w:rPr>
                <w:sz w:val="20"/>
                <w:szCs w:val="20"/>
              </w:rPr>
            </w:pPr>
            <w:r w:rsidRPr="00237A02">
              <w:rPr>
                <w:sz w:val="20"/>
                <w:szCs w:val="20"/>
              </w:rPr>
              <w:t xml:space="preserve">     La información indicada precedentemente, incluyendo sus contenidos, forma, tamaño, mensajes, señalética o dibujos, proporciones y demás características, se determinará por el Ministerio de Salud en el Reglamento Sanitario de los Alimentos. Asimismo, se podrán fijar límites de contenido de energía y nutrientes en los alimentos a que alude el inciso anterior.</w:t>
            </w:r>
          </w:p>
          <w:p w14:paraId="3CA4E582" w14:textId="77777777" w:rsidR="00C03F1F" w:rsidRPr="00237A02" w:rsidRDefault="00C03F1F" w:rsidP="00C03F1F">
            <w:pPr>
              <w:rPr>
                <w:sz w:val="20"/>
                <w:szCs w:val="20"/>
              </w:rPr>
            </w:pPr>
          </w:p>
          <w:p w14:paraId="21046695" w14:textId="1D05937B" w:rsidR="00260319" w:rsidRPr="00237A02" w:rsidRDefault="00C03F1F" w:rsidP="00C03F1F">
            <w:pPr>
              <w:rPr>
                <w:sz w:val="20"/>
                <w:szCs w:val="20"/>
              </w:rPr>
            </w:pPr>
            <w:r w:rsidRPr="00237A02">
              <w:rPr>
                <w:sz w:val="20"/>
                <w:szCs w:val="20"/>
              </w:rPr>
              <w:t xml:space="preserve">     La Autoridad Sanitaria, en ejercicio de sus atribuciones, podrá corroborar con análisis propios la información indicada en la rotulación de los alimentos, sin perjuicio del ejercicio de sus facultades fiscalizadoras.</w:t>
            </w:r>
          </w:p>
        </w:tc>
        <w:tc>
          <w:tcPr>
            <w:tcW w:w="5292" w:type="dxa"/>
          </w:tcPr>
          <w:p w14:paraId="20994049" w14:textId="56435CBF" w:rsidR="00084FAD" w:rsidRPr="00237A02" w:rsidRDefault="00260319" w:rsidP="00260319">
            <w:pPr>
              <w:rPr>
                <w:i/>
                <w:sz w:val="20"/>
                <w:szCs w:val="20"/>
              </w:rPr>
            </w:pPr>
            <w:r w:rsidRPr="00237A02">
              <w:rPr>
                <w:sz w:val="20"/>
                <w:szCs w:val="20"/>
              </w:rPr>
              <w:t xml:space="preserve">3.- </w:t>
            </w:r>
            <w:r w:rsidR="00084FAD" w:rsidRPr="00237A02">
              <w:rPr>
                <w:sz w:val="20"/>
                <w:szCs w:val="20"/>
              </w:rPr>
              <w:t xml:space="preserve">Modificaciones al </w:t>
            </w:r>
            <w:r w:rsidRPr="00237A02">
              <w:rPr>
                <w:sz w:val="20"/>
                <w:szCs w:val="20"/>
              </w:rPr>
              <w:t>inciso primero del artículo 5°</w:t>
            </w:r>
            <w:r w:rsidR="00084FAD" w:rsidRPr="00237A02">
              <w:rPr>
                <w:sz w:val="20"/>
                <w:szCs w:val="20"/>
              </w:rPr>
              <w:t xml:space="preserve">: </w:t>
            </w:r>
            <w:r w:rsidR="00084FAD" w:rsidRPr="00237A02">
              <w:rPr>
                <w:i/>
                <w:sz w:val="20"/>
                <w:szCs w:val="20"/>
              </w:rPr>
              <w:t>(numerales 3 y 4 en la moción)</w:t>
            </w:r>
          </w:p>
          <w:p w14:paraId="40E03706" w14:textId="5EA581E4" w:rsidR="00260319" w:rsidRPr="00237A02" w:rsidRDefault="00084FAD" w:rsidP="00084FAD">
            <w:pPr>
              <w:rPr>
                <w:sz w:val="20"/>
                <w:szCs w:val="20"/>
              </w:rPr>
            </w:pPr>
            <w:r w:rsidRPr="00237A02">
              <w:rPr>
                <w:sz w:val="20"/>
                <w:szCs w:val="20"/>
              </w:rPr>
              <w:t xml:space="preserve">a) agrégase, </w:t>
            </w:r>
            <w:r w:rsidR="00260319" w:rsidRPr="00237A02">
              <w:rPr>
                <w:sz w:val="20"/>
                <w:szCs w:val="20"/>
              </w:rPr>
              <w:t>luego de la palabra “sal”, la siguiente palabra:</w:t>
            </w:r>
          </w:p>
          <w:p w14:paraId="74ABB34C" w14:textId="0E74F18E" w:rsidR="00260319" w:rsidRPr="00237A02" w:rsidRDefault="00260319" w:rsidP="00260319">
            <w:pPr>
              <w:rPr>
                <w:sz w:val="20"/>
                <w:szCs w:val="20"/>
              </w:rPr>
            </w:pPr>
            <w:r w:rsidRPr="00237A02">
              <w:rPr>
                <w:sz w:val="20"/>
                <w:szCs w:val="20"/>
              </w:rPr>
              <w:t>“gluten”</w:t>
            </w:r>
          </w:p>
          <w:p w14:paraId="4F74B745" w14:textId="424983F0" w:rsidR="00C03F1F" w:rsidRPr="00237A02" w:rsidRDefault="00084FAD" w:rsidP="00C03F1F">
            <w:pPr>
              <w:rPr>
                <w:sz w:val="20"/>
                <w:szCs w:val="20"/>
              </w:rPr>
            </w:pPr>
            <w:r w:rsidRPr="00237A02">
              <w:rPr>
                <w:sz w:val="20"/>
                <w:szCs w:val="20"/>
              </w:rPr>
              <w:t>b) I</w:t>
            </w:r>
            <w:r w:rsidR="00C03F1F" w:rsidRPr="00237A02">
              <w:rPr>
                <w:sz w:val="20"/>
                <w:szCs w:val="20"/>
              </w:rPr>
              <w:t>ncorp</w:t>
            </w:r>
            <w:r w:rsidRPr="00237A02">
              <w:rPr>
                <w:sz w:val="20"/>
                <w:szCs w:val="20"/>
              </w:rPr>
              <w:t xml:space="preserve">órase luego del </w:t>
            </w:r>
            <w:r w:rsidR="00C03F1F" w:rsidRPr="00237A02">
              <w:rPr>
                <w:sz w:val="20"/>
                <w:szCs w:val="20"/>
              </w:rPr>
              <w:t>punto aparte</w:t>
            </w:r>
            <w:r w:rsidRPr="00237A02">
              <w:rPr>
                <w:sz w:val="20"/>
                <w:szCs w:val="20"/>
              </w:rPr>
              <w:t>, que pasa</w:t>
            </w:r>
            <w:r w:rsidR="00C03F1F" w:rsidRPr="00237A02">
              <w:rPr>
                <w:sz w:val="20"/>
                <w:szCs w:val="20"/>
              </w:rPr>
              <w:t xml:space="preserve"> a ser punto seguido, el siguiente </w:t>
            </w:r>
            <w:r w:rsidRPr="00237A02">
              <w:rPr>
                <w:sz w:val="20"/>
                <w:szCs w:val="20"/>
              </w:rPr>
              <w:t>párrafo:</w:t>
            </w:r>
          </w:p>
          <w:p w14:paraId="4BA7A66F" w14:textId="77777777" w:rsidR="00C03F1F" w:rsidRPr="00237A02" w:rsidRDefault="00C03F1F" w:rsidP="00C03F1F">
            <w:pPr>
              <w:rPr>
                <w:sz w:val="20"/>
                <w:szCs w:val="20"/>
              </w:rPr>
            </w:pPr>
            <w:r w:rsidRPr="00237A02">
              <w:rPr>
                <w:sz w:val="20"/>
                <w:szCs w:val="20"/>
              </w:rPr>
              <w:t>“Aquellos alimentos que según el Reglamento estén exentos de contenidos que provoquen intolerancias alimentarias, como el gluten, deberán rotularse como “libre de gluten”.”</w:t>
            </w:r>
          </w:p>
          <w:p w14:paraId="7A0A6DCE" w14:textId="77777777" w:rsidR="00260319" w:rsidRPr="00237A02" w:rsidRDefault="00260319">
            <w:pPr>
              <w:rPr>
                <w:sz w:val="20"/>
                <w:szCs w:val="20"/>
              </w:rPr>
            </w:pPr>
          </w:p>
        </w:tc>
        <w:tc>
          <w:tcPr>
            <w:tcW w:w="5292" w:type="dxa"/>
          </w:tcPr>
          <w:p w14:paraId="7D237A22" w14:textId="77777777" w:rsidR="00260319" w:rsidRPr="00237A02" w:rsidRDefault="00260319">
            <w:pPr>
              <w:rPr>
                <w:sz w:val="20"/>
                <w:szCs w:val="20"/>
              </w:rPr>
            </w:pPr>
          </w:p>
        </w:tc>
      </w:tr>
      <w:tr w:rsidR="00260319" w:rsidRPr="00237A02" w14:paraId="71EC31B5" w14:textId="77777777" w:rsidTr="00260319">
        <w:tc>
          <w:tcPr>
            <w:tcW w:w="5292" w:type="dxa"/>
          </w:tcPr>
          <w:p w14:paraId="0A2586C0" w14:textId="77777777" w:rsidR="00C03F1F" w:rsidRPr="00237A02" w:rsidRDefault="00C03F1F" w:rsidP="00C03F1F">
            <w:pPr>
              <w:rPr>
                <w:sz w:val="20"/>
                <w:szCs w:val="20"/>
              </w:rPr>
            </w:pPr>
            <w:r w:rsidRPr="00237A02">
              <w:rPr>
                <w:sz w:val="20"/>
                <w:szCs w:val="20"/>
              </w:rPr>
              <w:t>Artículo 6°.- Los alimentos a que se refiere el artículo anterior no se podrán expender, comercializar, promocionar y publicitar dentro de establecimientos de educación parvularia, básica y media.</w:t>
            </w:r>
          </w:p>
          <w:p w14:paraId="490A5084" w14:textId="77777777" w:rsidR="00C03F1F" w:rsidRPr="00237A02" w:rsidRDefault="00C03F1F" w:rsidP="00C03F1F">
            <w:pPr>
              <w:rPr>
                <w:sz w:val="20"/>
                <w:szCs w:val="20"/>
              </w:rPr>
            </w:pPr>
            <w:r w:rsidRPr="00237A02">
              <w:rPr>
                <w:sz w:val="20"/>
                <w:szCs w:val="20"/>
              </w:rPr>
              <w:t xml:space="preserve">     Asimismo, se prohíbe su ofrecimiento o entrega a título gratuito a menores de 14 años de edad, así como la publicidad de los mismos dirigida a ellos.</w:t>
            </w:r>
          </w:p>
          <w:p w14:paraId="726B1D8E" w14:textId="77777777" w:rsidR="00C03F1F" w:rsidRPr="00237A02" w:rsidRDefault="00C03F1F" w:rsidP="00C03F1F">
            <w:pPr>
              <w:rPr>
                <w:sz w:val="20"/>
                <w:szCs w:val="20"/>
              </w:rPr>
            </w:pPr>
            <w:r w:rsidRPr="00237A02">
              <w:rPr>
                <w:sz w:val="20"/>
                <w:szCs w:val="20"/>
              </w:rPr>
              <w:t xml:space="preserve">     En todo caso, no podrá inducirse su consumo por parte de menores o valerse de medios que se aprovechen de la credulidad de los menores. La venta de alimentos especialmente destinados a menores no podrá efectuarse mediante ganchos comerciales no relacionados con la promoción propia del producto, tales como regalos, concursos, juegos u otro elemento de atracción infantil.</w:t>
            </w:r>
          </w:p>
          <w:p w14:paraId="1A04EEA2" w14:textId="77777777" w:rsidR="00C03F1F" w:rsidRPr="00237A02" w:rsidRDefault="00C03F1F" w:rsidP="00C03F1F">
            <w:pPr>
              <w:rPr>
                <w:sz w:val="20"/>
                <w:szCs w:val="20"/>
              </w:rPr>
            </w:pPr>
            <w:r w:rsidRPr="00237A02">
              <w:rPr>
                <w:sz w:val="20"/>
                <w:szCs w:val="20"/>
              </w:rPr>
              <w:t xml:space="preserve">     Toda publicidad de alimentos efectuada por medios de comunicación masivos deberá llevar un mensaje, cuyas características determinará el Ministerio de Salud, que promueva hábitos de vida saludables.</w:t>
            </w:r>
          </w:p>
          <w:p w14:paraId="1A865DAE" w14:textId="77777777" w:rsidR="00C03F1F" w:rsidRDefault="00C03F1F" w:rsidP="00C03F1F">
            <w:pPr>
              <w:rPr>
                <w:sz w:val="20"/>
                <w:szCs w:val="20"/>
              </w:rPr>
            </w:pPr>
            <w:r w:rsidRPr="00237A02">
              <w:rPr>
                <w:sz w:val="20"/>
                <w:szCs w:val="20"/>
              </w:rPr>
              <w:t xml:space="preserve">     El etiquetado de los sucedáneos de la leche materna no deberá desincentivar la lactancia natural. Asimismo, incluirá información relativa a la superioridad de la lactancia materna e indicará que el uso de los referidos sucedáneos debe contar con el asesoramiento de un profesional de la salud.</w:t>
            </w:r>
          </w:p>
          <w:p w14:paraId="44DC22D1" w14:textId="77777777" w:rsidR="00237A02" w:rsidRPr="00237A02" w:rsidRDefault="00237A02" w:rsidP="00C03F1F">
            <w:pPr>
              <w:rPr>
                <w:sz w:val="20"/>
                <w:szCs w:val="20"/>
              </w:rPr>
            </w:pPr>
          </w:p>
          <w:p w14:paraId="229846CF" w14:textId="0D81AAC7" w:rsidR="00C03F1F" w:rsidRPr="00237A02" w:rsidRDefault="00C03F1F" w:rsidP="00C03F1F">
            <w:pPr>
              <w:rPr>
                <w:sz w:val="20"/>
                <w:szCs w:val="20"/>
              </w:rPr>
            </w:pPr>
            <w:r w:rsidRPr="00237A02">
              <w:rPr>
                <w:sz w:val="20"/>
                <w:szCs w:val="20"/>
              </w:rPr>
              <w:t xml:space="preserve">     El Minister</w:t>
            </w:r>
            <w:r w:rsidR="00084FAD" w:rsidRPr="00237A02">
              <w:rPr>
                <w:sz w:val="20"/>
                <w:szCs w:val="20"/>
              </w:rPr>
              <w:t>i</w:t>
            </w:r>
            <w:r w:rsidRPr="00237A02">
              <w:rPr>
                <w:sz w:val="20"/>
                <w:szCs w:val="20"/>
              </w:rPr>
              <w:t>o de Salud deberá disponer, en conjunto con el de Educación, de un sistema obligatorio de monitoreo nutricional de los alumnos de enseñanza parvularia, básica y media, el que los orientará en el seguimiento de estilos de vida saludables.</w:t>
            </w:r>
          </w:p>
          <w:p w14:paraId="46E145EC" w14:textId="77777777" w:rsidR="00C03F1F" w:rsidRPr="00237A02" w:rsidRDefault="00C03F1F" w:rsidP="00C03F1F">
            <w:pPr>
              <w:rPr>
                <w:sz w:val="20"/>
                <w:szCs w:val="20"/>
              </w:rPr>
            </w:pPr>
          </w:p>
          <w:p w14:paraId="70694221" w14:textId="4B443697" w:rsidR="00260319" w:rsidRPr="00237A02" w:rsidRDefault="00C03F1F" w:rsidP="00C03F1F">
            <w:pPr>
              <w:rPr>
                <w:sz w:val="20"/>
                <w:szCs w:val="20"/>
              </w:rPr>
            </w:pPr>
            <w:r w:rsidRPr="00237A02">
              <w:rPr>
                <w:sz w:val="20"/>
                <w:szCs w:val="20"/>
              </w:rPr>
              <w:t xml:space="preserve">     En todas aquellas disposiciones de esta ley donde se utilice la expresión "menores de edad", deberá entenderse que se refiere a menores de catorce años.</w:t>
            </w:r>
          </w:p>
        </w:tc>
        <w:tc>
          <w:tcPr>
            <w:tcW w:w="5292" w:type="dxa"/>
          </w:tcPr>
          <w:p w14:paraId="42814AD7" w14:textId="77777777" w:rsidR="00084FAD" w:rsidRPr="00237A02" w:rsidRDefault="00084FAD" w:rsidP="00260319">
            <w:pPr>
              <w:rPr>
                <w:sz w:val="20"/>
                <w:szCs w:val="20"/>
              </w:rPr>
            </w:pPr>
          </w:p>
          <w:p w14:paraId="21939D55" w14:textId="77777777" w:rsidR="00084FAD" w:rsidRPr="00237A02" w:rsidRDefault="00084FAD" w:rsidP="00260319">
            <w:pPr>
              <w:rPr>
                <w:sz w:val="20"/>
                <w:szCs w:val="20"/>
              </w:rPr>
            </w:pPr>
          </w:p>
          <w:p w14:paraId="35F53C27" w14:textId="77777777" w:rsidR="00084FAD" w:rsidRPr="00237A02" w:rsidRDefault="00084FAD" w:rsidP="00260319">
            <w:pPr>
              <w:rPr>
                <w:sz w:val="20"/>
                <w:szCs w:val="20"/>
              </w:rPr>
            </w:pPr>
          </w:p>
          <w:p w14:paraId="1C1172D8" w14:textId="77777777" w:rsidR="00084FAD" w:rsidRPr="00237A02" w:rsidRDefault="00084FAD" w:rsidP="00260319">
            <w:pPr>
              <w:rPr>
                <w:sz w:val="20"/>
                <w:szCs w:val="20"/>
              </w:rPr>
            </w:pPr>
          </w:p>
          <w:p w14:paraId="646F97AB" w14:textId="77777777" w:rsidR="00084FAD" w:rsidRPr="00237A02" w:rsidRDefault="00084FAD" w:rsidP="00260319">
            <w:pPr>
              <w:rPr>
                <w:sz w:val="20"/>
                <w:szCs w:val="20"/>
              </w:rPr>
            </w:pPr>
          </w:p>
          <w:p w14:paraId="281A54BD" w14:textId="77777777" w:rsidR="00084FAD" w:rsidRPr="00237A02" w:rsidRDefault="00084FAD" w:rsidP="00260319">
            <w:pPr>
              <w:rPr>
                <w:sz w:val="20"/>
                <w:szCs w:val="20"/>
              </w:rPr>
            </w:pPr>
          </w:p>
          <w:p w14:paraId="1531936E" w14:textId="77777777" w:rsidR="00084FAD" w:rsidRPr="00237A02" w:rsidRDefault="00084FAD" w:rsidP="00260319">
            <w:pPr>
              <w:rPr>
                <w:sz w:val="20"/>
                <w:szCs w:val="20"/>
              </w:rPr>
            </w:pPr>
          </w:p>
          <w:p w14:paraId="29F1A25A" w14:textId="77777777" w:rsidR="00084FAD" w:rsidRPr="00237A02" w:rsidRDefault="00084FAD" w:rsidP="00260319">
            <w:pPr>
              <w:rPr>
                <w:sz w:val="20"/>
                <w:szCs w:val="20"/>
              </w:rPr>
            </w:pPr>
          </w:p>
          <w:p w14:paraId="35EE23CC" w14:textId="77777777" w:rsidR="00084FAD" w:rsidRPr="00237A02" w:rsidRDefault="00084FAD" w:rsidP="00260319">
            <w:pPr>
              <w:rPr>
                <w:sz w:val="20"/>
                <w:szCs w:val="20"/>
              </w:rPr>
            </w:pPr>
          </w:p>
          <w:p w14:paraId="0BE01F6E" w14:textId="77777777" w:rsidR="00084FAD" w:rsidRPr="00237A02" w:rsidRDefault="00084FAD" w:rsidP="00260319">
            <w:pPr>
              <w:rPr>
                <w:sz w:val="20"/>
                <w:szCs w:val="20"/>
              </w:rPr>
            </w:pPr>
          </w:p>
          <w:p w14:paraId="30227C07" w14:textId="77777777" w:rsidR="00084FAD" w:rsidRPr="00237A02" w:rsidRDefault="00084FAD" w:rsidP="00260319">
            <w:pPr>
              <w:rPr>
                <w:sz w:val="20"/>
                <w:szCs w:val="20"/>
              </w:rPr>
            </w:pPr>
          </w:p>
          <w:p w14:paraId="35FCF3CE" w14:textId="77777777" w:rsidR="00084FAD" w:rsidRPr="00237A02" w:rsidRDefault="00084FAD" w:rsidP="00260319">
            <w:pPr>
              <w:rPr>
                <w:sz w:val="20"/>
                <w:szCs w:val="20"/>
              </w:rPr>
            </w:pPr>
          </w:p>
          <w:p w14:paraId="442208D1" w14:textId="77777777" w:rsidR="00084FAD" w:rsidRPr="00237A02" w:rsidRDefault="00084FAD" w:rsidP="00260319">
            <w:pPr>
              <w:rPr>
                <w:sz w:val="20"/>
                <w:szCs w:val="20"/>
              </w:rPr>
            </w:pPr>
          </w:p>
          <w:p w14:paraId="68B911BD" w14:textId="77777777" w:rsidR="00084FAD" w:rsidRPr="00237A02" w:rsidRDefault="00084FAD" w:rsidP="00260319">
            <w:pPr>
              <w:rPr>
                <w:sz w:val="20"/>
                <w:szCs w:val="20"/>
              </w:rPr>
            </w:pPr>
          </w:p>
          <w:p w14:paraId="1EEA7B5E" w14:textId="77777777" w:rsidR="00084FAD" w:rsidRPr="00237A02" w:rsidRDefault="00084FAD" w:rsidP="00260319">
            <w:pPr>
              <w:rPr>
                <w:sz w:val="20"/>
                <w:szCs w:val="20"/>
              </w:rPr>
            </w:pPr>
          </w:p>
          <w:p w14:paraId="248B9AB8" w14:textId="77777777" w:rsidR="00084FAD" w:rsidRPr="00237A02" w:rsidRDefault="00084FAD" w:rsidP="00260319">
            <w:pPr>
              <w:rPr>
                <w:sz w:val="20"/>
                <w:szCs w:val="20"/>
              </w:rPr>
            </w:pPr>
          </w:p>
          <w:p w14:paraId="1ABB48F5" w14:textId="77777777" w:rsidR="00084FAD" w:rsidRPr="00237A02" w:rsidRDefault="00084FAD" w:rsidP="00260319">
            <w:pPr>
              <w:rPr>
                <w:sz w:val="20"/>
                <w:szCs w:val="20"/>
              </w:rPr>
            </w:pPr>
          </w:p>
          <w:p w14:paraId="1DEA96C1" w14:textId="77777777" w:rsidR="00084FAD" w:rsidRPr="00237A02" w:rsidRDefault="00084FAD" w:rsidP="00260319">
            <w:pPr>
              <w:rPr>
                <w:sz w:val="20"/>
                <w:szCs w:val="20"/>
              </w:rPr>
            </w:pPr>
          </w:p>
          <w:p w14:paraId="4BA622FC" w14:textId="77777777" w:rsidR="00084FAD" w:rsidRPr="00237A02" w:rsidRDefault="00084FAD" w:rsidP="00260319">
            <w:pPr>
              <w:rPr>
                <w:sz w:val="20"/>
                <w:szCs w:val="20"/>
              </w:rPr>
            </w:pPr>
          </w:p>
          <w:p w14:paraId="3F98F237" w14:textId="77777777" w:rsidR="00084FAD" w:rsidRPr="00237A02" w:rsidRDefault="00084FAD" w:rsidP="00260319">
            <w:pPr>
              <w:rPr>
                <w:sz w:val="20"/>
                <w:szCs w:val="20"/>
              </w:rPr>
            </w:pPr>
          </w:p>
          <w:p w14:paraId="69910B8F" w14:textId="77777777" w:rsidR="00084FAD" w:rsidRPr="00237A02" w:rsidRDefault="00084FAD" w:rsidP="00260319">
            <w:pPr>
              <w:rPr>
                <w:sz w:val="20"/>
                <w:szCs w:val="20"/>
              </w:rPr>
            </w:pPr>
          </w:p>
          <w:p w14:paraId="7C755625" w14:textId="77777777" w:rsidR="00084FAD" w:rsidRPr="00237A02" w:rsidRDefault="00084FAD" w:rsidP="00260319">
            <w:pPr>
              <w:rPr>
                <w:sz w:val="20"/>
                <w:szCs w:val="20"/>
              </w:rPr>
            </w:pPr>
          </w:p>
          <w:p w14:paraId="3C76CA8B" w14:textId="77777777" w:rsidR="00084FAD" w:rsidRDefault="00084FAD" w:rsidP="00260319">
            <w:pPr>
              <w:rPr>
                <w:sz w:val="20"/>
                <w:szCs w:val="20"/>
              </w:rPr>
            </w:pPr>
          </w:p>
          <w:p w14:paraId="5F03D813" w14:textId="77777777" w:rsidR="00237A02" w:rsidRPr="00237A02" w:rsidRDefault="00237A02" w:rsidP="00260319">
            <w:pPr>
              <w:rPr>
                <w:sz w:val="20"/>
                <w:szCs w:val="20"/>
              </w:rPr>
            </w:pPr>
          </w:p>
          <w:p w14:paraId="34450F23" w14:textId="77777777" w:rsidR="00084FAD" w:rsidRPr="00237A02" w:rsidRDefault="00084FAD" w:rsidP="00260319">
            <w:pPr>
              <w:rPr>
                <w:sz w:val="20"/>
                <w:szCs w:val="20"/>
              </w:rPr>
            </w:pPr>
          </w:p>
          <w:p w14:paraId="586286FB" w14:textId="77777777" w:rsidR="00084FAD" w:rsidRPr="00237A02" w:rsidRDefault="00084FAD" w:rsidP="00260319">
            <w:pPr>
              <w:rPr>
                <w:sz w:val="20"/>
                <w:szCs w:val="20"/>
              </w:rPr>
            </w:pPr>
          </w:p>
          <w:p w14:paraId="111AD198" w14:textId="37078139" w:rsidR="00260319" w:rsidRPr="00237A02" w:rsidRDefault="00260319" w:rsidP="00260319">
            <w:pPr>
              <w:rPr>
                <w:sz w:val="20"/>
                <w:szCs w:val="20"/>
              </w:rPr>
            </w:pPr>
            <w:r w:rsidRPr="00237A02">
              <w:rPr>
                <w:sz w:val="20"/>
                <w:szCs w:val="20"/>
              </w:rPr>
              <w:t>5.- Para incorporar al final del inciso 6 del artículo 6° de la ley 20.606, lo siguiente:</w:t>
            </w:r>
          </w:p>
          <w:p w14:paraId="23EA20C2" w14:textId="77777777" w:rsidR="00084FAD" w:rsidRPr="00237A02" w:rsidRDefault="00084FAD" w:rsidP="00260319">
            <w:pPr>
              <w:rPr>
                <w:sz w:val="20"/>
                <w:szCs w:val="20"/>
              </w:rPr>
            </w:pPr>
          </w:p>
          <w:p w14:paraId="4CE77362" w14:textId="67F7783C" w:rsidR="00260319" w:rsidRPr="00237A02" w:rsidRDefault="00260319" w:rsidP="00260319">
            <w:pPr>
              <w:rPr>
                <w:sz w:val="20"/>
                <w:szCs w:val="20"/>
              </w:rPr>
            </w:pPr>
            <w:r w:rsidRPr="00237A02">
              <w:rPr>
                <w:sz w:val="20"/>
                <w:szCs w:val="20"/>
              </w:rPr>
              <w:t>“y exentos de riesgos por intolerancias alimentarias.”</w:t>
            </w:r>
          </w:p>
          <w:p w14:paraId="66425529" w14:textId="77777777" w:rsidR="00260319" w:rsidRPr="00237A02" w:rsidRDefault="00260319">
            <w:pPr>
              <w:rPr>
                <w:sz w:val="20"/>
                <w:szCs w:val="20"/>
              </w:rPr>
            </w:pPr>
          </w:p>
        </w:tc>
        <w:tc>
          <w:tcPr>
            <w:tcW w:w="5292" w:type="dxa"/>
          </w:tcPr>
          <w:p w14:paraId="19C9E894" w14:textId="77777777" w:rsidR="00260319" w:rsidRPr="00237A02" w:rsidRDefault="00260319">
            <w:pPr>
              <w:rPr>
                <w:sz w:val="20"/>
                <w:szCs w:val="20"/>
              </w:rPr>
            </w:pPr>
          </w:p>
        </w:tc>
      </w:tr>
      <w:tr w:rsidR="00084FAD" w:rsidRPr="00237A02" w14:paraId="1E36109F" w14:textId="77777777" w:rsidTr="00260319">
        <w:tc>
          <w:tcPr>
            <w:tcW w:w="5292" w:type="dxa"/>
          </w:tcPr>
          <w:p w14:paraId="551635FD" w14:textId="77777777" w:rsidR="00084FAD" w:rsidRPr="00237A02" w:rsidRDefault="00084FAD" w:rsidP="00084FAD">
            <w:pPr>
              <w:rPr>
                <w:sz w:val="20"/>
                <w:szCs w:val="20"/>
              </w:rPr>
            </w:pPr>
            <w:r w:rsidRPr="00237A02">
              <w:rPr>
                <w:sz w:val="20"/>
                <w:szCs w:val="20"/>
              </w:rPr>
              <w:t>Artículo 9°.- En el envase o etiqueta de todo producto alimentario que haya sido comercializado en Chile y que contenga entre sus ingredientes o haya utilizado en su elaboración soya, leche, maní, huevo, mariscos, pescado, gluten o frutos secos será obligatorio indicarlo.</w:t>
            </w:r>
          </w:p>
          <w:p w14:paraId="3279710F" w14:textId="44B84470" w:rsidR="00084FAD" w:rsidRPr="00237A02" w:rsidRDefault="00084FAD" w:rsidP="00084FAD">
            <w:pPr>
              <w:rPr>
                <w:sz w:val="20"/>
                <w:szCs w:val="20"/>
              </w:rPr>
            </w:pPr>
            <w:r w:rsidRPr="00237A02">
              <w:rPr>
                <w:sz w:val="20"/>
                <w:szCs w:val="20"/>
              </w:rPr>
              <w:t xml:space="preserve">     El reglamento respectivo establecerá los requisitos que deberá contener el referido etiquetado.</w:t>
            </w:r>
          </w:p>
        </w:tc>
        <w:tc>
          <w:tcPr>
            <w:tcW w:w="5292" w:type="dxa"/>
          </w:tcPr>
          <w:p w14:paraId="77F31A4C" w14:textId="77777777" w:rsidR="00084FAD" w:rsidRPr="00237A02" w:rsidRDefault="00084FAD" w:rsidP="00260319">
            <w:pPr>
              <w:rPr>
                <w:sz w:val="20"/>
                <w:szCs w:val="20"/>
              </w:rPr>
            </w:pPr>
          </w:p>
        </w:tc>
        <w:tc>
          <w:tcPr>
            <w:tcW w:w="5292" w:type="dxa"/>
          </w:tcPr>
          <w:p w14:paraId="4444CB3F" w14:textId="77777777" w:rsidR="00084FAD" w:rsidRPr="00237A02" w:rsidRDefault="00084FAD">
            <w:pPr>
              <w:rPr>
                <w:sz w:val="20"/>
                <w:szCs w:val="20"/>
              </w:rPr>
            </w:pPr>
          </w:p>
        </w:tc>
      </w:tr>
      <w:tr w:rsidR="00260319" w:rsidRPr="00237A02" w14:paraId="5D67F7FE" w14:textId="77777777" w:rsidTr="00260319">
        <w:tc>
          <w:tcPr>
            <w:tcW w:w="5292" w:type="dxa"/>
          </w:tcPr>
          <w:p w14:paraId="0D3BD296" w14:textId="77777777" w:rsidR="00260319" w:rsidRPr="00237A02" w:rsidRDefault="00260319">
            <w:pPr>
              <w:rPr>
                <w:sz w:val="20"/>
                <w:szCs w:val="20"/>
              </w:rPr>
            </w:pPr>
          </w:p>
        </w:tc>
        <w:tc>
          <w:tcPr>
            <w:tcW w:w="5292" w:type="dxa"/>
          </w:tcPr>
          <w:p w14:paraId="4B0A7246" w14:textId="77777777" w:rsidR="00260319" w:rsidRPr="00237A02" w:rsidRDefault="00260319" w:rsidP="00260319">
            <w:pPr>
              <w:rPr>
                <w:sz w:val="20"/>
                <w:szCs w:val="20"/>
              </w:rPr>
            </w:pPr>
            <w:r w:rsidRPr="00237A02">
              <w:rPr>
                <w:sz w:val="20"/>
                <w:szCs w:val="20"/>
              </w:rPr>
              <w:t>6.- Para incorporar un nuevo artículo 9 bis del siguiente tenor:</w:t>
            </w:r>
          </w:p>
          <w:p w14:paraId="18BF66E8" w14:textId="3944DD4A" w:rsidR="00260319" w:rsidRPr="00237A02" w:rsidRDefault="00260319" w:rsidP="00084FAD">
            <w:pPr>
              <w:rPr>
                <w:sz w:val="20"/>
                <w:szCs w:val="20"/>
              </w:rPr>
            </w:pPr>
            <w:r w:rsidRPr="00237A02">
              <w:rPr>
                <w:sz w:val="20"/>
                <w:szCs w:val="20"/>
              </w:rPr>
              <w:t>“Los supermercados y establecimientos similares deberán disponer de góndolas</w:t>
            </w:r>
            <w:r w:rsidR="00084FAD" w:rsidRPr="00237A02">
              <w:rPr>
                <w:sz w:val="20"/>
                <w:szCs w:val="20"/>
              </w:rPr>
              <w:t xml:space="preserve"> </w:t>
            </w:r>
            <w:r w:rsidRPr="00237A02">
              <w:rPr>
                <w:sz w:val="20"/>
                <w:szCs w:val="20"/>
              </w:rPr>
              <w:t>exclusivas para la oferta de productos aptos para personas c</w:t>
            </w:r>
            <w:r w:rsidR="00084FAD" w:rsidRPr="00237A02">
              <w:rPr>
                <w:sz w:val="20"/>
                <w:szCs w:val="20"/>
              </w:rPr>
              <w:t xml:space="preserve">on intolerancias alimentarias, </w:t>
            </w:r>
            <w:r w:rsidRPr="00237A02">
              <w:rPr>
                <w:sz w:val="20"/>
                <w:szCs w:val="20"/>
              </w:rPr>
              <w:t>como aquellos “sin gluten” para los enfermos celíacos, debiendo resguardar la posibilidad de contaminación cruzada.”</w:t>
            </w:r>
            <w:r w:rsidR="00084FAD" w:rsidRPr="00237A02">
              <w:rPr>
                <w:sz w:val="20"/>
                <w:szCs w:val="20"/>
              </w:rPr>
              <w:t>.</w:t>
            </w:r>
          </w:p>
        </w:tc>
        <w:tc>
          <w:tcPr>
            <w:tcW w:w="5292" w:type="dxa"/>
          </w:tcPr>
          <w:p w14:paraId="01DB841D" w14:textId="77777777" w:rsidR="00260319" w:rsidRPr="00237A02" w:rsidRDefault="00260319">
            <w:pPr>
              <w:rPr>
                <w:sz w:val="20"/>
                <w:szCs w:val="20"/>
              </w:rPr>
            </w:pPr>
          </w:p>
        </w:tc>
      </w:tr>
      <w:tr w:rsidR="00260319" w:rsidRPr="00237A02" w14:paraId="14FB37BB" w14:textId="77777777" w:rsidTr="00260319">
        <w:tc>
          <w:tcPr>
            <w:tcW w:w="5292" w:type="dxa"/>
          </w:tcPr>
          <w:p w14:paraId="78A1B299" w14:textId="77777777" w:rsidR="00260319" w:rsidRPr="00237A02" w:rsidRDefault="00260319">
            <w:pPr>
              <w:rPr>
                <w:sz w:val="20"/>
                <w:szCs w:val="20"/>
              </w:rPr>
            </w:pPr>
          </w:p>
        </w:tc>
        <w:tc>
          <w:tcPr>
            <w:tcW w:w="5292" w:type="dxa"/>
          </w:tcPr>
          <w:p w14:paraId="6E4D9AEE" w14:textId="77777777" w:rsidR="00260319" w:rsidRPr="00237A02" w:rsidRDefault="00260319" w:rsidP="00260319">
            <w:pPr>
              <w:rPr>
                <w:sz w:val="20"/>
                <w:szCs w:val="20"/>
              </w:rPr>
            </w:pPr>
            <w:r w:rsidRPr="00237A02">
              <w:rPr>
                <w:sz w:val="20"/>
                <w:szCs w:val="20"/>
              </w:rPr>
              <w:t>7.- Para crear un nuevo artículo N° 10 en la ley 20.606, pasando a ser el actual número 10 a número 11, y el 11 a número 12.</w:t>
            </w:r>
          </w:p>
          <w:p w14:paraId="77C2C3B2" w14:textId="77777777" w:rsidR="00084FAD" w:rsidRPr="00237A02" w:rsidRDefault="00084FAD" w:rsidP="00260319">
            <w:pPr>
              <w:rPr>
                <w:sz w:val="20"/>
                <w:szCs w:val="20"/>
              </w:rPr>
            </w:pPr>
          </w:p>
          <w:p w14:paraId="323D8656" w14:textId="0EA1E7C3" w:rsidR="00260319" w:rsidRPr="00237A02" w:rsidRDefault="00260319" w:rsidP="00260319">
            <w:pPr>
              <w:rPr>
                <w:sz w:val="20"/>
                <w:szCs w:val="20"/>
              </w:rPr>
            </w:pPr>
            <w:r w:rsidRPr="00237A02">
              <w:rPr>
                <w:sz w:val="20"/>
                <w:szCs w:val="20"/>
              </w:rPr>
              <w:t>“Las obligaciones establecidas en esta ley serán extensivas a los establecimientos que expendan alimentos preparados, incluidas las bebidas, a lo menos respecto los contenidos de energía, azúcares, sodio, grasas saturadas, gluten y los demás que el Ministerio de Salud determine.</w:t>
            </w:r>
          </w:p>
          <w:p w14:paraId="7D575E0A" w14:textId="77777777" w:rsidR="00260319" w:rsidRPr="00237A02" w:rsidRDefault="00260319" w:rsidP="00260319">
            <w:pPr>
              <w:rPr>
                <w:sz w:val="20"/>
                <w:szCs w:val="20"/>
              </w:rPr>
            </w:pPr>
            <w:r w:rsidRPr="00237A02">
              <w:rPr>
                <w:sz w:val="20"/>
                <w:szCs w:val="20"/>
              </w:rPr>
              <w:lastRenderedPageBreak/>
              <w:t>Los establecimientos que expendan alimentos preparados deberán informar a través de sus cartas, vitrinas o similares, respecto de los contenidos en sus preparaciones, a lo menos la cantidad de energía, azúcares, sodio, grasas saturadas, gluten y los demás que el Ministerio de Salud determine, debiendo contar siempre con oferta para personas con intolerancias alimentarias, como los enfermos celíacos.</w:t>
            </w:r>
          </w:p>
          <w:p w14:paraId="1BBFACCE" w14:textId="77777777" w:rsidR="00260319" w:rsidRPr="00237A02" w:rsidRDefault="00260319">
            <w:pPr>
              <w:rPr>
                <w:sz w:val="20"/>
                <w:szCs w:val="20"/>
              </w:rPr>
            </w:pPr>
          </w:p>
        </w:tc>
        <w:tc>
          <w:tcPr>
            <w:tcW w:w="5292" w:type="dxa"/>
          </w:tcPr>
          <w:p w14:paraId="23552864" w14:textId="77777777" w:rsidR="00260319" w:rsidRPr="00237A02" w:rsidRDefault="00260319">
            <w:pPr>
              <w:rPr>
                <w:sz w:val="20"/>
                <w:szCs w:val="20"/>
              </w:rPr>
            </w:pPr>
          </w:p>
        </w:tc>
      </w:tr>
      <w:tr w:rsidR="00084FAD" w:rsidRPr="00237A02" w14:paraId="3FB3C737" w14:textId="77777777" w:rsidTr="00260319">
        <w:tc>
          <w:tcPr>
            <w:tcW w:w="5292" w:type="dxa"/>
          </w:tcPr>
          <w:p w14:paraId="0CBBD8E6" w14:textId="5CAD1BEC" w:rsidR="00084FAD" w:rsidRPr="00237A02" w:rsidRDefault="00084FAD">
            <w:pPr>
              <w:rPr>
                <w:sz w:val="20"/>
                <w:szCs w:val="20"/>
              </w:rPr>
            </w:pPr>
            <w:r w:rsidRPr="00237A02">
              <w:rPr>
                <w:sz w:val="20"/>
                <w:szCs w:val="20"/>
              </w:rPr>
              <w:t>Artículo 10.- Las infracciones a las disposiciones de esta ley serán sancionadas de acuerdo al Libro Décimo del Código Sanitario.</w:t>
            </w:r>
          </w:p>
        </w:tc>
        <w:tc>
          <w:tcPr>
            <w:tcW w:w="5292" w:type="dxa"/>
          </w:tcPr>
          <w:p w14:paraId="1D7CAD60" w14:textId="77777777" w:rsidR="00084FAD" w:rsidRPr="00237A02" w:rsidRDefault="00084FAD" w:rsidP="00260319">
            <w:pPr>
              <w:rPr>
                <w:sz w:val="20"/>
                <w:szCs w:val="20"/>
              </w:rPr>
            </w:pPr>
          </w:p>
        </w:tc>
        <w:tc>
          <w:tcPr>
            <w:tcW w:w="5292" w:type="dxa"/>
          </w:tcPr>
          <w:p w14:paraId="5313F53B" w14:textId="77777777" w:rsidR="00084FAD" w:rsidRPr="00237A02" w:rsidRDefault="00084FAD">
            <w:pPr>
              <w:rPr>
                <w:sz w:val="20"/>
                <w:szCs w:val="20"/>
              </w:rPr>
            </w:pPr>
          </w:p>
        </w:tc>
      </w:tr>
    </w:tbl>
    <w:p w14:paraId="64C61221" w14:textId="0E8E9EC9" w:rsidR="00E9755F" w:rsidRPr="00237A02" w:rsidRDefault="00084FAD" w:rsidP="00084FAD">
      <w:pPr>
        <w:jc w:val="center"/>
        <w:rPr>
          <w:sz w:val="20"/>
          <w:szCs w:val="20"/>
        </w:rPr>
      </w:pPr>
      <w:r w:rsidRPr="00237A02">
        <w:rPr>
          <w:sz w:val="20"/>
          <w:szCs w:val="20"/>
        </w:rPr>
        <w:t>***</w:t>
      </w:r>
    </w:p>
    <w:tbl>
      <w:tblPr>
        <w:tblStyle w:val="Tablaconcuadrcula"/>
        <w:tblW w:w="0" w:type="auto"/>
        <w:tblLook w:val="04A0" w:firstRow="1" w:lastRow="0" w:firstColumn="1" w:lastColumn="0" w:noHBand="0" w:noVBand="1"/>
      </w:tblPr>
      <w:tblGrid>
        <w:gridCol w:w="5292"/>
        <w:gridCol w:w="5292"/>
        <w:gridCol w:w="5292"/>
      </w:tblGrid>
      <w:tr w:rsidR="00E9755F" w:rsidRPr="00237A02" w14:paraId="18CAAAE8" w14:textId="77777777" w:rsidTr="00D02553">
        <w:trPr>
          <w:tblHeader/>
        </w:trPr>
        <w:tc>
          <w:tcPr>
            <w:tcW w:w="5292" w:type="dxa"/>
            <w:shd w:val="pct10" w:color="auto" w:fill="auto"/>
          </w:tcPr>
          <w:p w14:paraId="5E6CD692" w14:textId="0CE21028" w:rsidR="00E9755F" w:rsidRPr="00237A02" w:rsidRDefault="00E9755F" w:rsidP="00E9755F">
            <w:pPr>
              <w:jc w:val="center"/>
              <w:rPr>
                <w:b/>
                <w:sz w:val="20"/>
                <w:szCs w:val="20"/>
              </w:rPr>
            </w:pPr>
            <w:r w:rsidRPr="00237A02">
              <w:rPr>
                <w:b/>
                <w:sz w:val="20"/>
                <w:szCs w:val="20"/>
              </w:rPr>
              <w:t>Ley N°19.886</w:t>
            </w:r>
          </w:p>
        </w:tc>
        <w:tc>
          <w:tcPr>
            <w:tcW w:w="5292" w:type="dxa"/>
            <w:shd w:val="pct10" w:color="auto" w:fill="auto"/>
          </w:tcPr>
          <w:p w14:paraId="10708D30" w14:textId="579274E5" w:rsidR="00E9755F" w:rsidRPr="00237A02" w:rsidRDefault="00E9755F" w:rsidP="00E9755F">
            <w:pPr>
              <w:jc w:val="center"/>
              <w:rPr>
                <w:b/>
                <w:sz w:val="20"/>
                <w:szCs w:val="20"/>
              </w:rPr>
            </w:pPr>
            <w:r w:rsidRPr="00237A02">
              <w:rPr>
                <w:b/>
                <w:sz w:val="20"/>
                <w:szCs w:val="20"/>
              </w:rPr>
              <w:t>Proyecto de ley</w:t>
            </w:r>
          </w:p>
        </w:tc>
        <w:tc>
          <w:tcPr>
            <w:tcW w:w="5292" w:type="dxa"/>
            <w:shd w:val="pct10" w:color="auto" w:fill="auto"/>
          </w:tcPr>
          <w:p w14:paraId="48E51E5D" w14:textId="77777777" w:rsidR="00E9755F" w:rsidRPr="00237A02" w:rsidRDefault="00E9755F" w:rsidP="00E9755F">
            <w:pPr>
              <w:jc w:val="center"/>
              <w:rPr>
                <w:b/>
                <w:sz w:val="20"/>
                <w:szCs w:val="20"/>
              </w:rPr>
            </w:pPr>
          </w:p>
        </w:tc>
      </w:tr>
      <w:tr w:rsidR="00E9755F" w:rsidRPr="00237A02" w14:paraId="613384FE" w14:textId="77777777" w:rsidTr="00EF4832">
        <w:tc>
          <w:tcPr>
            <w:tcW w:w="5292" w:type="dxa"/>
          </w:tcPr>
          <w:p w14:paraId="0D9C1615" w14:textId="77777777" w:rsidR="00E9755F" w:rsidRPr="00237A02" w:rsidRDefault="00E9755F" w:rsidP="00D02553">
            <w:pPr>
              <w:jc w:val="center"/>
              <w:rPr>
                <w:i/>
                <w:sz w:val="20"/>
                <w:szCs w:val="20"/>
              </w:rPr>
            </w:pPr>
            <w:r w:rsidRPr="00237A02">
              <w:rPr>
                <w:i/>
                <w:sz w:val="20"/>
                <w:szCs w:val="20"/>
              </w:rPr>
              <w:t>CAPITULO III</w:t>
            </w:r>
          </w:p>
          <w:p w14:paraId="211BA9BD" w14:textId="38DBBBD0" w:rsidR="00E9755F" w:rsidRPr="00237A02" w:rsidRDefault="00E9755F" w:rsidP="00D02553">
            <w:pPr>
              <w:jc w:val="center"/>
              <w:rPr>
                <w:i/>
                <w:sz w:val="20"/>
                <w:szCs w:val="20"/>
              </w:rPr>
            </w:pPr>
            <w:r w:rsidRPr="00237A02">
              <w:rPr>
                <w:i/>
                <w:sz w:val="20"/>
                <w:szCs w:val="20"/>
              </w:rPr>
              <w:t>De las actuaciones relativas a la contratación</w:t>
            </w:r>
          </w:p>
          <w:p w14:paraId="72C6B0CE" w14:textId="60C0EF88" w:rsidR="00E9755F" w:rsidRPr="00237A02" w:rsidRDefault="00E9755F" w:rsidP="00D02553">
            <w:pPr>
              <w:jc w:val="center"/>
              <w:rPr>
                <w:i/>
                <w:sz w:val="20"/>
                <w:szCs w:val="20"/>
              </w:rPr>
            </w:pPr>
            <w:r w:rsidRPr="00237A02">
              <w:rPr>
                <w:i/>
                <w:sz w:val="20"/>
                <w:szCs w:val="20"/>
              </w:rPr>
              <w:t>PARRAFO 1</w:t>
            </w:r>
          </w:p>
          <w:p w14:paraId="2B7128DB" w14:textId="64B2247F" w:rsidR="00E9755F" w:rsidRPr="00237A02" w:rsidRDefault="00E9755F" w:rsidP="00D02553">
            <w:pPr>
              <w:jc w:val="center"/>
              <w:rPr>
                <w:i/>
                <w:sz w:val="20"/>
                <w:szCs w:val="20"/>
              </w:rPr>
            </w:pPr>
            <w:r w:rsidRPr="00237A02">
              <w:rPr>
                <w:i/>
                <w:sz w:val="20"/>
                <w:szCs w:val="20"/>
              </w:rPr>
              <w:t>De los procedimientos de contratación</w:t>
            </w:r>
          </w:p>
          <w:p w14:paraId="2F39295C" w14:textId="77777777" w:rsidR="00E9755F" w:rsidRPr="00237A02" w:rsidRDefault="00E9755F" w:rsidP="00E9755F">
            <w:pPr>
              <w:rPr>
                <w:sz w:val="20"/>
                <w:szCs w:val="20"/>
              </w:rPr>
            </w:pPr>
          </w:p>
          <w:p w14:paraId="5B234A41" w14:textId="77777777" w:rsidR="00084FAD" w:rsidRPr="00237A02" w:rsidRDefault="00084FAD" w:rsidP="00084FAD">
            <w:pPr>
              <w:rPr>
                <w:sz w:val="20"/>
                <w:szCs w:val="20"/>
              </w:rPr>
            </w:pPr>
            <w:r w:rsidRPr="00237A02">
              <w:rPr>
                <w:sz w:val="20"/>
                <w:szCs w:val="20"/>
              </w:rPr>
              <w:t>Artículo 6º.- Las bases de licitación deberán establecer las condiciones que permitan alcanzar la combinación más ventajosa entre todos los beneficios del bien o servicio por adquirir y todos sus costos asociados, presentes y futuros. En el caso de la prestación de servicios habituales, que deban proveerse a través de licitaciones o contrataciones periódicas, se otorgará mayor puntaje o calificación a aquellos postulantes que exhibieren mejores condiciones de empleo y remuneraciones. En las bases de licitación y en la evaluación de las respectivas propuestas se dará prioridad a quien oferte mayores sueldos por sobre el ingreso mínimo mensual y otras remuneraciones de mayor valor, tales como las gratificaciones legales, la duración indefinida de los contratos y condiciones laborales que resulten más ventajosas en atención a la naturaleza de los servicios contratados. Del mismo modo, se dará prioridad a las propuestas que garanticen los pagos a que alude el inciso quinto. Estas condiciones no podrán establecer diferencias arbitrarias entre los proponentes, ni sólo atender al precio de la oferta.</w:t>
            </w:r>
          </w:p>
          <w:p w14:paraId="73E49912" w14:textId="77777777" w:rsidR="00084FAD" w:rsidRPr="00237A02" w:rsidRDefault="00084FAD" w:rsidP="00084FAD">
            <w:pPr>
              <w:rPr>
                <w:sz w:val="20"/>
                <w:szCs w:val="20"/>
              </w:rPr>
            </w:pPr>
            <w:r w:rsidRPr="00237A02">
              <w:rPr>
                <w:sz w:val="20"/>
                <w:szCs w:val="20"/>
              </w:rPr>
              <w:t xml:space="preserve">     En las licitaciones que tengan por objeto la contratación por parte de las municipalidades del servicio de recolección, transporte o disposición final de residuos sólidos domiciliarios, barridos y mantención de áreas verdes, la ponderación del criterio referido a las mejores condiciones de empleo y remuneraciones a que se refiere el inciso primero de este artículo no podrá ser inferior al 15% de la ponderación total de la evaluación, y la remuneración íntegra que se ofrezca pagar a cada trabajador no podrá ser inferior al promedio de las remuneraciones devengadas a los trabajadores que cumplían igual función en los tres últimos meses, previos al inicio del proceso licitatorio. El municipio deberá indicar en las bases de licitación el referido promedio de remuneraciones de cada función, concernientes al proceso licitatorio anterior.</w:t>
            </w:r>
          </w:p>
          <w:p w14:paraId="23D1323D" w14:textId="77777777" w:rsidR="00084FAD" w:rsidRPr="00237A02" w:rsidRDefault="00084FAD" w:rsidP="00084FAD">
            <w:pPr>
              <w:rPr>
                <w:sz w:val="20"/>
                <w:szCs w:val="20"/>
              </w:rPr>
            </w:pPr>
            <w:r w:rsidRPr="00237A02">
              <w:rPr>
                <w:sz w:val="20"/>
                <w:szCs w:val="20"/>
              </w:rPr>
              <w:t xml:space="preserve">     Para la ponderación del criterio señalado en el inciso anterior y el cálculo de las remuneraciones, se considerará únicamente al personal que labore directamente en acciones operativas del servicio.</w:t>
            </w:r>
          </w:p>
          <w:p w14:paraId="2B811AD0" w14:textId="77777777" w:rsidR="00084FAD" w:rsidRPr="00237A02" w:rsidRDefault="00084FAD" w:rsidP="00084FAD">
            <w:pPr>
              <w:rPr>
                <w:sz w:val="20"/>
                <w:szCs w:val="20"/>
              </w:rPr>
            </w:pPr>
            <w:r w:rsidRPr="00237A02">
              <w:rPr>
                <w:sz w:val="20"/>
                <w:szCs w:val="20"/>
              </w:rPr>
              <w:t xml:space="preserve">     El porcentaje mencionado en el inciso segundo se distribuirá en un 70% respecto del monto de las remuneraciones y en un 30% respecto de las condiciones de empleo ofrecidas que superen los mínimos legales, tales como que la oferta comprenda la contratación del mayor número de trabajadores que desempeñe dichas funciones en virtud del contrato anterior, condiciones de bienestar u otras que la municipalidad establezca en cada caso. Será requisito de admisibilidad de la oferta la presentación, por parte de la empresa postulante, de una dotación suficiente de trabajadores que impida exceder los límites legales establecidos para la jornada de trabajo, incluidas las horas extraordinarias, y de un programa de gestión de los riesgos presentes en el trabajo, el que deberá observar las disposiciones legales y demás normas que regulen estos riesgos, así como los criterios de gestión definidos en la Política Nacional de Seguridad y Salud en el Trabajo.</w:t>
            </w:r>
          </w:p>
          <w:p w14:paraId="574E1FBE" w14:textId="1183A322" w:rsidR="00D02553" w:rsidRPr="00237A02" w:rsidRDefault="00D02553" w:rsidP="00084FAD">
            <w:pPr>
              <w:rPr>
                <w:sz w:val="20"/>
                <w:szCs w:val="20"/>
              </w:rPr>
            </w:pPr>
          </w:p>
          <w:p w14:paraId="659147FD" w14:textId="77777777" w:rsidR="00D02553" w:rsidRPr="00237A02" w:rsidRDefault="00D02553" w:rsidP="00084FAD">
            <w:pPr>
              <w:rPr>
                <w:sz w:val="20"/>
                <w:szCs w:val="20"/>
              </w:rPr>
            </w:pPr>
          </w:p>
          <w:p w14:paraId="1E1004D2" w14:textId="77777777" w:rsidR="00D02553" w:rsidRPr="00237A02" w:rsidRDefault="00D02553" w:rsidP="00084FAD">
            <w:pPr>
              <w:rPr>
                <w:sz w:val="20"/>
                <w:szCs w:val="20"/>
              </w:rPr>
            </w:pPr>
          </w:p>
          <w:p w14:paraId="368B65E3" w14:textId="77777777" w:rsidR="00D02553" w:rsidRPr="00237A02" w:rsidRDefault="00D02553" w:rsidP="00084FAD">
            <w:pPr>
              <w:rPr>
                <w:sz w:val="20"/>
                <w:szCs w:val="20"/>
              </w:rPr>
            </w:pPr>
          </w:p>
          <w:p w14:paraId="020C8F64" w14:textId="77777777" w:rsidR="00D02553" w:rsidRPr="00237A02" w:rsidRDefault="00D02553" w:rsidP="00084FAD">
            <w:pPr>
              <w:rPr>
                <w:sz w:val="20"/>
                <w:szCs w:val="20"/>
              </w:rPr>
            </w:pPr>
          </w:p>
          <w:p w14:paraId="039E40C3" w14:textId="77777777" w:rsidR="00D02553" w:rsidRPr="00237A02" w:rsidRDefault="00D02553" w:rsidP="00084FAD">
            <w:pPr>
              <w:rPr>
                <w:sz w:val="20"/>
                <w:szCs w:val="20"/>
              </w:rPr>
            </w:pPr>
          </w:p>
          <w:p w14:paraId="1DF31B93" w14:textId="77777777" w:rsidR="00D02553" w:rsidRPr="00237A02" w:rsidRDefault="00D02553" w:rsidP="00084FAD">
            <w:pPr>
              <w:rPr>
                <w:sz w:val="20"/>
                <w:szCs w:val="20"/>
              </w:rPr>
            </w:pPr>
          </w:p>
          <w:p w14:paraId="1275A455" w14:textId="77777777" w:rsidR="00D02553" w:rsidRPr="00237A02" w:rsidRDefault="00D02553" w:rsidP="00084FAD">
            <w:pPr>
              <w:rPr>
                <w:sz w:val="20"/>
                <w:szCs w:val="20"/>
              </w:rPr>
            </w:pPr>
          </w:p>
          <w:p w14:paraId="462E00C2" w14:textId="77777777" w:rsidR="00D02553" w:rsidRPr="00237A02" w:rsidRDefault="00D02553" w:rsidP="00084FAD">
            <w:pPr>
              <w:rPr>
                <w:sz w:val="20"/>
                <w:szCs w:val="20"/>
              </w:rPr>
            </w:pPr>
          </w:p>
          <w:p w14:paraId="6DDFEEF0" w14:textId="77777777" w:rsidR="00D02553" w:rsidRPr="00237A02" w:rsidRDefault="00D02553" w:rsidP="00084FAD">
            <w:pPr>
              <w:rPr>
                <w:sz w:val="20"/>
                <w:szCs w:val="20"/>
              </w:rPr>
            </w:pPr>
          </w:p>
          <w:p w14:paraId="42DE4C92" w14:textId="77777777" w:rsidR="00D02553" w:rsidRPr="00237A02" w:rsidRDefault="00D02553" w:rsidP="00084FAD">
            <w:pPr>
              <w:rPr>
                <w:sz w:val="20"/>
                <w:szCs w:val="20"/>
              </w:rPr>
            </w:pPr>
          </w:p>
          <w:p w14:paraId="12EE7070" w14:textId="6927263F" w:rsidR="00084FAD" w:rsidRPr="00237A02" w:rsidRDefault="00084FAD" w:rsidP="00084FAD">
            <w:pPr>
              <w:rPr>
                <w:sz w:val="20"/>
                <w:szCs w:val="20"/>
              </w:rPr>
            </w:pPr>
            <w:r w:rsidRPr="00237A02">
              <w:rPr>
                <w:sz w:val="20"/>
                <w:szCs w:val="20"/>
              </w:rPr>
              <w:t xml:space="preserve">     En los contratos de prestación de servicios para establecimientos de educación parvularia, escolar y preescolar, los contratos de trabajo del personal que se desempeña en la manipulación de alimentos deberán contemplar el pago de las remuneraciones de los meses de diciembre, enero y febrero en las mismas condiciones de los meses precedentes, de conformidad con lo dispuesto en el inciso primero del artículo 75 bis del Código del Trabajo.</w:t>
            </w:r>
          </w:p>
          <w:p w14:paraId="605C281E" w14:textId="77777777" w:rsidR="00084FAD" w:rsidRPr="00237A02" w:rsidRDefault="00084FAD" w:rsidP="00084FAD">
            <w:pPr>
              <w:rPr>
                <w:sz w:val="20"/>
                <w:szCs w:val="20"/>
              </w:rPr>
            </w:pPr>
            <w:r w:rsidRPr="00237A02">
              <w:rPr>
                <w:sz w:val="20"/>
                <w:szCs w:val="20"/>
              </w:rPr>
              <w:t xml:space="preserve">     También se dará prioridad, en los términos del inciso primero, a las empresas que mantengan vigentes convenios colectivos con las organizaciones sindicales representativas de sus trabajadores o que le hagan aplicables a estos convenios colectivos acordados por otros empleadores u organizaciones gremiales de empleadores, suscritos de conformidad a las reglas del Título X del Libro IV del Código del Trabajo.</w:t>
            </w:r>
          </w:p>
          <w:p w14:paraId="2A39F7C2" w14:textId="4A7BDFEA" w:rsidR="00E9755F" w:rsidRPr="00237A02" w:rsidRDefault="00084FAD" w:rsidP="00084FAD">
            <w:pPr>
              <w:rPr>
                <w:sz w:val="20"/>
                <w:szCs w:val="20"/>
              </w:rPr>
            </w:pPr>
            <w:r w:rsidRPr="00237A02">
              <w:rPr>
                <w:sz w:val="20"/>
                <w:szCs w:val="20"/>
              </w:rPr>
              <w:t xml:space="preserve">     En todo caso, la Administración deberá propender a la eficacia, eficiencia y ahorro en sus contrataciones.</w:t>
            </w:r>
          </w:p>
        </w:tc>
        <w:tc>
          <w:tcPr>
            <w:tcW w:w="5292" w:type="dxa"/>
          </w:tcPr>
          <w:p w14:paraId="5AA3479B" w14:textId="77777777" w:rsidR="00D02553" w:rsidRPr="00237A02" w:rsidRDefault="00D02553" w:rsidP="00EF4832">
            <w:pPr>
              <w:rPr>
                <w:sz w:val="20"/>
                <w:szCs w:val="20"/>
              </w:rPr>
            </w:pPr>
          </w:p>
          <w:p w14:paraId="01C63AD7" w14:textId="77777777" w:rsidR="00D02553" w:rsidRPr="00237A02" w:rsidRDefault="00D02553" w:rsidP="00EF4832">
            <w:pPr>
              <w:rPr>
                <w:sz w:val="20"/>
                <w:szCs w:val="20"/>
              </w:rPr>
            </w:pPr>
          </w:p>
          <w:p w14:paraId="2CCC09DF" w14:textId="77777777" w:rsidR="00D02553" w:rsidRPr="00237A02" w:rsidRDefault="00D02553" w:rsidP="00EF4832">
            <w:pPr>
              <w:rPr>
                <w:sz w:val="20"/>
                <w:szCs w:val="20"/>
              </w:rPr>
            </w:pPr>
          </w:p>
          <w:p w14:paraId="2AA37998" w14:textId="77777777" w:rsidR="00D02553" w:rsidRPr="00237A02" w:rsidRDefault="00D02553" w:rsidP="00EF4832">
            <w:pPr>
              <w:rPr>
                <w:sz w:val="20"/>
                <w:szCs w:val="20"/>
              </w:rPr>
            </w:pPr>
          </w:p>
          <w:p w14:paraId="5C7C94EF" w14:textId="77777777" w:rsidR="00D02553" w:rsidRPr="00237A02" w:rsidRDefault="00D02553" w:rsidP="00EF4832">
            <w:pPr>
              <w:rPr>
                <w:sz w:val="20"/>
                <w:szCs w:val="20"/>
              </w:rPr>
            </w:pPr>
          </w:p>
          <w:p w14:paraId="326A7110" w14:textId="77777777" w:rsidR="00D02553" w:rsidRPr="00237A02" w:rsidRDefault="00D02553" w:rsidP="00EF4832">
            <w:pPr>
              <w:rPr>
                <w:sz w:val="20"/>
                <w:szCs w:val="20"/>
              </w:rPr>
            </w:pPr>
          </w:p>
          <w:p w14:paraId="38803D4B" w14:textId="77777777" w:rsidR="00D02553" w:rsidRPr="00237A02" w:rsidRDefault="00D02553" w:rsidP="00EF4832">
            <w:pPr>
              <w:rPr>
                <w:sz w:val="20"/>
                <w:szCs w:val="20"/>
              </w:rPr>
            </w:pPr>
          </w:p>
          <w:p w14:paraId="2ABC2EDA" w14:textId="77777777" w:rsidR="00D02553" w:rsidRPr="00237A02" w:rsidRDefault="00D02553" w:rsidP="00EF4832">
            <w:pPr>
              <w:rPr>
                <w:sz w:val="20"/>
                <w:szCs w:val="20"/>
              </w:rPr>
            </w:pPr>
          </w:p>
          <w:p w14:paraId="105E3B6A" w14:textId="77777777" w:rsidR="00D02553" w:rsidRPr="00237A02" w:rsidRDefault="00D02553" w:rsidP="00EF4832">
            <w:pPr>
              <w:rPr>
                <w:sz w:val="20"/>
                <w:szCs w:val="20"/>
              </w:rPr>
            </w:pPr>
          </w:p>
          <w:p w14:paraId="0A19F94C" w14:textId="77777777" w:rsidR="00D02553" w:rsidRPr="00237A02" w:rsidRDefault="00D02553" w:rsidP="00EF4832">
            <w:pPr>
              <w:rPr>
                <w:sz w:val="20"/>
                <w:szCs w:val="20"/>
              </w:rPr>
            </w:pPr>
          </w:p>
          <w:p w14:paraId="217D9D65" w14:textId="77777777" w:rsidR="00D02553" w:rsidRPr="00237A02" w:rsidRDefault="00D02553" w:rsidP="00EF4832">
            <w:pPr>
              <w:rPr>
                <w:sz w:val="20"/>
                <w:szCs w:val="20"/>
              </w:rPr>
            </w:pPr>
          </w:p>
          <w:p w14:paraId="6B0BFBCA" w14:textId="77777777" w:rsidR="00D02553" w:rsidRPr="00237A02" w:rsidRDefault="00D02553" w:rsidP="00EF4832">
            <w:pPr>
              <w:rPr>
                <w:sz w:val="20"/>
                <w:szCs w:val="20"/>
              </w:rPr>
            </w:pPr>
          </w:p>
          <w:p w14:paraId="45C754E4" w14:textId="77777777" w:rsidR="00D02553" w:rsidRPr="00237A02" w:rsidRDefault="00D02553" w:rsidP="00EF4832">
            <w:pPr>
              <w:rPr>
                <w:sz w:val="20"/>
                <w:szCs w:val="20"/>
              </w:rPr>
            </w:pPr>
          </w:p>
          <w:p w14:paraId="0B1086DF" w14:textId="77777777" w:rsidR="00D02553" w:rsidRPr="00237A02" w:rsidRDefault="00D02553" w:rsidP="00EF4832">
            <w:pPr>
              <w:rPr>
                <w:sz w:val="20"/>
                <w:szCs w:val="20"/>
              </w:rPr>
            </w:pPr>
          </w:p>
          <w:p w14:paraId="1412DCE6" w14:textId="77777777" w:rsidR="00D02553" w:rsidRPr="00237A02" w:rsidRDefault="00D02553" w:rsidP="00EF4832">
            <w:pPr>
              <w:rPr>
                <w:sz w:val="20"/>
                <w:szCs w:val="20"/>
              </w:rPr>
            </w:pPr>
          </w:p>
          <w:p w14:paraId="32B12CC3" w14:textId="77777777" w:rsidR="00D02553" w:rsidRPr="00237A02" w:rsidRDefault="00D02553" w:rsidP="00EF4832">
            <w:pPr>
              <w:rPr>
                <w:sz w:val="20"/>
                <w:szCs w:val="20"/>
              </w:rPr>
            </w:pPr>
          </w:p>
          <w:p w14:paraId="520EFA13" w14:textId="77777777" w:rsidR="00D02553" w:rsidRPr="00237A02" w:rsidRDefault="00D02553" w:rsidP="00EF4832">
            <w:pPr>
              <w:rPr>
                <w:sz w:val="20"/>
                <w:szCs w:val="20"/>
              </w:rPr>
            </w:pPr>
          </w:p>
          <w:p w14:paraId="239C7E73" w14:textId="77777777" w:rsidR="00D02553" w:rsidRPr="00237A02" w:rsidRDefault="00D02553" w:rsidP="00EF4832">
            <w:pPr>
              <w:rPr>
                <w:sz w:val="20"/>
                <w:szCs w:val="20"/>
              </w:rPr>
            </w:pPr>
          </w:p>
          <w:p w14:paraId="45ABC98F" w14:textId="77777777" w:rsidR="00D02553" w:rsidRPr="00237A02" w:rsidRDefault="00D02553" w:rsidP="00EF4832">
            <w:pPr>
              <w:rPr>
                <w:sz w:val="20"/>
                <w:szCs w:val="20"/>
              </w:rPr>
            </w:pPr>
          </w:p>
          <w:p w14:paraId="6A604D3C" w14:textId="77777777" w:rsidR="00D02553" w:rsidRPr="00237A02" w:rsidRDefault="00D02553" w:rsidP="00EF4832">
            <w:pPr>
              <w:rPr>
                <w:sz w:val="20"/>
                <w:szCs w:val="20"/>
              </w:rPr>
            </w:pPr>
          </w:p>
          <w:p w14:paraId="0B7FF248" w14:textId="77777777" w:rsidR="00D02553" w:rsidRPr="00237A02" w:rsidRDefault="00D02553" w:rsidP="00EF4832">
            <w:pPr>
              <w:rPr>
                <w:sz w:val="20"/>
                <w:szCs w:val="20"/>
              </w:rPr>
            </w:pPr>
          </w:p>
          <w:p w14:paraId="467E74D2" w14:textId="77777777" w:rsidR="00D02553" w:rsidRPr="00237A02" w:rsidRDefault="00D02553" w:rsidP="00EF4832">
            <w:pPr>
              <w:rPr>
                <w:sz w:val="20"/>
                <w:szCs w:val="20"/>
              </w:rPr>
            </w:pPr>
          </w:p>
          <w:p w14:paraId="7C546CC2" w14:textId="77777777" w:rsidR="00D02553" w:rsidRPr="00237A02" w:rsidRDefault="00D02553" w:rsidP="00EF4832">
            <w:pPr>
              <w:rPr>
                <w:sz w:val="20"/>
                <w:szCs w:val="20"/>
              </w:rPr>
            </w:pPr>
          </w:p>
          <w:p w14:paraId="4DDD51D3" w14:textId="77777777" w:rsidR="00D02553" w:rsidRPr="00237A02" w:rsidRDefault="00D02553" w:rsidP="00EF4832">
            <w:pPr>
              <w:rPr>
                <w:sz w:val="20"/>
                <w:szCs w:val="20"/>
              </w:rPr>
            </w:pPr>
          </w:p>
          <w:p w14:paraId="3E98F587" w14:textId="77777777" w:rsidR="00D02553" w:rsidRPr="00237A02" w:rsidRDefault="00D02553" w:rsidP="00EF4832">
            <w:pPr>
              <w:rPr>
                <w:sz w:val="20"/>
                <w:szCs w:val="20"/>
              </w:rPr>
            </w:pPr>
          </w:p>
          <w:p w14:paraId="0D1008C6" w14:textId="77777777" w:rsidR="00D02553" w:rsidRPr="00237A02" w:rsidRDefault="00D02553" w:rsidP="00EF4832">
            <w:pPr>
              <w:rPr>
                <w:sz w:val="20"/>
                <w:szCs w:val="20"/>
              </w:rPr>
            </w:pPr>
          </w:p>
          <w:p w14:paraId="3B2D4768" w14:textId="77777777" w:rsidR="00D02553" w:rsidRPr="00237A02" w:rsidRDefault="00D02553" w:rsidP="00EF4832">
            <w:pPr>
              <w:rPr>
                <w:sz w:val="20"/>
                <w:szCs w:val="20"/>
              </w:rPr>
            </w:pPr>
          </w:p>
          <w:p w14:paraId="53193274" w14:textId="77777777" w:rsidR="00D02553" w:rsidRPr="00237A02" w:rsidRDefault="00D02553" w:rsidP="00EF4832">
            <w:pPr>
              <w:rPr>
                <w:sz w:val="20"/>
                <w:szCs w:val="20"/>
              </w:rPr>
            </w:pPr>
          </w:p>
          <w:p w14:paraId="08B16589" w14:textId="77777777" w:rsidR="00D02553" w:rsidRPr="00237A02" w:rsidRDefault="00D02553" w:rsidP="00EF4832">
            <w:pPr>
              <w:rPr>
                <w:sz w:val="20"/>
                <w:szCs w:val="20"/>
              </w:rPr>
            </w:pPr>
          </w:p>
          <w:p w14:paraId="1890E0A2" w14:textId="77777777" w:rsidR="00D02553" w:rsidRPr="00237A02" w:rsidRDefault="00D02553" w:rsidP="00EF4832">
            <w:pPr>
              <w:rPr>
                <w:sz w:val="20"/>
                <w:szCs w:val="20"/>
              </w:rPr>
            </w:pPr>
          </w:p>
          <w:p w14:paraId="0906729C" w14:textId="77777777" w:rsidR="00D02553" w:rsidRPr="00237A02" w:rsidRDefault="00D02553" w:rsidP="00EF4832">
            <w:pPr>
              <w:rPr>
                <w:sz w:val="20"/>
                <w:szCs w:val="20"/>
              </w:rPr>
            </w:pPr>
          </w:p>
          <w:p w14:paraId="57677049" w14:textId="77777777" w:rsidR="00D02553" w:rsidRPr="00237A02" w:rsidRDefault="00D02553" w:rsidP="00EF4832">
            <w:pPr>
              <w:rPr>
                <w:sz w:val="20"/>
                <w:szCs w:val="20"/>
              </w:rPr>
            </w:pPr>
          </w:p>
          <w:p w14:paraId="364B8167" w14:textId="77777777" w:rsidR="00D02553" w:rsidRPr="00237A02" w:rsidRDefault="00D02553" w:rsidP="00EF4832">
            <w:pPr>
              <w:rPr>
                <w:sz w:val="20"/>
                <w:szCs w:val="20"/>
              </w:rPr>
            </w:pPr>
          </w:p>
          <w:p w14:paraId="09B020F1" w14:textId="77777777" w:rsidR="00D02553" w:rsidRPr="00237A02" w:rsidRDefault="00D02553" w:rsidP="00EF4832">
            <w:pPr>
              <w:rPr>
                <w:sz w:val="20"/>
                <w:szCs w:val="20"/>
              </w:rPr>
            </w:pPr>
          </w:p>
          <w:p w14:paraId="44EC6CD5" w14:textId="77777777" w:rsidR="00D02553" w:rsidRPr="00237A02" w:rsidRDefault="00D02553" w:rsidP="00EF4832">
            <w:pPr>
              <w:rPr>
                <w:sz w:val="20"/>
                <w:szCs w:val="20"/>
              </w:rPr>
            </w:pPr>
          </w:p>
          <w:p w14:paraId="3D17F275" w14:textId="77777777" w:rsidR="00D02553" w:rsidRPr="00237A02" w:rsidRDefault="00D02553" w:rsidP="00EF4832">
            <w:pPr>
              <w:rPr>
                <w:sz w:val="20"/>
                <w:szCs w:val="20"/>
              </w:rPr>
            </w:pPr>
          </w:p>
          <w:p w14:paraId="5ABD4C7E" w14:textId="77777777" w:rsidR="00D02553" w:rsidRPr="00237A02" w:rsidRDefault="00D02553" w:rsidP="00EF4832">
            <w:pPr>
              <w:rPr>
                <w:sz w:val="20"/>
                <w:szCs w:val="20"/>
              </w:rPr>
            </w:pPr>
          </w:p>
          <w:p w14:paraId="2B2C5D62" w14:textId="77777777" w:rsidR="00D02553" w:rsidRPr="00237A02" w:rsidRDefault="00D02553" w:rsidP="00EF4832">
            <w:pPr>
              <w:rPr>
                <w:sz w:val="20"/>
                <w:szCs w:val="20"/>
              </w:rPr>
            </w:pPr>
          </w:p>
          <w:p w14:paraId="600749BF" w14:textId="77777777" w:rsidR="00D02553" w:rsidRPr="00237A02" w:rsidRDefault="00D02553" w:rsidP="00EF4832">
            <w:pPr>
              <w:rPr>
                <w:sz w:val="20"/>
                <w:szCs w:val="20"/>
              </w:rPr>
            </w:pPr>
          </w:p>
          <w:p w14:paraId="12A519BA" w14:textId="77777777" w:rsidR="00D02553" w:rsidRPr="00237A02" w:rsidRDefault="00D02553" w:rsidP="00EF4832">
            <w:pPr>
              <w:rPr>
                <w:sz w:val="20"/>
                <w:szCs w:val="20"/>
              </w:rPr>
            </w:pPr>
          </w:p>
          <w:p w14:paraId="62D8B947" w14:textId="77777777" w:rsidR="00D02553" w:rsidRPr="00237A02" w:rsidRDefault="00D02553" w:rsidP="00EF4832">
            <w:pPr>
              <w:rPr>
                <w:sz w:val="20"/>
                <w:szCs w:val="20"/>
              </w:rPr>
            </w:pPr>
          </w:p>
          <w:p w14:paraId="2F48C84A" w14:textId="77777777" w:rsidR="00D02553" w:rsidRPr="00237A02" w:rsidRDefault="00D02553" w:rsidP="00EF4832">
            <w:pPr>
              <w:rPr>
                <w:sz w:val="20"/>
                <w:szCs w:val="20"/>
              </w:rPr>
            </w:pPr>
          </w:p>
          <w:p w14:paraId="16387D27" w14:textId="77777777" w:rsidR="00D02553" w:rsidRPr="00237A02" w:rsidRDefault="00D02553" w:rsidP="00EF4832">
            <w:pPr>
              <w:rPr>
                <w:sz w:val="20"/>
                <w:szCs w:val="20"/>
              </w:rPr>
            </w:pPr>
          </w:p>
          <w:p w14:paraId="1025F279" w14:textId="77777777" w:rsidR="00D02553" w:rsidRPr="00237A02" w:rsidRDefault="00D02553" w:rsidP="00EF4832">
            <w:pPr>
              <w:rPr>
                <w:sz w:val="20"/>
                <w:szCs w:val="20"/>
              </w:rPr>
            </w:pPr>
          </w:p>
          <w:p w14:paraId="1AD3D35E" w14:textId="77777777" w:rsidR="00D02553" w:rsidRPr="00237A02" w:rsidRDefault="00D02553" w:rsidP="00EF4832">
            <w:pPr>
              <w:rPr>
                <w:sz w:val="20"/>
                <w:szCs w:val="20"/>
              </w:rPr>
            </w:pPr>
          </w:p>
          <w:p w14:paraId="4B607498" w14:textId="77777777" w:rsidR="00D02553" w:rsidRPr="00237A02" w:rsidRDefault="00D02553" w:rsidP="00EF4832">
            <w:pPr>
              <w:rPr>
                <w:sz w:val="20"/>
                <w:szCs w:val="20"/>
              </w:rPr>
            </w:pPr>
          </w:p>
          <w:p w14:paraId="4E65D4F1" w14:textId="77777777" w:rsidR="00D02553" w:rsidRPr="00237A02" w:rsidRDefault="00D02553" w:rsidP="00EF4832">
            <w:pPr>
              <w:rPr>
                <w:sz w:val="20"/>
                <w:szCs w:val="20"/>
              </w:rPr>
            </w:pPr>
          </w:p>
          <w:p w14:paraId="33A706B4" w14:textId="77777777" w:rsidR="00D02553" w:rsidRPr="00237A02" w:rsidRDefault="00D02553" w:rsidP="00EF4832">
            <w:pPr>
              <w:rPr>
                <w:sz w:val="20"/>
                <w:szCs w:val="20"/>
              </w:rPr>
            </w:pPr>
          </w:p>
          <w:p w14:paraId="29B90979" w14:textId="77777777" w:rsidR="00D02553" w:rsidRPr="00237A02" w:rsidRDefault="00D02553" w:rsidP="00EF4832">
            <w:pPr>
              <w:rPr>
                <w:sz w:val="20"/>
                <w:szCs w:val="20"/>
              </w:rPr>
            </w:pPr>
          </w:p>
          <w:p w14:paraId="3AAD37E1" w14:textId="77777777" w:rsidR="00D02553" w:rsidRPr="00237A02" w:rsidRDefault="00D02553" w:rsidP="00EF4832">
            <w:pPr>
              <w:rPr>
                <w:sz w:val="20"/>
                <w:szCs w:val="20"/>
              </w:rPr>
            </w:pPr>
          </w:p>
          <w:p w14:paraId="2245932C" w14:textId="77777777" w:rsidR="00D02553" w:rsidRPr="00237A02" w:rsidRDefault="00D02553" w:rsidP="00EF4832">
            <w:pPr>
              <w:rPr>
                <w:sz w:val="20"/>
                <w:szCs w:val="20"/>
              </w:rPr>
            </w:pPr>
          </w:p>
          <w:p w14:paraId="622BD00E" w14:textId="77777777" w:rsidR="00D02553" w:rsidRPr="00237A02" w:rsidRDefault="00D02553" w:rsidP="00EF4832">
            <w:pPr>
              <w:rPr>
                <w:sz w:val="20"/>
                <w:szCs w:val="20"/>
              </w:rPr>
            </w:pPr>
          </w:p>
          <w:p w14:paraId="0A32AAA7" w14:textId="77777777" w:rsidR="00D02553" w:rsidRPr="00237A02" w:rsidRDefault="00D02553" w:rsidP="00EF4832">
            <w:pPr>
              <w:rPr>
                <w:sz w:val="20"/>
                <w:szCs w:val="20"/>
              </w:rPr>
            </w:pPr>
          </w:p>
          <w:p w14:paraId="54C97A32" w14:textId="77777777" w:rsidR="00D02553" w:rsidRPr="00237A02" w:rsidRDefault="00D02553" w:rsidP="00EF4832">
            <w:pPr>
              <w:rPr>
                <w:sz w:val="20"/>
                <w:szCs w:val="20"/>
              </w:rPr>
            </w:pPr>
          </w:p>
          <w:p w14:paraId="5061AC7A" w14:textId="77777777" w:rsidR="00D02553" w:rsidRPr="00237A02" w:rsidRDefault="00D02553" w:rsidP="00EF4832">
            <w:pPr>
              <w:rPr>
                <w:sz w:val="20"/>
                <w:szCs w:val="20"/>
              </w:rPr>
            </w:pPr>
          </w:p>
          <w:p w14:paraId="4E2295C4" w14:textId="77777777" w:rsidR="00D02553" w:rsidRPr="00237A02" w:rsidRDefault="00D02553" w:rsidP="00EF4832">
            <w:pPr>
              <w:rPr>
                <w:sz w:val="20"/>
                <w:szCs w:val="20"/>
              </w:rPr>
            </w:pPr>
          </w:p>
          <w:p w14:paraId="1FD86B0E" w14:textId="77777777" w:rsidR="00D02553" w:rsidRPr="00237A02" w:rsidRDefault="00D02553" w:rsidP="00EF4832">
            <w:pPr>
              <w:rPr>
                <w:sz w:val="20"/>
                <w:szCs w:val="20"/>
              </w:rPr>
            </w:pPr>
          </w:p>
          <w:p w14:paraId="4C8FAC4F" w14:textId="77777777" w:rsidR="00D02553" w:rsidRPr="00237A02" w:rsidRDefault="00D02553" w:rsidP="00EF4832">
            <w:pPr>
              <w:rPr>
                <w:sz w:val="20"/>
                <w:szCs w:val="20"/>
              </w:rPr>
            </w:pPr>
          </w:p>
          <w:p w14:paraId="3ED243B1" w14:textId="77777777" w:rsidR="00D02553" w:rsidRPr="00237A02" w:rsidRDefault="00D02553" w:rsidP="00EF4832">
            <w:pPr>
              <w:rPr>
                <w:sz w:val="20"/>
                <w:szCs w:val="20"/>
              </w:rPr>
            </w:pPr>
          </w:p>
          <w:p w14:paraId="237BB3D8" w14:textId="77777777" w:rsidR="00D02553" w:rsidRPr="00237A02" w:rsidRDefault="00D02553" w:rsidP="00EF4832">
            <w:pPr>
              <w:rPr>
                <w:sz w:val="20"/>
                <w:szCs w:val="20"/>
              </w:rPr>
            </w:pPr>
          </w:p>
          <w:p w14:paraId="5BAF3770" w14:textId="77777777" w:rsidR="00D02553" w:rsidRPr="00237A02" w:rsidRDefault="00D02553" w:rsidP="00EF4832">
            <w:pPr>
              <w:rPr>
                <w:sz w:val="20"/>
                <w:szCs w:val="20"/>
              </w:rPr>
            </w:pPr>
          </w:p>
          <w:p w14:paraId="6BEEB8F3" w14:textId="77777777" w:rsidR="00D02553" w:rsidRPr="00237A02" w:rsidRDefault="00D02553" w:rsidP="00EF4832">
            <w:pPr>
              <w:rPr>
                <w:sz w:val="20"/>
                <w:szCs w:val="20"/>
              </w:rPr>
            </w:pPr>
          </w:p>
          <w:p w14:paraId="403A2662" w14:textId="77777777" w:rsidR="00D02553" w:rsidRPr="00237A02" w:rsidRDefault="00D02553" w:rsidP="00EF4832">
            <w:pPr>
              <w:rPr>
                <w:sz w:val="20"/>
                <w:szCs w:val="20"/>
              </w:rPr>
            </w:pPr>
          </w:p>
          <w:p w14:paraId="35A69C89" w14:textId="44FEE5E4" w:rsidR="00E9755F" w:rsidRPr="00237A02" w:rsidRDefault="00D02553" w:rsidP="00EF4832">
            <w:pPr>
              <w:rPr>
                <w:sz w:val="20"/>
                <w:szCs w:val="20"/>
              </w:rPr>
            </w:pPr>
            <w:r w:rsidRPr="00237A02">
              <w:rPr>
                <w:sz w:val="20"/>
                <w:szCs w:val="20"/>
              </w:rPr>
              <w:t xml:space="preserve">Articulo 2.- </w:t>
            </w:r>
            <w:r w:rsidR="00E9755F" w:rsidRPr="00237A02">
              <w:rPr>
                <w:sz w:val="20"/>
                <w:szCs w:val="20"/>
              </w:rPr>
              <w:t xml:space="preserve">Incorpórase </w:t>
            </w:r>
            <w:r w:rsidRPr="00237A02">
              <w:rPr>
                <w:sz w:val="20"/>
                <w:szCs w:val="20"/>
              </w:rPr>
              <w:t xml:space="preserve">el siguiente </w:t>
            </w:r>
            <w:r w:rsidR="00E9755F" w:rsidRPr="00237A02">
              <w:rPr>
                <w:sz w:val="20"/>
                <w:szCs w:val="20"/>
              </w:rPr>
              <w:t>inciso 5</w:t>
            </w:r>
            <w:r w:rsidRPr="00237A02">
              <w:rPr>
                <w:sz w:val="20"/>
                <w:szCs w:val="20"/>
              </w:rPr>
              <w:t>, nuevo, al artículo 6° de la l</w:t>
            </w:r>
            <w:r w:rsidR="00E9755F" w:rsidRPr="00237A02">
              <w:rPr>
                <w:sz w:val="20"/>
                <w:szCs w:val="20"/>
              </w:rPr>
              <w:t xml:space="preserve">ey N° 19.886, pasando el actual 6 a ser el 7 y así sucesivamente: </w:t>
            </w:r>
          </w:p>
          <w:p w14:paraId="53D00F8E" w14:textId="77777777" w:rsidR="00E9755F" w:rsidRPr="00237A02" w:rsidRDefault="00E9755F" w:rsidP="00EF4832">
            <w:pPr>
              <w:rPr>
                <w:sz w:val="20"/>
                <w:szCs w:val="20"/>
              </w:rPr>
            </w:pPr>
          </w:p>
          <w:p w14:paraId="6FF1A7FB" w14:textId="77777777" w:rsidR="00E9755F" w:rsidRPr="00237A02" w:rsidRDefault="00E9755F" w:rsidP="00EF4832">
            <w:pPr>
              <w:rPr>
                <w:sz w:val="20"/>
                <w:szCs w:val="20"/>
              </w:rPr>
            </w:pPr>
            <w:r w:rsidRPr="00237A02">
              <w:rPr>
                <w:sz w:val="20"/>
                <w:szCs w:val="20"/>
              </w:rPr>
              <w:t>"En las licitaciones que tengan por objeto proveer de servicios de alimentación a establecimientos de educación parvularia, básica y media, administrados por la Junta Nacional de Auxilio Escolar y Becas, las bases de licitación deberán considerar las necesidades y restricciones que presentan los estudiantes que padecen enfermedades por intolerancias alimenticias, como la enfermedad celíaca.”</w:t>
            </w:r>
          </w:p>
        </w:tc>
        <w:tc>
          <w:tcPr>
            <w:tcW w:w="5292" w:type="dxa"/>
          </w:tcPr>
          <w:p w14:paraId="24C62984" w14:textId="77777777" w:rsidR="00E9755F" w:rsidRPr="00237A02" w:rsidRDefault="00E9755F" w:rsidP="00EF4832">
            <w:pPr>
              <w:rPr>
                <w:sz w:val="20"/>
                <w:szCs w:val="20"/>
              </w:rPr>
            </w:pPr>
          </w:p>
        </w:tc>
      </w:tr>
    </w:tbl>
    <w:p w14:paraId="315FD58B" w14:textId="3224A538" w:rsidR="007E3BC7" w:rsidRPr="00237A02" w:rsidRDefault="00375C9A">
      <w:pPr>
        <w:rPr>
          <w:sz w:val="20"/>
          <w:szCs w:val="20"/>
        </w:rPr>
      </w:pPr>
    </w:p>
    <w:sectPr w:rsidR="007E3BC7" w:rsidRPr="00237A02" w:rsidSect="00260319">
      <w:headerReference w:type="default" r:id="rId10"/>
      <w:footerReference w:type="default" r:id="rId11"/>
      <w:pgSz w:w="18722" w:h="12242" w:orient="landscape" w:code="134"/>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E1D22" w14:textId="77777777" w:rsidR="00375C9A" w:rsidRDefault="00375C9A" w:rsidP="00084FAD">
      <w:pPr>
        <w:spacing w:before="0" w:after="0"/>
      </w:pPr>
      <w:r>
        <w:separator/>
      </w:r>
    </w:p>
  </w:endnote>
  <w:endnote w:type="continuationSeparator" w:id="0">
    <w:p w14:paraId="75731EF0" w14:textId="77777777" w:rsidR="00375C9A" w:rsidRDefault="00375C9A" w:rsidP="00084F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887918"/>
      <w:docPartObj>
        <w:docPartGallery w:val="Page Numbers (Bottom of Page)"/>
        <w:docPartUnique/>
      </w:docPartObj>
    </w:sdtPr>
    <w:sdtEndPr/>
    <w:sdtContent>
      <w:p w14:paraId="10D9C856" w14:textId="7EADE45C" w:rsidR="00084FAD" w:rsidRDefault="00084FAD">
        <w:pPr>
          <w:pStyle w:val="Piedepgina"/>
          <w:jc w:val="right"/>
        </w:pPr>
        <w:r>
          <w:fldChar w:fldCharType="begin"/>
        </w:r>
        <w:r>
          <w:instrText>PAGE   \* MERGEFORMAT</w:instrText>
        </w:r>
        <w:r>
          <w:fldChar w:fldCharType="separate"/>
        </w:r>
        <w:r w:rsidR="000D76ED" w:rsidRPr="000D76ED">
          <w:rPr>
            <w:noProof/>
            <w:lang w:val="es-ES"/>
          </w:rPr>
          <w:t>1</w:t>
        </w:r>
        <w:r>
          <w:fldChar w:fldCharType="end"/>
        </w:r>
      </w:p>
    </w:sdtContent>
  </w:sdt>
  <w:p w14:paraId="2AA533CE" w14:textId="309FAF05" w:rsidR="00084FAD" w:rsidRPr="00084FAD" w:rsidRDefault="00084FAD" w:rsidP="00084FAD">
    <w:pPr>
      <w:pStyle w:val="Piedepgina"/>
      <w:jc w:val="center"/>
    </w:pPr>
    <w:r>
      <w:rPr>
        <w:rFonts w:ascii="Arial Black" w:hAnsi="Arial Black"/>
        <w:i/>
      </w:rPr>
      <w:t>COMISION DE SALUD (8 de octubre,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30227" w14:textId="77777777" w:rsidR="00375C9A" w:rsidRDefault="00375C9A" w:rsidP="00084FAD">
      <w:pPr>
        <w:spacing w:before="0" w:after="0"/>
      </w:pPr>
      <w:r>
        <w:separator/>
      </w:r>
    </w:p>
  </w:footnote>
  <w:footnote w:type="continuationSeparator" w:id="0">
    <w:p w14:paraId="1DBB0CB1" w14:textId="77777777" w:rsidR="00375C9A" w:rsidRDefault="00375C9A" w:rsidP="00084FA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58ADF" w14:textId="78F87B20" w:rsidR="00084FAD" w:rsidRPr="00084FAD" w:rsidRDefault="00084FAD" w:rsidP="00084FAD">
    <w:pPr>
      <w:pStyle w:val="Encabezado"/>
      <w:jc w:val="center"/>
      <w:rPr>
        <w:b/>
      </w:rPr>
    </w:pPr>
    <w:r w:rsidRPr="00084FAD">
      <w:rPr>
        <w:b/>
      </w:rPr>
      <w:t>Comparado proyecto de ley que incorpora a la enfermedad celiaca y al gluten como su principal causante, en las menciones y en la regulación de las leyes N°20.606 y 19.886 (boletín N°12.906-11).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319"/>
    <w:rsid w:val="00084FAD"/>
    <w:rsid w:val="000D76ED"/>
    <w:rsid w:val="00147AA1"/>
    <w:rsid w:val="001B6EB9"/>
    <w:rsid w:val="00237A02"/>
    <w:rsid w:val="00260319"/>
    <w:rsid w:val="00375C9A"/>
    <w:rsid w:val="00480E5F"/>
    <w:rsid w:val="0063536B"/>
    <w:rsid w:val="00C03F1F"/>
    <w:rsid w:val="00D02553"/>
    <w:rsid w:val="00E9755F"/>
    <w:rsid w:val="00F673F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EACA0"/>
  <w15:chartTrackingRefBased/>
  <w15:docId w15:val="{3423156C-2CB7-4833-8AE7-C885C298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CL"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qFormat/>
    <w:rsid w:val="0063536B"/>
    <w:pPr>
      <w:keepNext/>
      <w:spacing w:before="0" w:after="0" w:line="360" w:lineRule="auto"/>
      <w:outlineLvl w:val="0"/>
    </w:pPr>
    <w:rPr>
      <w:rFonts w:eastAsia="Times New Roman"/>
      <w:b/>
      <w:bCs/>
      <w:sz w:val="22"/>
      <w:u w:val="single"/>
      <w:lang w:val="es-ES" w:eastAsia="es-ES"/>
    </w:rPr>
  </w:style>
  <w:style w:type="paragraph" w:styleId="Ttulo2">
    <w:name w:val="heading 2"/>
    <w:basedOn w:val="Normal"/>
    <w:next w:val="Normal"/>
    <w:link w:val="Ttulo2Car"/>
    <w:autoRedefine/>
    <w:qFormat/>
    <w:rsid w:val="0063536B"/>
    <w:pPr>
      <w:keepNext/>
      <w:spacing w:before="0" w:after="0" w:line="360" w:lineRule="auto"/>
      <w:outlineLvl w:val="1"/>
    </w:pPr>
    <w:rPr>
      <w:rFonts w:eastAsia="Times New Roman" w:cs="Times New Roman"/>
      <w:b/>
      <w:sz w:val="22"/>
      <w:szCs w:val="20"/>
      <w:lang w:val="es-ES" w:eastAsia="es-ES"/>
    </w:rPr>
  </w:style>
  <w:style w:type="paragraph" w:styleId="Ttulo3">
    <w:name w:val="heading 3"/>
    <w:basedOn w:val="Normal"/>
    <w:next w:val="Normal"/>
    <w:link w:val="Ttulo3Car"/>
    <w:autoRedefine/>
    <w:qFormat/>
    <w:rsid w:val="0063536B"/>
    <w:pPr>
      <w:keepNext/>
      <w:spacing w:before="0" w:after="0" w:line="360" w:lineRule="auto"/>
      <w:outlineLvl w:val="2"/>
    </w:pPr>
    <w:rPr>
      <w:rFonts w:eastAsia="Times New Roman" w:cs="Times New Roman"/>
      <w:b/>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536B"/>
    <w:rPr>
      <w:rFonts w:eastAsia="Times New Roman"/>
      <w:b/>
      <w:bCs/>
      <w:sz w:val="22"/>
      <w:u w:val="single"/>
      <w:lang w:val="es-ES" w:eastAsia="es-ES"/>
    </w:rPr>
  </w:style>
  <w:style w:type="character" w:customStyle="1" w:styleId="Ttulo2Car">
    <w:name w:val="Título 2 Car"/>
    <w:basedOn w:val="Fuentedeprrafopredeter"/>
    <w:link w:val="Ttulo2"/>
    <w:rsid w:val="0063536B"/>
    <w:rPr>
      <w:rFonts w:eastAsia="Times New Roman" w:cs="Times New Roman"/>
      <w:b/>
      <w:sz w:val="22"/>
      <w:szCs w:val="20"/>
      <w:lang w:val="es-ES" w:eastAsia="es-ES"/>
    </w:rPr>
  </w:style>
  <w:style w:type="character" w:customStyle="1" w:styleId="Ttulo3Car">
    <w:name w:val="Título 3 Car"/>
    <w:basedOn w:val="Fuentedeprrafopredeter"/>
    <w:link w:val="Ttulo3"/>
    <w:rsid w:val="0063536B"/>
    <w:rPr>
      <w:rFonts w:eastAsia="Times New Roman" w:cs="Times New Roman"/>
      <w:b/>
      <w:sz w:val="22"/>
      <w:szCs w:val="20"/>
      <w:lang w:val="es-ES" w:eastAsia="es-ES"/>
    </w:rPr>
  </w:style>
  <w:style w:type="table" w:styleId="Tablaconcuadrcula">
    <w:name w:val="Table Grid"/>
    <w:basedOn w:val="Tablanormal"/>
    <w:uiPriority w:val="39"/>
    <w:rsid w:val="0026031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84FAD"/>
    <w:pPr>
      <w:tabs>
        <w:tab w:val="center" w:pos="4419"/>
        <w:tab w:val="right" w:pos="8838"/>
      </w:tabs>
      <w:spacing w:before="0" w:after="0"/>
    </w:pPr>
  </w:style>
  <w:style w:type="character" w:customStyle="1" w:styleId="EncabezadoCar">
    <w:name w:val="Encabezado Car"/>
    <w:basedOn w:val="Fuentedeprrafopredeter"/>
    <w:link w:val="Encabezado"/>
    <w:uiPriority w:val="99"/>
    <w:rsid w:val="00084FAD"/>
  </w:style>
  <w:style w:type="paragraph" w:styleId="Piedepgina">
    <w:name w:val="footer"/>
    <w:basedOn w:val="Normal"/>
    <w:link w:val="PiedepginaCar"/>
    <w:uiPriority w:val="99"/>
    <w:unhideWhenUsed/>
    <w:rsid w:val="00084FAD"/>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084FAD"/>
  </w:style>
  <w:style w:type="paragraph" w:styleId="Textodeglobo">
    <w:name w:val="Balloon Text"/>
    <w:basedOn w:val="Normal"/>
    <w:link w:val="TextodegloboCar"/>
    <w:uiPriority w:val="99"/>
    <w:semiHidden/>
    <w:unhideWhenUsed/>
    <w:rsid w:val="00237A02"/>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7A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A8B833C2BAE3840928FFD80902118BC" ma:contentTypeVersion="0" ma:contentTypeDescription="Crear nuevo documento." ma:contentTypeScope="" ma:versionID="8a2f72dca808225b1fdc09b7d327663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CFE69-311D-4D4B-8510-1E905DF761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488608-6BC6-4793-981E-1D07FF0A73B7}">
  <ds:schemaRefs>
    <ds:schemaRef ds:uri="http://schemas.microsoft.com/sharepoint/v3/contenttype/forms"/>
  </ds:schemaRefs>
</ds:datastoreItem>
</file>

<file path=customXml/itemProps3.xml><?xml version="1.0" encoding="utf-8"?>
<ds:datastoreItem xmlns:ds="http://schemas.openxmlformats.org/officeDocument/2006/customXml" ds:itemID="{A2FE6906-04CE-4DF5-B102-40D87A89B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77F47B8-7F3A-47E2-BFC8-EAE9931A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1848</Words>
  <Characters>10167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Ortiz Moreno</dc:creator>
  <cp:keywords/>
  <dc:description/>
  <cp:lastModifiedBy>Silvia Rivas Mena</cp:lastModifiedBy>
  <cp:revision>2</cp:revision>
  <cp:lastPrinted>2019-10-08T18:55:00Z</cp:lastPrinted>
  <dcterms:created xsi:type="dcterms:W3CDTF">2019-10-08T19:11:00Z</dcterms:created>
  <dcterms:modified xsi:type="dcterms:W3CDTF">2019-10-08T19:11:00Z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0x010100BA8B833C2BAE3840928FFD80902118BC</vt:lpwstr>
  </property>
</Properties>
</file>