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6301" w:type="dxa"/>
        <w:tblInd w:w="-147" w:type="dxa"/>
        <w:tblLayout w:type="fixed"/>
        <w:tblLook w:val="04A0"/>
      </w:tblPr>
      <w:tblGrid>
        <w:gridCol w:w="5529"/>
        <w:gridCol w:w="5386"/>
        <w:gridCol w:w="5386"/>
      </w:tblGrid>
      <w:tr w:rsidR="00EE0400" w:rsidRPr="008A16F8" w:rsidTr="008A16F8">
        <w:trPr>
          <w:trHeight w:val="567"/>
          <w:tblHeader/>
        </w:trPr>
        <w:tc>
          <w:tcPr>
            <w:tcW w:w="5529" w:type="dxa"/>
            <w:vAlign w:val="center"/>
          </w:tcPr>
          <w:p w:rsidR="00EE0400" w:rsidRPr="008A16F8" w:rsidRDefault="00EE0400" w:rsidP="008A16F8">
            <w:pPr>
              <w:widowControl w:val="0"/>
              <w:ind w:firstLine="318"/>
              <w:jc w:val="center"/>
              <w:rPr>
                <w:rFonts w:cstheme="minorHAnsi"/>
                <w:b/>
              </w:rPr>
            </w:pPr>
            <w:r w:rsidRPr="008A16F8">
              <w:rPr>
                <w:rFonts w:cstheme="minorHAnsi"/>
                <w:b/>
              </w:rPr>
              <w:t>TEXTO LEGAL VIGENTE</w:t>
            </w:r>
          </w:p>
        </w:tc>
        <w:tc>
          <w:tcPr>
            <w:tcW w:w="5386" w:type="dxa"/>
            <w:vAlign w:val="center"/>
          </w:tcPr>
          <w:p w:rsidR="00EE0400" w:rsidRPr="008A16F8" w:rsidRDefault="00EE0400" w:rsidP="007B2215">
            <w:pPr>
              <w:widowControl w:val="0"/>
              <w:ind w:firstLine="317"/>
              <w:jc w:val="center"/>
              <w:rPr>
                <w:rFonts w:cstheme="minorHAnsi"/>
                <w:b/>
              </w:rPr>
            </w:pPr>
            <w:r w:rsidRPr="008A16F8">
              <w:rPr>
                <w:rFonts w:cstheme="minorHAnsi"/>
                <w:b/>
              </w:rPr>
              <w:t>TEXTO APROBADO POR LA CÁMARA DE DIPUTADOS</w:t>
            </w:r>
          </w:p>
        </w:tc>
        <w:tc>
          <w:tcPr>
            <w:tcW w:w="5386" w:type="dxa"/>
            <w:vAlign w:val="center"/>
          </w:tcPr>
          <w:p w:rsidR="00EE0400" w:rsidRPr="008A16F8" w:rsidRDefault="004F4EAB" w:rsidP="00F14A2C">
            <w:pPr>
              <w:widowControl w:val="0"/>
              <w:ind w:firstLine="318"/>
              <w:jc w:val="center"/>
              <w:rPr>
                <w:rFonts w:cstheme="minorHAnsi"/>
                <w:b/>
              </w:rPr>
            </w:pPr>
            <w:r w:rsidRPr="008A16F8">
              <w:rPr>
                <w:rFonts w:cstheme="minorHAnsi"/>
                <w:b/>
              </w:rPr>
              <w:t xml:space="preserve">MODIFICACIONES INTRODUCIDAS </w:t>
            </w:r>
            <w:r w:rsidR="00EE0400" w:rsidRPr="008A16F8">
              <w:rPr>
                <w:rFonts w:cstheme="minorHAnsi"/>
                <w:b/>
              </w:rPr>
              <w:t>POR EL SENADO</w:t>
            </w:r>
          </w:p>
        </w:tc>
      </w:tr>
      <w:tr w:rsidR="00EE0400" w:rsidRPr="00DC1C8F" w:rsidTr="00EE0400">
        <w:trPr>
          <w:trHeight w:val="457"/>
        </w:trPr>
        <w:tc>
          <w:tcPr>
            <w:tcW w:w="5529" w:type="dxa"/>
          </w:tcPr>
          <w:p w:rsidR="00EE0400" w:rsidRPr="00DC1C8F" w:rsidRDefault="00DC1C8F" w:rsidP="008A16F8">
            <w:pPr>
              <w:widowControl w:val="0"/>
              <w:jc w:val="center"/>
              <w:rPr>
                <w:rFonts w:eastAsia="Times New Roman" w:cstheme="minorHAnsi"/>
                <w:b/>
                <w:lang w:val="es-ES" w:eastAsia="es-ES"/>
              </w:rPr>
            </w:pPr>
            <w:r w:rsidRPr="00DC1C8F">
              <w:rPr>
                <w:rFonts w:eastAsia="Times New Roman" w:cstheme="minorHAnsi"/>
                <w:b/>
                <w:caps/>
                <w:lang w:val="es-ES" w:eastAsia="es-ES"/>
              </w:rPr>
              <w:t>Ley N°</w:t>
            </w:r>
            <w:r w:rsidR="007B2215">
              <w:rPr>
                <w:rFonts w:eastAsia="Times New Roman" w:cstheme="minorHAnsi"/>
                <w:b/>
                <w:caps/>
                <w:lang w:val="es-ES" w:eastAsia="es-ES"/>
              </w:rPr>
              <w:t xml:space="preserve"> </w:t>
            </w:r>
            <w:r w:rsidRPr="00DC1C8F">
              <w:rPr>
                <w:rFonts w:eastAsia="Times New Roman" w:cstheme="minorHAnsi"/>
                <w:b/>
                <w:caps/>
                <w:lang w:val="es-ES" w:eastAsia="es-ES"/>
              </w:rPr>
              <w:t>21.091, SOBRE EDUCACI</w:t>
            </w:r>
            <w:r>
              <w:rPr>
                <w:rFonts w:eastAsia="Times New Roman" w:cstheme="minorHAnsi"/>
                <w:b/>
                <w:caps/>
                <w:lang w:val="es-ES" w:eastAsia="es-ES"/>
              </w:rPr>
              <w:t>ó</w:t>
            </w:r>
            <w:r w:rsidRPr="00DC1C8F">
              <w:rPr>
                <w:rFonts w:eastAsia="Times New Roman" w:cstheme="minorHAnsi"/>
                <w:b/>
                <w:caps/>
                <w:lang w:val="es-ES" w:eastAsia="es-ES"/>
              </w:rPr>
              <w:t>N SUPERIOR</w:t>
            </w:r>
            <w:r w:rsidRPr="00DC1C8F">
              <w:rPr>
                <w:rFonts w:eastAsia="Times New Roman" w:cstheme="minorHAnsi"/>
                <w:b/>
                <w:lang w:val="es-ES" w:eastAsia="es-ES"/>
              </w:rPr>
              <w:t xml:space="preserve"> </w:t>
            </w:r>
            <w:r w:rsidR="00EE0400" w:rsidRPr="00DC1C8F">
              <w:rPr>
                <w:rFonts w:eastAsia="Times New Roman" w:cstheme="minorHAnsi"/>
                <w:b/>
                <w:lang w:val="es-ES" w:eastAsia="es-ES"/>
              </w:rPr>
              <w:t>TÍTULO IV</w:t>
            </w:r>
          </w:p>
          <w:p w:rsidR="00EE0400" w:rsidRPr="00DC1C8F" w:rsidRDefault="00EE0400" w:rsidP="008A16F8">
            <w:pPr>
              <w:widowControl w:val="0"/>
              <w:jc w:val="center"/>
              <w:rPr>
                <w:rFonts w:eastAsia="Times New Roman" w:cstheme="minorHAnsi"/>
                <w:lang w:val="es-ES" w:eastAsia="es-ES"/>
              </w:rPr>
            </w:pPr>
            <w:r w:rsidRPr="00DC1C8F">
              <w:rPr>
                <w:rFonts w:eastAsia="Times New Roman" w:cstheme="minorHAnsi"/>
                <w:b/>
                <w:lang w:val="es-ES" w:eastAsia="es-ES"/>
              </w:rPr>
              <w:t>DEL SISTEMA NACIONAL DE ASEGURAMIENTO DE LA CALIDAD DE LA EDUCACIÓN SUPERIOR</w:t>
            </w:r>
          </w:p>
        </w:tc>
        <w:tc>
          <w:tcPr>
            <w:tcW w:w="5386" w:type="dxa"/>
          </w:tcPr>
          <w:p w:rsidR="00EE0400" w:rsidRPr="00DC1C8F" w:rsidRDefault="00EE0400" w:rsidP="007B2215">
            <w:pPr>
              <w:widowControl w:val="0"/>
              <w:ind w:firstLine="317"/>
              <w:jc w:val="both"/>
              <w:rPr>
                <w:rFonts w:eastAsia="Courier New" w:cstheme="minorHAnsi"/>
                <w:color w:val="000000" w:themeColor="text1"/>
                <w:highlight w:val="yellow"/>
              </w:rPr>
            </w:pPr>
            <w:r w:rsidRPr="007B2215">
              <w:rPr>
                <w:rFonts w:eastAsia="Courier New" w:cstheme="minorHAnsi"/>
                <w:b/>
                <w:color w:val="000000" w:themeColor="text1"/>
              </w:rPr>
              <w:t xml:space="preserve">Artículo único.- </w:t>
            </w:r>
            <w:r w:rsidRPr="00DC1C8F">
              <w:rPr>
                <w:rFonts w:eastAsia="Courier New" w:cstheme="minorHAnsi"/>
                <w:color w:val="000000" w:themeColor="text1"/>
              </w:rPr>
              <w:t>Introdúcense las siguientes modificaciones en la ley N° 21.091, sobre Educación Superior:</w:t>
            </w:r>
          </w:p>
        </w:tc>
        <w:tc>
          <w:tcPr>
            <w:tcW w:w="5386" w:type="dxa"/>
          </w:tcPr>
          <w:p w:rsidR="00EE0400" w:rsidRPr="00DC1C8F" w:rsidRDefault="00BF600F" w:rsidP="00F14A2C">
            <w:pPr>
              <w:widowControl w:val="0"/>
              <w:jc w:val="both"/>
              <w:rPr>
                <w:rFonts w:eastAsia="Courier New" w:cstheme="minorHAnsi"/>
                <w:color w:val="000000" w:themeColor="text1"/>
              </w:rPr>
            </w:pPr>
            <w:r w:rsidRPr="00DC1C8F">
              <w:rPr>
                <w:rFonts w:eastAsia="Courier New" w:cstheme="minorHAnsi"/>
                <w:color w:val="000000" w:themeColor="text1"/>
              </w:rPr>
              <w:t>Pasa a ser artículo 1, sin enmiendas en su encabezado.</w:t>
            </w:r>
          </w:p>
        </w:tc>
      </w:tr>
      <w:tr w:rsidR="00E31236" w:rsidRPr="00DC1C8F" w:rsidTr="00EE0400">
        <w:trPr>
          <w:trHeight w:val="457"/>
        </w:trPr>
        <w:tc>
          <w:tcPr>
            <w:tcW w:w="5529" w:type="dxa"/>
          </w:tcPr>
          <w:p w:rsidR="00C571D5" w:rsidRPr="00DC1C8F" w:rsidRDefault="00C571D5"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t>Artículo 81</w:t>
            </w:r>
            <w:r w:rsidRPr="00DC1C8F">
              <w:rPr>
                <w:rFonts w:eastAsia="Times New Roman" w:cstheme="minorHAnsi"/>
                <w:lang w:val="es-ES" w:eastAsia="es-ES"/>
              </w:rPr>
              <w:t>.- Modifícase la ley N° 20.129, que Establece un Sistema Nacional de Aseguramiento de la Calidad de la Educación Superior, en el siguiente sentido:</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7) Reemplázase el artículo 7 por el siguiente:</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"Artículo 7.- La Comisión Nacional de Acreditación estará integrada de la siguiente forma:</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a) Cuatro académicos universitarios de reconocido prestigio y amplia trayectoria en gestión institucional, docencia de pregrado o formación de postgrado. De éstos, al menos dos deberán estar o haber estado vinculados a alguna universidad cuyo domicilio esté localizado en una región distinta de la Región Metropolitana.</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b) Cuatro docentes o profesionales de reconocido prestigio y amplia trayectoria en formación técnico profesional o en gestión institucional en centros de formación técnica o institutos profesionales. De ellos, al menos dos deberán estar o haber estado vinculados a alguna institución de educación superior cuyo domicilio esté localizado en una región distinta de la Región Metropolitana.</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c) Un docente o profesional de reconocido prestigio y amplia trayectoria en el área de la innovación, seleccionado por la Corporación de Fomento de la </w:t>
            </w:r>
            <w:r w:rsidRPr="00DC1C8F">
              <w:rPr>
                <w:rFonts w:eastAsia="Times New Roman" w:cstheme="minorHAnsi"/>
                <w:lang w:val="es-ES" w:eastAsia="es-ES"/>
              </w:rPr>
              <w:lastRenderedPageBreak/>
              <w:t>Producción, a partir de una terna propuesta por el Consejo de Alta Dirección Pública de conformidad al procedimiento establecido en el párrafo 3° del título VI de la ley N° 19.882.</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d) Un académico universitario de reconocido prestigio y amplia trayectoria en investigación científica o tecnológica seleccionado por la Comisión Nacional de Investigación Científica y Tecnológica, o su sucesor, a partir de una terna propuesta por el Consejo de Alta Dirección Pública de conformidad al procedimiento establecido en el párrafo 3° del título VI de la ley N° 19.882.</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e) Dos representantes estudiantiles de instituciones de educación superior autónomas acreditadas, debiendo uno de ellos pertenecer a una institución cuyo domicilio esté localizado en una región distinta de la Región Metropolitana. Los representantes de los estudiantes deberán tener aprobada al menos la mitad del plan de estudios de la carrera en la que estén inscritos y encontrarse dentro del 10% de los estudiantes de mejor rendimiento de su generación, y durarán dos años en sus cargos. Los representantes de los estudiantes serán elegidos de acuerdo al procedimiento que establezca el reglamento y deberán ser representativos de cada subsistema, resguardando la participación de las Federaciones de Estudiantes, en su caso.</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lastRenderedPageBreak/>
              <w:t>Tres de los comisionados señalados en la letra a) y tres de los señalados en la letra b) anteriores, serán designados por el Presidente de la República con acuerdo de tres quintos del Senado, a partir de una terna propuesta para cada cargo por el Consejo de Alta Dirección Pública, de conformidad al procedimiento establecido en el párrafo 3º del título VI de la ley N° 19.882. Los demás comisionados de las letras a) y b) serán designados por el Presidente de la República, a partir de una terna propuesta para cada cargo por el Consejo de Alta Dirección Pública, de conformidad al procedimiento establecido en el párrafo 3º del título VI de la ley N° 19.882, uno de los cuales será designado por el Presidente de la República como el Presidente de la Comisión. Asimismo, uno de estos últimos comisionados deberá tener trayectoria en gestión financiera y organizacional.</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Corresponderá al Presidente citar y presidir las sesiones de la Comisión, establecer la tabla de materias a ser tratadas en cada sesión, dirigir sus deliberaciones, dirimir sus empates, y participar en el Comité de Coordinación en conformidad con lo establecido en el artículo 3. Asimismo, le corresponderá la representación de la Comisión en eventos protocolares nacionales e internacionales, así como en las gestiones que se desarrollen ante cualquier entidad extranjera.</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lastRenderedPageBreak/>
              <w:t>El Presidente se relacionará con el Secretario Ejecutivo para la coordinación de las funciones y atribuciones de la Comisión.</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Los comisionados señalados en las letras a), b), c) y d) anteriores durarán seis años en sus cargos, no podrán ser designados nuevamente para un período consecutivo, y se renovarán por parcialidades cada tres años. En caso que no se efectuare el nombramiento del nuevo comisionado antes de la expiración del plazo de duración en el cargo del comisionado saliente, éste podrá permanecer en el desempeño de sus funciones hasta el nombramiento de su reemplazante, por un máximo de tres meses adicionales. Si su nombramiento requiere de acuerdo del Senado y éste no se hubiere pronunciado en los términos señalados una vez vencido dicho plazo, se nombrará al candidato propuesto por el Presidente de la República, sin más trámite.</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La Comisión designará de entre los integrantes señalados en las letras a), b), c) y d) a un Vicepresidente, que subrogará al Presidente en caso de ausencia y que permanecerá dos años en esa calidad, pudiendo ser reelegido.</w:t>
            </w:r>
          </w:p>
          <w:p w:rsidR="00E31236"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La Comisión Nacional de Acreditación podrá funcionar en pleno o en salas. En este último caso, la primera sala estará integrada por dos de los comisionados a que se </w:t>
            </w:r>
            <w:r w:rsidRPr="00DC1C8F">
              <w:rPr>
                <w:rFonts w:eastAsia="Times New Roman" w:cstheme="minorHAnsi"/>
                <w:lang w:val="es-ES" w:eastAsia="es-ES"/>
              </w:rPr>
              <w:lastRenderedPageBreak/>
              <w:t xml:space="preserve">refiere la letra a) y dos de la letra b), el comisionado de la letra c), y por uno de los representantes de los estudiantes a que se refiere la letra e). La segunda sala se integrará por los restantes comisionados. La sala en que no participe el Presidente de la Comisión será presidida por el Vicepresidente. </w:t>
            </w:r>
            <w:r w:rsidRPr="00DC1C8F">
              <w:rPr>
                <w:rFonts w:eastAsia="Times New Roman" w:cstheme="minorHAnsi"/>
                <w:b/>
                <w:lang w:val="es-ES" w:eastAsia="es-ES"/>
              </w:rPr>
              <w:t>Sin perjuicio de lo anterior, será la Comisión en pleno la que deberá adoptar acuerdos respecto de la acreditación institucional de las instituciones de educación superior y sobre las materias señaladas en las letras a) y b) del artículo 8</w:t>
            </w:r>
            <w:r w:rsidRPr="00DC1C8F">
              <w:rPr>
                <w:rFonts w:eastAsia="Times New Roman" w:cstheme="minorHAnsi"/>
                <w:lang w:val="es-ES" w:eastAsia="es-ES"/>
              </w:rPr>
              <w:t>. En contra de las decisiones que adopte cada una de las salas sólo se podrá interponer el recurso de reposición, sin perjuicio de la apelación regulada en la presente ley.</w:t>
            </w:r>
          </w:p>
          <w:p w:rsidR="001A6266" w:rsidRDefault="001A6266" w:rsidP="008A16F8">
            <w:pPr>
              <w:widowControl w:val="0"/>
              <w:ind w:firstLine="318"/>
              <w:jc w:val="both"/>
              <w:rPr>
                <w:rFonts w:eastAsia="Times New Roman" w:cstheme="minorHAnsi"/>
                <w:lang w:val="es-ES" w:eastAsia="es-ES"/>
              </w:rPr>
            </w:pP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La Comisión, tanto para su funcionamiento en sala como en pleno, requerirá de la mayoría de sus integrantes para sesionar y sus acuerdos se adoptarán por mayoría absoluta de sus miembros en ejercicio. En caso de producirse un empate, corresponderá al Presidente o Vicepresidente, cuando corresponda, el voto dirimente para resolver la materia. La Comisión deberá celebrar, como mínimo, cuatro sesiones al mes. Con todo, los acuerdos relativos a los procesos de acreditación institucional deberán contar con los votos de al menos tres de los comisionados señalados en las letras b) o c) en el </w:t>
            </w:r>
            <w:r w:rsidRPr="00DC1C8F">
              <w:rPr>
                <w:rFonts w:eastAsia="Times New Roman" w:cstheme="minorHAnsi"/>
                <w:lang w:val="es-ES" w:eastAsia="es-ES"/>
              </w:rPr>
              <w:lastRenderedPageBreak/>
              <w:t>caso del subsistema técnico profesional, y al menos tres de los comisionados señalados en las letras a) o d) en el caso del subsistema universitario.</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Los integrantes de la Comisión tendrán derecho a gozar de una dieta por sesión a la que asistan, la que podrá ascender hasta 10 unidades tributarias mensuales con un máximo de 90 unidades tributarias mensuales por mes, conforme a las normas del reglamento interno de la Comisión. Esta asignación será incompatible con toda otra remuneración de carácter público para el personal regido por la ley N° 18.834.</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A los integrantes de la Comisión, salvo el caso del Presidente, no les serán aplicables las normas de la ley N° 19.882, salvo en lo relativo a su nombramiento, de conformidad a lo señalado en los incisos anteriores.</w:t>
            </w:r>
          </w:p>
          <w:p w:rsidR="00E31236" w:rsidRPr="00DC1C8F" w:rsidRDefault="00E31236"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Los comisionados deberán declarar intereses y patrimonio conforme a lo establecido en el capítulo 1° del título II de la ley N° 20.880.".</w:t>
            </w:r>
          </w:p>
        </w:tc>
        <w:tc>
          <w:tcPr>
            <w:tcW w:w="5386" w:type="dxa"/>
          </w:tcPr>
          <w:p w:rsidR="00C15B3D" w:rsidRDefault="00C15B3D" w:rsidP="007B2215">
            <w:pPr>
              <w:widowControl w:val="0"/>
              <w:ind w:firstLine="317"/>
              <w:jc w:val="both"/>
              <w:rPr>
                <w:rFonts w:eastAsia="Courier New" w:cstheme="minorHAnsi"/>
                <w:color w:val="000000" w:themeColor="text1"/>
                <w:u w:val="single"/>
              </w:rPr>
            </w:pPr>
          </w:p>
          <w:p w:rsidR="00DC1C8F" w:rsidRDefault="00DC1C8F" w:rsidP="007B2215">
            <w:pPr>
              <w:widowControl w:val="0"/>
              <w:ind w:firstLine="317"/>
              <w:jc w:val="both"/>
              <w:rPr>
                <w:rFonts w:eastAsia="Courier New" w:cstheme="minorHAnsi"/>
                <w:color w:val="000000" w:themeColor="text1"/>
                <w:u w:val="single"/>
              </w:rPr>
            </w:pPr>
          </w:p>
          <w:p w:rsidR="001A6266" w:rsidRDefault="001A6266" w:rsidP="007B2215">
            <w:pPr>
              <w:widowControl w:val="0"/>
              <w:ind w:firstLine="317"/>
              <w:jc w:val="both"/>
              <w:rPr>
                <w:rFonts w:eastAsia="Courier New" w:cstheme="minorHAnsi"/>
                <w:color w:val="000000" w:themeColor="text1"/>
                <w:u w:val="single"/>
              </w:rPr>
            </w:pPr>
          </w:p>
          <w:p w:rsidR="001A6266" w:rsidRPr="00DC1C8F" w:rsidRDefault="001A6266" w:rsidP="007B2215">
            <w:pPr>
              <w:widowControl w:val="0"/>
              <w:ind w:firstLine="317"/>
              <w:jc w:val="both"/>
              <w:rPr>
                <w:rFonts w:eastAsia="Courier New" w:cstheme="minorHAnsi"/>
                <w:color w:val="000000" w:themeColor="text1"/>
                <w:u w:val="single"/>
              </w:rPr>
            </w:pPr>
          </w:p>
          <w:p w:rsidR="00B97808" w:rsidRPr="00DC1C8F" w:rsidRDefault="00B97808" w:rsidP="007B2215">
            <w:pPr>
              <w:widowControl w:val="0"/>
              <w:ind w:firstLine="317"/>
              <w:jc w:val="both"/>
              <w:rPr>
                <w:rFonts w:eastAsia="Courier New" w:cstheme="minorHAnsi"/>
                <w:b/>
                <w:color w:val="000000" w:themeColor="text1"/>
              </w:rPr>
            </w:pPr>
            <w:r w:rsidRPr="00DC1C8F">
              <w:rPr>
                <w:rFonts w:eastAsia="Courier New" w:cstheme="minorHAnsi"/>
                <w:b/>
                <w:color w:val="000000" w:themeColor="text1"/>
              </w:rPr>
              <w:t>1. Modifícase el artículo 81, numeral 34), de las disposiciones permanentes del Título IV, “Del Sistema Nacional de Aseguramiento de la Calidad de la Educación Superior”, para incorporar el siguiente inciso segundo nuevo al artículo 27 quáter de la ley N° 20.129:</w:t>
            </w:r>
          </w:p>
          <w:p w:rsidR="00E31236" w:rsidRPr="00DC1C8F" w:rsidRDefault="00E31236" w:rsidP="007B2215">
            <w:pPr>
              <w:widowControl w:val="0"/>
              <w:ind w:firstLine="317"/>
              <w:jc w:val="both"/>
              <w:rPr>
                <w:rFonts w:eastAsia="Courier New" w:cstheme="minorHAnsi"/>
                <w:color w:val="000000" w:themeColor="text1"/>
              </w:rPr>
            </w:pPr>
          </w:p>
        </w:tc>
        <w:tc>
          <w:tcPr>
            <w:tcW w:w="5386" w:type="dxa"/>
          </w:tcPr>
          <w:p w:rsidR="00E31236" w:rsidRPr="00DC1C8F" w:rsidRDefault="00E31236" w:rsidP="00F14A2C">
            <w:pPr>
              <w:widowControl w:val="0"/>
              <w:ind w:firstLine="34"/>
              <w:jc w:val="center"/>
              <w:rPr>
                <w:rFonts w:eastAsia="Courier New" w:cstheme="minorHAnsi"/>
                <w:b/>
                <w:color w:val="000000" w:themeColor="text1"/>
              </w:rPr>
            </w:pPr>
            <w:r w:rsidRPr="00DC1C8F">
              <w:rPr>
                <w:rFonts w:eastAsia="Courier New" w:cstheme="minorHAnsi"/>
                <w:b/>
                <w:color w:val="000000" w:themeColor="text1"/>
              </w:rPr>
              <w:t>N</w:t>
            </w:r>
            <w:r w:rsidR="00C15B3D" w:rsidRPr="00DC1C8F">
              <w:rPr>
                <w:rFonts w:eastAsia="Courier New" w:cstheme="minorHAnsi"/>
                <w:b/>
                <w:color w:val="000000" w:themeColor="text1"/>
              </w:rPr>
              <w:t>°</w:t>
            </w:r>
            <w:r w:rsidRPr="00DC1C8F">
              <w:rPr>
                <w:rFonts w:eastAsia="Courier New" w:cstheme="minorHAnsi"/>
                <w:b/>
                <w:color w:val="000000" w:themeColor="text1"/>
              </w:rPr>
              <w:t xml:space="preserve"> </w:t>
            </w:r>
            <w:r w:rsidR="00F14A2C">
              <w:rPr>
                <w:rFonts w:eastAsia="Courier New" w:cstheme="minorHAnsi"/>
                <w:b/>
                <w:color w:val="000000" w:themeColor="text1"/>
              </w:rPr>
              <w:t>1</w:t>
            </w:r>
            <w:r w:rsidR="00C15B3D" w:rsidRPr="00DC1C8F">
              <w:rPr>
                <w:rFonts w:eastAsia="Courier New" w:cstheme="minorHAnsi"/>
                <w:b/>
                <w:color w:val="000000" w:themeColor="text1"/>
              </w:rPr>
              <w:t>, nuevo</w:t>
            </w:r>
          </w:p>
          <w:p w:rsidR="00E31236" w:rsidRPr="00DC1C8F" w:rsidRDefault="00E31236" w:rsidP="00F14A2C">
            <w:pPr>
              <w:widowControl w:val="0"/>
              <w:ind w:firstLine="318"/>
              <w:jc w:val="both"/>
              <w:rPr>
                <w:rFonts w:eastAsia="Courier New" w:cstheme="minorHAnsi"/>
                <w:color w:val="000000" w:themeColor="text1"/>
              </w:rPr>
            </w:pPr>
          </w:p>
          <w:p w:rsidR="00E31236" w:rsidRPr="00DC1C8F" w:rsidRDefault="00E31236"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Lo ha reemplazado por el siguiente:</w:t>
            </w:r>
          </w:p>
          <w:p w:rsidR="00E31236" w:rsidRPr="00DC1C8F" w:rsidRDefault="00E31236" w:rsidP="00F14A2C">
            <w:pPr>
              <w:widowControl w:val="0"/>
              <w:ind w:firstLine="318"/>
              <w:jc w:val="both"/>
              <w:rPr>
                <w:rFonts w:eastAsia="Courier New" w:cstheme="minorHAnsi"/>
                <w:color w:val="000000" w:themeColor="text1"/>
              </w:rPr>
            </w:pPr>
          </w:p>
          <w:p w:rsidR="00E31236" w:rsidRPr="00DC1C8F" w:rsidRDefault="00E31236" w:rsidP="00F14A2C">
            <w:pPr>
              <w:widowControl w:val="0"/>
              <w:ind w:firstLine="318"/>
              <w:jc w:val="both"/>
              <w:rPr>
                <w:rFonts w:eastAsia="Courier New" w:cstheme="minorHAnsi"/>
                <w:b/>
                <w:color w:val="000000" w:themeColor="text1"/>
              </w:rPr>
            </w:pPr>
            <w:r w:rsidRPr="00DC1C8F">
              <w:rPr>
                <w:rFonts w:eastAsia="Courier New" w:cstheme="minorHAnsi"/>
                <w:b/>
                <w:color w:val="000000" w:themeColor="text1"/>
              </w:rPr>
              <w:t>“1) Modif</w:t>
            </w:r>
            <w:r w:rsidR="00B97808" w:rsidRPr="00DC1C8F">
              <w:rPr>
                <w:rFonts w:eastAsia="Courier New" w:cstheme="minorHAnsi"/>
                <w:b/>
                <w:color w:val="000000" w:themeColor="text1"/>
              </w:rPr>
              <w:t>í</w:t>
            </w:r>
            <w:r w:rsidRPr="00DC1C8F">
              <w:rPr>
                <w:rFonts w:eastAsia="Courier New" w:cstheme="minorHAnsi"/>
                <w:b/>
                <w:color w:val="000000" w:themeColor="text1"/>
              </w:rPr>
              <w:t>case el artículo 81 en la forma que se indica a continuación:</w:t>
            </w: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Default="00DA154C" w:rsidP="00F14A2C">
            <w:pPr>
              <w:widowControl w:val="0"/>
              <w:ind w:firstLine="318"/>
              <w:jc w:val="both"/>
              <w:rPr>
                <w:rFonts w:eastAsia="Courier New" w:cstheme="minorHAnsi"/>
                <w:color w:val="000000" w:themeColor="text1"/>
              </w:rPr>
            </w:pPr>
          </w:p>
          <w:p w:rsidR="008A16F8" w:rsidRDefault="008A16F8" w:rsidP="00F14A2C">
            <w:pPr>
              <w:widowControl w:val="0"/>
              <w:ind w:firstLine="318"/>
              <w:jc w:val="both"/>
              <w:rPr>
                <w:rFonts w:eastAsia="Courier New" w:cstheme="minorHAnsi"/>
                <w:color w:val="000000" w:themeColor="text1"/>
              </w:rPr>
            </w:pPr>
          </w:p>
          <w:p w:rsidR="008A16F8" w:rsidRDefault="008A16F8" w:rsidP="00F14A2C">
            <w:pPr>
              <w:widowControl w:val="0"/>
              <w:ind w:firstLine="318"/>
              <w:jc w:val="both"/>
              <w:rPr>
                <w:rFonts w:eastAsia="Courier New" w:cstheme="minorHAnsi"/>
                <w:color w:val="000000" w:themeColor="text1"/>
              </w:rPr>
            </w:pPr>
          </w:p>
          <w:p w:rsidR="008A16F8" w:rsidRDefault="008A16F8"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Pr="00DC1C8F" w:rsidRDefault="008A179D"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Default="00DA154C" w:rsidP="00F14A2C">
            <w:pPr>
              <w:widowControl w:val="0"/>
              <w:ind w:firstLine="318"/>
              <w:jc w:val="both"/>
              <w:rPr>
                <w:rFonts w:eastAsia="Courier New" w:cstheme="minorHAnsi"/>
                <w:color w:val="000000" w:themeColor="text1"/>
              </w:rPr>
            </w:pPr>
          </w:p>
          <w:p w:rsidR="001A6266" w:rsidRDefault="001A6266" w:rsidP="00F14A2C">
            <w:pPr>
              <w:widowControl w:val="0"/>
              <w:ind w:firstLine="318"/>
              <w:jc w:val="both"/>
              <w:rPr>
                <w:rFonts w:eastAsia="Courier New" w:cstheme="minorHAnsi"/>
                <w:color w:val="000000" w:themeColor="text1"/>
              </w:rPr>
            </w:pPr>
          </w:p>
          <w:p w:rsidR="001A6266" w:rsidRDefault="001A6266" w:rsidP="00F14A2C">
            <w:pPr>
              <w:widowControl w:val="0"/>
              <w:ind w:firstLine="318"/>
              <w:jc w:val="both"/>
              <w:rPr>
                <w:rFonts w:eastAsia="Courier New" w:cstheme="minorHAnsi"/>
                <w:color w:val="000000" w:themeColor="text1"/>
              </w:rPr>
            </w:pPr>
          </w:p>
          <w:p w:rsidR="001A6266" w:rsidRPr="00DC1C8F" w:rsidRDefault="001A6266" w:rsidP="00F14A2C">
            <w:pPr>
              <w:widowControl w:val="0"/>
              <w:ind w:firstLine="318"/>
              <w:jc w:val="both"/>
              <w:rPr>
                <w:rFonts w:eastAsia="Courier New" w:cstheme="minorHAnsi"/>
                <w:color w:val="000000" w:themeColor="text1"/>
              </w:rPr>
            </w:pPr>
          </w:p>
          <w:p w:rsidR="00E31236" w:rsidRPr="00DC1C8F" w:rsidRDefault="00E31236"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lastRenderedPageBreak/>
              <w:t>a) Reemplázase, en el inciso séptimo del artículo 7° contenido en su numeral 7), la frase “Sin perjuicio de lo anterior, será la Comisión en pleno la que deberá adoptar acuerdos respecto de la acreditación institucional de las instituciones de educación superior y sobre las materias señaladas en las letras a) y b) del artículo 8.”, por la siguiente:</w:t>
            </w:r>
            <w:r w:rsidR="00C571D5" w:rsidRPr="00DC1C8F">
              <w:rPr>
                <w:rFonts w:eastAsia="Courier New" w:cstheme="minorHAnsi"/>
                <w:color w:val="000000" w:themeColor="text1"/>
              </w:rPr>
              <w:t xml:space="preserve"> </w:t>
            </w:r>
            <w:r w:rsidRPr="00DC1C8F">
              <w:rPr>
                <w:rFonts w:eastAsia="Courier New" w:cstheme="minorHAnsi"/>
                <w:color w:val="000000" w:themeColor="text1"/>
              </w:rPr>
              <w:t>“</w:t>
            </w:r>
            <w:r w:rsidRPr="00DC1C8F">
              <w:rPr>
                <w:rFonts w:eastAsia="Courier New" w:cstheme="minorHAnsi"/>
                <w:b/>
                <w:color w:val="000000" w:themeColor="text1"/>
              </w:rPr>
              <w:t>Sin perjuicio de lo anterior, será la Comisión en pleno la que deberá adoptar acuerdos sobre las materias señaladas en las letras a) y b) del artículo 8. No obstante lo señalado precedentemente, la resolución de la acreditación de las carreras y programas de estudio de pre y postgrado que impartan la Instituciones de Educación Superior autónomas podrá ser resuelto en sala</w:t>
            </w:r>
            <w:r w:rsidRPr="00DC1C8F">
              <w:rPr>
                <w:rFonts w:eastAsia="Courier New" w:cstheme="minorHAnsi"/>
                <w:color w:val="000000" w:themeColor="text1"/>
              </w:rPr>
              <w:t>.”</w:t>
            </w:r>
            <w:r w:rsidR="00C571D5" w:rsidRPr="00DC1C8F">
              <w:rPr>
                <w:rFonts w:eastAsia="Courier New" w:cstheme="minorHAnsi"/>
                <w:color w:val="000000" w:themeColor="text1"/>
              </w:rPr>
              <w:t>.</w:t>
            </w:r>
          </w:p>
        </w:tc>
      </w:tr>
      <w:tr w:rsidR="00EE0400" w:rsidRPr="00DC1C8F" w:rsidTr="00EE0400">
        <w:trPr>
          <w:trHeight w:val="457"/>
        </w:trPr>
        <w:tc>
          <w:tcPr>
            <w:tcW w:w="5529" w:type="dxa"/>
          </w:tcPr>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lastRenderedPageBreak/>
              <w:t>Artículo 81</w:t>
            </w:r>
            <w:r w:rsidRPr="00DC1C8F">
              <w:rPr>
                <w:rFonts w:eastAsia="Times New Roman" w:cstheme="minorHAnsi"/>
                <w:lang w:val="es-ES" w:eastAsia="es-ES"/>
              </w:rPr>
              <w:t>.- Modifícase la ley N° 20.129, que Establece un Sistema Nacional de Aseguramiento de la Calidad de la Educación Superior, en el siguiente sentido:</w:t>
            </w:r>
          </w:p>
          <w:p w:rsidR="00EE0400" w:rsidRPr="00DC1C8F" w:rsidRDefault="00EE0400" w:rsidP="008A16F8">
            <w:pPr>
              <w:widowControl w:val="0"/>
              <w:ind w:firstLine="318"/>
              <w:jc w:val="both"/>
              <w:rPr>
                <w:rFonts w:eastAsia="Times New Roman" w:cstheme="minorHAnsi"/>
                <w:lang w:val="es-ES" w:eastAsia="es-ES"/>
              </w:rPr>
            </w:pP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34) Reemplázase el artículo 27 quáter por el siguiente:</w:t>
            </w: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w:t>
            </w:r>
            <w:r w:rsidRPr="00DC1C8F">
              <w:rPr>
                <w:rFonts w:eastAsia="Times New Roman" w:cstheme="minorHAnsi"/>
                <w:b/>
                <w:lang w:val="es-ES" w:eastAsia="es-ES"/>
              </w:rPr>
              <w:t>Artículo 27 quáter</w:t>
            </w:r>
            <w:r w:rsidRPr="00DC1C8F">
              <w:rPr>
                <w:rFonts w:eastAsia="Times New Roman" w:cstheme="minorHAnsi"/>
                <w:lang w:val="es-ES" w:eastAsia="es-ES"/>
              </w:rPr>
              <w:t xml:space="preserve">.- La acreditación de las carreras y programas referidos en el artículo 27 será otorgada por la </w:t>
            </w:r>
            <w:r w:rsidRPr="00DC1C8F">
              <w:rPr>
                <w:rFonts w:eastAsia="Times New Roman" w:cstheme="minorHAnsi"/>
                <w:lang w:val="es-ES" w:eastAsia="es-ES"/>
              </w:rPr>
              <w:lastRenderedPageBreak/>
              <w:t>Comisión Nacional de Acreditación. Con todo, para efectos del financiamiento de dichas acreditaciones, se procederá de conformidad a lo dispuesto en el artículo 14.".</w:t>
            </w:r>
          </w:p>
          <w:p w:rsidR="00EE0400" w:rsidRDefault="00EE0400" w:rsidP="008A16F8">
            <w:pPr>
              <w:widowControl w:val="0"/>
              <w:ind w:left="108" w:hanging="108"/>
              <w:jc w:val="both"/>
              <w:rPr>
                <w:rFonts w:eastAsia="Times New Roman" w:cstheme="minorHAnsi"/>
                <w:lang w:val="es-ES" w:eastAsia="es-ES"/>
              </w:rPr>
            </w:pPr>
          </w:p>
          <w:p w:rsidR="008A16F8" w:rsidRDefault="008A16F8" w:rsidP="008A16F8">
            <w:pPr>
              <w:widowControl w:val="0"/>
              <w:ind w:left="108" w:hanging="108"/>
              <w:jc w:val="both"/>
              <w:rPr>
                <w:rFonts w:eastAsia="Times New Roman" w:cstheme="minorHAnsi"/>
                <w:lang w:val="es-ES" w:eastAsia="es-ES"/>
              </w:rPr>
            </w:pPr>
            <w:r>
              <w:rPr>
                <w:rFonts w:eastAsia="Times New Roman" w:cstheme="minorHAnsi"/>
                <w:lang w:val="es-ES" w:eastAsia="es-ES"/>
              </w:rPr>
              <w:t>________________________________________________</w:t>
            </w:r>
          </w:p>
          <w:p w:rsidR="008A16F8" w:rsidRPr="00DC1C8F" w:rsidRDefault="008A16F8" w:rsidP="008A16F8">
            <w:pPr>
              <w:widowControl w:val="0"/>
              <w:ind w:firstLine="318"/>
              <w:jc w:val="both"/>
              <w:rPr>
                <w:rFonts w:eastAsia="Times New Roman" w:cstheme="minorHAnsi"/>
                <w:lang w:val="es-ES" w:eastAsia="es-ES"/>
              </w:rPr>
            </w:pPr>
          </w:p>
        </w:tc>
        <w:tc>
          <w:tcPr>
            <w:tcW w:w="5386" w:type="dxa"/>
          </w:tcPr>
          <w:p w:rsidR="00EE0400" w:rsidRPr="00DC1C8F" w:rsidRDefault="00EE0400" w:rsidP="007B2215">
            <w:pPr>
              <w:widowControl w:val="0"/>
              <w:ind w:firstLine="317"/>
              <w:jc w:val="both"/>
              <w:rPr>
                <w:rFonts w:eastAsia="Courier New" w:cstheme="minorHAnsi"/>
                <w:color w:val="000000" w:themeColor="text1"/>
              </w:rPr>
            </w:pPr>
          </w:p>
          <w:p w:rsidR="00EE0400" w:rsidRPr="00DC1C8F" w:rsidRDefault="00EE0400" w:rsidP="007B2215">
            <w:pPr>
              <w:widowControl w:val="0"/>
              <w:ind w:firstLine="317"/>
              <w:jc w:val="both"/>
              <w:rPr>
                <w:rFonts w:eastAsia="Courier New" w:cstheme="minorHAnsi"/>
                <w:color w:val="000000" w:themeColor="text1"/>
              </w:rPr>
            </w:pPr>
          </w:p>
          <w:p w:rsidR="00EE0400" w:rsidRPr="00DC1C8F" w:rsidRDefault="00EE0400" w:rsidP="007B2215">
            <w:pPr>
              <w:widowControl w:val="0"/>
              <w:ind w:firstLine="317"/>
              <w:jc w:val="both"/>
              <w:rPr>
                <w:rFonts w:eastAsia="Courier New" w:cstheme="minorHAnsi"/>
                <w:color w:val="000000" w:themeColor="text1"/>
              </w:rPr>
            </w:pPr>
          </w:p>
          <w:p w:rsidR="00EE0400" w:rsidRPr="00DC1C8F" w:rsidRDefault="00EE0400" w:rsidP="007B2215">
            <w:pPr>
              <w:widowControl w:val="0"/>
              <w:ind w:firstLine="317"/>
              <w:jc w:val="both"/>
              <w:rPr>
                <w:rFonts w:eastAsia="Courier New" w:cstheme="minorHAnsi"/>
                <w:color w:val="000000" w:themeColor="text1"/>
              </w:rPr>
            </w:pPr>
          </w:p>
          <w:p w:rsidR="00B97808" w:rsidRPr="00DC1C8F" w:rsidRDefault="00B97808" w:rsidP="007B2215">
            <w:pPr>
              <w:widowControl w:val="0"/>
              <w:ind w:firstLine="317"/>
              <w:jc w:val="both"/>
              <w:rPr>
                <w:rFonts w:eastAsia="Courier New" w:cstheme="minorHAnsi"/>
                <w:color w:val="000000" w:themeColor="text1"/>
              </w:rPr>
            </w:pPr>
          </w:p>
          <w:p w:rsidR="00B97808" w:rsidRDefault="00B97808" w:rsidP="007B2215">
            <w:pPr>
              <w:widowControl w:val="0"/>
              <w:ind w:firstLine="317"/>
              <w:jc w:val="both"/>
              <w:rPr>
                <w:rFonts w:eastAsia="Courier New" w:cstheme="minorHAnsi"/>
                <w:color w:val="000000" w:themeColor="text1"/>
              </w:rPr>
            </w:pPr>
          </w:p>
          <w:p w:rsidR="008A179D" w:rsidRPr="00DC1C8F" w:rsidRDefault="008A179D" w:rsidP="007B2215">
            <w:pPr>
              <w:widowControl w:val="0"/>
              <w:ind w:firstLine="317"/>
              <w:jc w:val="both"/>
              <w:rPr>
                <w:rFonts w:eastAsia="Courier New" w:cstheme="minorHAnsi"/>
                <w:color w:val="000000" w:themeColor="text1"/>
              </w:rPr>
            </w:pPr>
          </w:p>
          <w:p w:rsidR="00B97808" w:rsidRPr="00DC1C8F" w:rsidRDefault="00B97808" w:rsidP="007B2215">
            <w:pPr>
              <w:widowControl w:val="0"/>
              <w:ind w:firstLine="317"/>
              <w:jc w:val="both"/>
              <w:rPr>
                <w:rFonts w:eastAsia="Courier New" w:cstheme="minorHAnsi"/>
                <w:color w:val="000000" w:themeColor="text1"/>
              </w:rPr>
            </w:pPr>
          </w:p>
          <w:p w:rsidR="00B97808" w:rsidRPr="00DC1C8F" w:rsidRDefault="00B97808" w:rsidP="007B2215">
            <w:pPr>
              <w:widowControl w:val="0"/>
              <w:ind w:firstLine="317"/>
              <w:jc w:val="both"/>
              <w:rPr>
                <w:rFonts w:eastAsia="Courier New" w:cstheme="minorHAnsi"/>
                <w:color w:val="000000" w:themeColor="text1"/>
              </w:rPr>
            </w:pPr>
          </w:p>
          <w:p w:rsidR="00B97808" w:rsidRDefault="00B97808" w:rsidP="007B2215">
            <w:pPr>
              <w:widowControl w:val="0"/>
              <w:ind w:firstLine="317"/>
              <w:jc w:val="both"/>
              <w:rPr>
                <w:rFonts w:eastAsia="Courier New" w:cstheme="minorHAnsi"/>
                <w:color w:val="000000" w:themeColor="text1"/>
              </w:rPr>
            </w:pPr>
          </w:p>
          <w:p w:rsidR="00C571D5" w:rsidRDefault="00EE0400"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w:t>
            </w:r>
            <w:r w:rsidRPr="00DC1C8F">
              <w:rPr>
                <w:rFonts w:eastAsia="Courier New" w:cstheme="minorHAnsi"/>
                <w:b/>
                <w:color w:val="000000" w:themeColor="text1"/>
              </w:rPr>
              <w:t>La decisión de acreditación adoptada por la Comisión Nacional de Acreditación será apelable ante el Consejo Nacional de Educación dentro del plazo de quince días hábiles, a contar de la fecha de la notificación de la decisión recurrida. El Consejo tendrá un plazo de treinta días hábiles para resolver. Lo anterior se entiende sin perjuicio de la interposición del recurso de reposición ante la misma Comisión</w:t>
            </w:r>
            <w:r w:rsidRPr="00DC1C8F">
              <w:rPr>
                <w:rFonts w:eastAsia="Courier New" w:cstheme="minorHAnsi"/>
                <w:color w:val="000000" w:themeColor="text1"/>
              </w:rPr>
              <w:t>.”.</w:t>
            </w:r>
          </w:p>
          <w:p w:rsidR="00C55878" w:rsidRPr="00DC1C8F" w:rsidRDefault="00C55878" w:rsidP="007B2215">
            <w:pPr>
              <w:widowControl w:val="0"/>
              <w:ind w:firstLine="317"/>
              <w:jc w:val="both"/>
              <w:rPr>
                <w:rFonts w:eastAsia="Courier New" w:cstheme="minorHAnsi"/>
                <w:color w:val="000000" w:themeColor="text1"/>
                <w:highlight w:val="yellow"/>
              </w:rPr>
            </w:pPr>
          </w:p>
        </w:tc>
        <w:tc>
          <w:tcPr>
            <w:tcW w:w="5386" w:type="dxa"/>
          </w:tcPr>
          <w:p w:rsidR="00DA154C" w:rsidRDefault="00C571D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lastRenderedPageBreak/>
              <w:t>N°1</w:t>
            </w:r>
          </w:p>
          <w:p w:rsidR="001A6266" w:rsidRPr="00DC1C8F" w:rsidRDefault="001A6266" w:rsidP="00F14A2C">
            <w:pPr>
              <w:widowControl w:val="0"/>
              <w:ind w:firstLine="318"/>
              <w:jc w:val="center"/>
              <w:rPr>
                <w:rFonts w:eastAsia="Courier New" w:cstheme="minorHAnsi"/>
                <w:b/>
                <w:color w:val="000000" w:themeColor="text1"/>
              </w:rPr>
            </w:pPr>
          </w:p>
          <w:p w:rsidR="00EE0400" w:rsidRDefault="00DA154C"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literal b)</w:t>
            </w:r>
            <w:r w:rsidR="00C571D5" w:rsidRPr="00DC1C8F">
              <w:rPr>
                <w:rFonts w:eastAsia="Courier New" w:cstheme="minorHAnsi"/>
                <w:color w:val="000000" w:themeColor="text1"/>
              </w:rPr>
              <w:t>, reemplazado por el siguiente:</w:t>
            </w:r>
          </w:p>
          <w:p w:rsidR="001A6266" w:rsidRPr="00DC1C8F" w:rsidRDefault="001A6266" w:rsidP="00F14A2C">
            <w:pPr>
              <w:widowControl w:val="0"/>
              <w:ind w:firstLine="318"/>
              <w:jc w:val="both"/>
              <w:rPr>
                <w:rFonts w:eastAsia="Courier New" w:cstheme="minorHAnsi"/>
                <w:color w:val="000000" w:themeColor="text1"/>
              </w:rPr>
            </w:pPr>
          </w:p>
          <w:p w:rsidR="00C571D5" w:rsidRPr="00DC1C8F" w:rsidRDefault="00C571D5" w:rsidP="00F14A2C">
            <w:pPr>
              <w:widowControl w:val="0"/>
              <w:ind w:firstLine="318"/>
              <w:jc w:val="both"/>
              <w:rPr>
                <w:rFonts w:eastAsia="Courier New" w:cstheme="minorHAnsi"/>
                <w:bCs/>
                <w:color w:val="000000" w:themeColor="text1"/>
                <w:lang w:val="es-ES_tradnl"/>
              </w:rPr>
            </w:pPr>
            <w:r w:rsidRPr="00DC1C8F">
              <w:rPr>
                <w:rFonts w:eastAsia="Courier New" w:cstheme="minorHAnsi"/>
                <w:color w:val="000000" w:themeColor="text1"/>
                <w:lang w:val="es-ES_tradnl"/>
              </w:rPr>
              <w:t xml:space="preserve">b) En su numeral 34), </w:t>
            </w:r>
            <w:r w:rsidRPr="00DC1C8F">
              <w:rPr>
                <w:rFonts w:eastAsia="Courier New" w:cstheme="minorHAnsi"/>
                <w:bCs/>
                <w:color w:val="000000" w:themeColor="text1"/>
                <w:lang w:val="es-ES_tradnl"/>
              </w:rPr>
              <w:t>incorpórase, en el artículo 27 quáter que contiene, el siguiente inciso segundo:</w:t>
            </w:r>
          </w:p>
          <w:p w:rsidR="00C571D5" w:rsidRPr="00DC1C8F" w:rsidRDefault="00C571D5" w:rsidP="00F14A2C">
            <w:pPr>
              <w:widowControl w:val="0"/>
              <w:ind w:firstLine="318"/>
              <w:jc w:val="both"/>
              <w:rPr>
                <w:rFonts w:eastAsia="Courier New" w:cstheme="minorHAnsi"/>
                <w:color w:val="000000" w:themeColor="text1"/>
                <w:lang w:val="es-ES_tradnl"/>
              </w:rPr>
            </w:pPr>
          </w:p>
          <w:p w:rsidR="00F14A2C" w:rsidRDefault="00F14A2C" w:rsidP="00F14A2C">
            <w:pPr>
              <w:widowControl w:val="0"/>
              <w:ind w:firstLine="318"/>
              <w:jc w:val="both"/>
              <w:rPr>
                <w:rFonts w:eastAsia="Courier New" w:cstheme="minorHAnsi"/>
                <w:color w:val="000000" w:themeColor="text1"/>
              </w:rPr>
            </w:pPr>
          </w:p>
          <w:p w:rsidR="001A6266" w:rsidRDefault="001A6266" w:rsidP="00F14A2C">
            <w:pPr>
              <w:widowControl w:val="0"/>
              <w:ind w:firstLine="318"/>
              <w:jc w:val="both"/>
              <w:rPr>
                <w:rFonts w:eastAsia="Courier New" w:cstheme="minorHAnsi"/>
                <w:color w:val="000000" w:themeColor="text1"/>
              </w:rPr>
            </w:pPr>
          </w:p>
          <w:p w:rsidR="00C571D5" w:rsidRPr="00DC1C8F" w:rsidRDefault="00B97808" w:rsidP="00F14A2C">
            <w:pPr>
              <w:widowControl w:val="0"/>
              <w:ind w:firstLine="318"/>
              <w:jc w:val="both"/>
              <w:rPr>
                <w:rFonts w:eastAsia="Courier New" w:cstheme="minorHAnsi"/>
                <w:color w:val="000000" w:themeColor="text1"/>
              </w:rPr>
            </w:pPr>
            <w:r w:rsidRPr="00DC1C8F">
              <w:rPr>
                <w:rFonts w:eastAsia="Courier New" w:cstheme="minorHAnsi"/>
                <w:b/>
                <w:bCs/>
                <w:color w:val="000000" w:themeColor="text1"/>
                <w:lang w:val="es-ES_tradnl"/>
              </w:rPr>
              <w:t>“La decisión de acreditación adoptada por la Comisión Nacional de Acreditación será apelable ante el Consejo Nacional de Educación dentro del plazo de quince días hábiles, a contar de la fecha de la notificación de la decisión recurrida. El Consejo tendrá un plazo de treinta días hábiles para resolver. Lo anterior se entiende sin perjuicio de la interposición del recurso de reposición ante la misma Comisión.”.</w:t>
            </w:r>
          </w:p>
        </w:tc>
      </w:tr>
      <w:tr w:rsidR="00EE0400" w:rsidRPr="00DC1C8F" w:rsidTr="00EE0400">
        <w:trPr>
          <w:trHeight w:val="457"/>
        </w:trPr>
        <w:tc>
          <w:tcPr>
            <w:tcW w:w="5529" w:type="dxa"/>
          </w:tcPr>
          <w:p w:rsidR="008A16F8" w:rsidRDefault="00EE0400" w:rsidP="008A16F8">
            <w:pPr>
              <w:widowControl w:val="0"/>
              <w:jc w:val="both"/>
              <w:rPr>
                <w:rFonts w:eastAsia="Times New Roman" w:cstheme="minorHAnsi"/>
                <w:lang w:val="es-ES" w:eastAsia="es-ES"/>
              </w:rPr>
            </w:pPr>
            <w:r w:rsidRPr="00DC1C8F">
              <w:rPr>
                <w:rFonts w:eastAsia="Times New Roman" w:cstheme="minorHAnsi"/>
                <w:lang w:val="es-ES" w:eastAsia="es-ES"/>
              </w:rPr>
              <w:lastRenderedPageBreak/>
              <w:t>38) Agrégase el siguiente párrafo 2°, nuevo, en el título III, reemplazando el artículo 30:</w:t>
            </w:r>
          </w:p>
          <w:p w:rsidR="00EE0400" w:rsidRPr="00DC1C8F" w:rsidRDefault="00EE0400" w:rsidP="008A16F8">
            <w:pPr>
              <w:widowControl w:val="0"/>
              <w:jc w:val="both"/>
              <w:rPr>
                <w:rFonts w:eastAsia="Times New Roman" w:cstheme="minorHAnsi"/>
                <w:lang w:val="es-ES" w:eastAsia="es-ES"/>
              </w:rPr>
            </w:pPr>
          </w:p>
          <w:p w:rsidR="00EE0400" w:rsidRDefault="00EE0400" w:rsidP="00F14A2C">
            <w:pPr>
              <w:widowControl w:val="0"/>
              <w:jc w:val="center"/>
              <w:rPr>
                <w:rFonts w:eastAsia="Times New Roman" w:cstheme="minorHAnsi"/>
                <w:lang w:val="es-ES" w:eastAsia="es-ES"/>
              </w:rPr>
            </w:pPr>
            <w:r w:rsidRPr="00DC1C8F">
              <w:rPr>
                <w:rFonts w:eastAsia="Times New Roman" w:cstheme="minorHAnsi"/>
                <w:lang w:val="es-ES" w:eastAsia="es-ES"/>
              </w:rPr>
              <w:t>"Párrafo 2°</w:t>
            </w:r>
            <w:r w:rsidR="008A179D">
              <w:rPr>
                <w:rFonts w:eastAsia="Times New Roman" w:cstheme="minorHAnsi"/>
                <w:lang w:val="es-ES" w:eastAsia="es-ES"/>
              </w:rPr>
              <w:t xml:space="preserve">  </w:t>
            </w:r>
            <w:r w:rsidRPr="00DC1C8F">
              <w:rPr>
                <w:rFonts w:eastAsia="Times New Roman" w:cstheme="minorHAnsi"/>
                <w:lang w:val="es-ES" w:eastAsia="es-ES"/>
              </w:rPr>
              <w:t>De la acreditación voluntaria de carreras y programas de pregrado</w:t>
            </w:r>
          </w:p>
          <w:p w:rsidR="008A179D" w:rsidRPr="00DC1C8F" w:rsidRDefault="008A179D" w:rsidP="00F14A2C">
            <w:pPr>
              <w:widowControl w:val="0"/>
              <w:jc w:val="center"/>
              <w:rPr>
                <w:rFonts w:eastAsia="Times New Roman" w:cstheme="minorHAnsi"/>
                <w:lang w:val="es-ES" w:eastAsia="es-ES"/>
              </w:rPr>
            </w:pP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t>Artículo 30</w:t>
            </w:r>
            <w:r w:rsidRPr="00DC1C8F">
              <w:rPr>
                <w:rFonts w:eastAsia="Times New Roman" w:cstheme="minorHAnsi"/>
                <w:lang w:val="es-ES" w:eastAsia="es-ES"/>
              </w:rPr>
              <w:t>.- Para el mejoramiento continuo de la calidad de las instituciones de educación superior, existirá un proceso de acreditación voluntaria de las carreras y programas de pregrado al que podrán acceder las instituciones que cuenten, al menos, con acreditación institucional de nivel avanzado y cuyas carreras de acreditación obligatoria se encuentren acreditadas.</w:t>
            </w: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lastRenderedPageBreak/>
              <w:t>Para estos efectos, la Comisión Nacional de Acreditación, en función de aquellas prioridades que se deberán definir en el Plan de Coordinación para el Mejoramiento de la Calidad de la Educación Superior establecido en la letra d) del artículo 4, establecerá periódicamente aquellas áreas o carreras respecto de las cuales las instituciones de educación superior podrán solicitar esta acreditación voluntaria.</w:t>
            </w: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En estos procesos, la evaluación externa podrá ser efectuada por los pares evaluadores referidos en el artículo 19 precedente.</w:t>
            </w: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También podrán ser efectuadas por entidades evaluadoras de reconocido prestigio, registradas ante la Comisión y autorizadas y supervisadas por esta. Dichas entidades podrán ser de origen nacional o extranjero y deberán estar constituidas como personas jurídicas sin fines de lucro.</w:t>
            </w: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La Comisión asignará, según un procedimiento transparente y públicamente conocido, a los pares o entidades evaluadoras que realizarán la respectiva evaluación externa resguardando especialmente que no existan conflictos de intereses.</w:t>
            </w: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Con todo, la decisión de acreditación de estas carreras será siempre adoptada por la Comisión, la cual deberá basarse en criterios y estándares específicos, que deberá </w:t>
            </w:r>
            <w:r w:rsidRPr="00DC1C8F">
              <w:rPr>
                <w:rFonts w:eastAsia="Times New Roman" w:cstheme="minorHAnsi"/>
                <w:lang w:val="es-ES" w:eastAsia="es-ES"/>
              </w:rPr>
              <w:lastRenderedPageBreak/>
              <w:t>dictar de conformidad a lo establecido en el artículo 18. Los aranceles que cobrará la Comisión por el desarrollo de estos procesos se regirán por el artículo 14.</w:t>
            </w:r>
          </w:p>
          <w:p w:rsidR="00F54E32" w:rsidRPr="00DC1C8F" w:rsidRDefault="00F54E32" w:rsidP="008A16F8">
            <w:pPr>
              <w:widowControl w:val="0"/>
              <w:ind w:firstLine="318"/>
              <w:jc w:val="both"/>
              <w:rPr>
                <w:rFonts w:eastAsia="Times New Roman" w:cstheme="minorHAnsi"/>
                <w:lang w:val="es-ES" w:eastAsia="es-ES"/>
              </w:rPr>
            </w:pPr>
          </w:p>
          <w:p w:rsidR="008A179D" w:rsidRDefault="008A179D" w:rsidP="008A16F8">
            <w:pPr>
              <w:widowControl w:val="0"/>
              <w:jc w:val="both"/>
              <w:rPr>
                <w:rFonts w:eastAsia="Times New Roman" w:cstheme="minorHAnsi"/>
                <w:lang w:val="es-ES" w:eastAsia="es-ES"/>
              </w:rPr>
            </w:pPr>
          </w:p>
          <w:p w:rsidR="00F54E32" w:rsidRPr="00DC1C8F" w:rsidRDefault="00DC1C8F" w:rsidP="008A16F8">
            <w:pPr>
              <w:widowControl w:val="0"/>
              <w:jc w:val="both"/>
              <w:rPr>
                <w:rFonts w:eastAsia="Times New Roman" w:cstheme="minorHAnsi"/>
                <w:lang w:val="es-ES" w:eastAsia="es-ES"/>
              </w:rPr>
            </w:pPr>
            <w:r>
              <w:rPr>
                <w:rFonts w:eastAsia="Times New Roman" w:cstheme="minorHAnsi"/>
                <w:lang w:val="es-ES" w:eastAsia="es-ES"/>
              </w:rPr>
              <w:t>________________________________</w:t>
            </w:r>
            <w:r w:rsidR="008A16F8">
              <w:rPr>
                <w:rFonts w:eastAsia="Times New Roman" w:cstheme="minorHAnsi"/>
                <w:lang w:val="es-ES" w:eastAsia="es-ES"/>
              </w:rPr>
              <w:t>____</w:t>
            </w:r>
            <w:r>
              <w:rPr>
                <w:rFonts w:eastAsia="Times New Roman" w:cstheme="minorHAnsi"/>
                <w:lang w:val="es-ES" w:eastAsia="es-ES"/>
              </w:rPr>
              <w:t>____________</w:t>
            </w:r>
          </w:p>
          <w:p w:rsidR="00F54E32" w:rsidRPr="00DC1C8F" w:rsidRDefault="00F54E32" w:rsidP="008A16F8">
            <w:pPr>
              <w:widowControl w:val="0"/>
              <w:ind w:firstLine="318"/>
              <w:jc w:val="both"/>
              <w:rPr>
                <w:rFonts w:eastAsia="Times New Roman" w:cstheme="minorHAnsi"/>
                <w:lang w:val="es-ES" w:eastAsia="es-ES"/>
              </w:rPr>
            </w:pPr>
          </w:p>
          <w:p w:rsidR="00F54E32" w:rsidRPr="00DC1C8F" w:rsidRDefault="00F54E32" w:rsidP="008A16F8">
            <w:pPr>
              <w:widowControl w:val="0"/>
              <w:ind w:firstLine="318"/>
              <w:jc w:val="both"/>
              <w:rPr>
                <w:rFonts w:eastAsia="Times New Roman" w:cstheme="minorHAnsi"/>
                <w:lang w:val="es-ES" w:eastAsia="es-ES"/>
              </w:rPr>
            </w:pPr>
          </w:p>
          <w:p w:rsidR="00F54E32" w:rsidRDefault="00F54E32" w:rsidP="008A16F8">
            <w:pPr>
              <w:widowControl w:val="0"/>
              <w:ind w:firstLine="318"/>
              <w:jc w:val="both"/>
              <w:rPr>
                <w:rFonts w:eastAsia="Times New Roman" w:cstheme="minorHAnsi"/>
                <w:lang w:val="es-ES" w:eastAsia="es-ES"/>
              </w:rPr>
            </w:pPr>
          </w:p>
          <w:p w:rsidR="00C55878" w:rsidRDefault="00C55878" w:rsidP="008A16F8">
            <w:pPr>
              <w:widowControl w:val="0"/>
              <w:ind w:firstLine="318"/>
              <w:jc w:val="both"/>
              <w:rPr>
                <w:rFonts w:eastAsia="Times New Roman" w:cstheme="minorHAnsi"/>
                <w:lang w:val="es-ES" w:eastAsia="es-ES"/>
              </w:rPr>
            </w:pPr>
          </w:p>
          <w:p w:rsidR="001A6266" w:rsidRPr="00DC1C8F" w:rsidRDefault="001A6266" w:rsidP="008A16F8">
            <w:pPr>
              <w:widowControl w:val="0"/>
              <w:ind w:firstLine="318"/>
              <w:jc w:val="both"/>
              <w:rPr>
                <w:rFonts w:eastAsia="Times New Roman" w:cstheme="minorHAnsi"/>
                <w:lang w:val="es-ES" w:eastAsia="es-ES"/>
              </w:rPr>
            </w:pPr>
          </w:p>
          <w:p w:rsidR="00F54E32" w:rsidRPr="00DC1C8F" w:rsidRDefault="00F54E32" w:rsidP="008A16F8">
            <w:pPr>
              <w:widowControl w:val="0"/>
              <w:ind w:firstLine="318"/>
              <w:jc w:val="both"/>
              <w:rPr>
                <w:rFonts w:eastAsia="Times New Roman" w:cstheme="minorHAnsi"/>
                <w:lang w:val="es-ES" w:eastAsia="es-ES"/>
              </w:rPr>
            </w:pPr>
          </w:p>
          <w:p w:rsidR="00EE0400" w:rsidRPr="00DC1C8F" w:rsidRDefault="00EE0400"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Un reglamento de la Comisión Nacional de Acreditación, previa consulta al Comité de Coordinación señalado en el artículo 3°, regulará lo establecido en el presente artículo, especialmente lo referido a la autorización y supervisión de las entidades evaluadoras y los mecanismos de resolución de conflictos de intereses.".</w:t>
            </w:r>
          </w:p>
        </w:tc>
        <w:tc>
          <w:tcPr>
            <w:tcW w:w="5386" w:type="dxa"/>
          </w:tcPr>
          <w:p w:rsidR="00C571D5" w:rsidRPr="00DC1C8F" w:rsidRDefault="00C571D5" w:rsidP="007B2215">
            <w:pPr>
              <w:widowControl w:val="0"/>
              <w:ind w:firstLine="317"/>
              <w:jc w:val="both"/>
              <w:rPr>
                <w:rFonts w:eastAsia="Courier New" w:cstheme="minorHAnsi"/>
                <w:color w:val="000000" w:themeColor="text1"/>
              </w:rPr>
            </w:pPr>
          </w:p>
          <w:p w:rsidR="00C571D5" w:rsidRPr="00DC1C8F" w:rsidRDefault="00C571D5" w:rsidP="007B2215">
            <w:pPr>
              <w:widowControl w:val="0"/>
              <w:ind w:firstLine="317"/>
              <w:jc w:val="both"/>
              <w:rPr>
                <w:rFonts w:eastAsia="Courier New" w:cstheme="minorHAnsi"/>
                <w:color w:val="000000" w:themeColor="text1"/>
              </w:rPr>
            </w:pPr>
          </w:p>
          <w:p w:rsidR="00C571D5" w:rsidRDefault="00C571D5" w:rsidP="007B2215">
            <w:pPr>
              <w:widowControl w:val="0"/>
              <w:ind w:firstLine="317"/>
              <w:jc w:val="both"/>
              <w:rPr>
                <w:rFonts w:eastAsia="Courier New" w:cstheme="minorHAnsi"/>
                <w:color w:val="000000" w:themeColor="text1"/>
              </w:rPr>
            </w:pPr>
          </w:p>
          <w:p w:rsidR="008A16F8" w:rsidRPr="00DC1C8F" w:rsidRDefault="008A16F8" w:rsidP="007B2215">
            <w:pPr>
              <w:widowControl w:val="0"/>
              <w:ind w:firstLine="317"/>
              <w:jc w:val="both"/>
              <w:rPr>
                <w:rFonts w:eastAsia="Courier New" w:cstheme="minorHAnsi"/>
                <w:color w:val="000000" w:themeColor="text1"/>
              </w:rPr>
            </w:pPr>
          </w:p>
          <w:p w:rsidR="008A16F8" w:rsidRDefault="008A16F8" w:rsidP="007B2215">
            <w:pPr>
              <w:widowControl w:val="0"/>
              <w:ind w:firstLine="317"/>
              <w:jc w:val="both"/>
              <w:rPr>
                <w:rFonts w:eastAsia="Courier New" w:cstheme="minorHAnsi"/>
                <w:color w:val="000000" w:themeColor="text1"/>
              </w:rPr>
            </w:pPr>
          </w:p>
          <w:p w:rsidR="00C571D5" w:rsidRPr="00DC1C8F" w:rsidRDefault="00C571D5"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2. Modifícase el artículo 81, numeral 38), para incorporar el siguiente inciso séptimo nuevo al artículo 30 de la ley N° 20.129, pasando el actual inciso séptimo a ser inciso final:</w:t>
            </w: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Default="00F54E32"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Default="008A179D" w:rsidP="007B2215">
            <w:pPr>
              <w:widowControl w:val="0"/>
              <w:ind w:firstLine="317"/>
              <w:jc w:val="both"/>
              <w:rPr>
                <w:rFonts w:eastAsia="Courier New" w:cstheme="minorHAnsi"/>
                <w:color w:val="000000" w:themeColor="text1"/>
              </w:rPr>
            </w:pPr>
          </w:p>
          <w:p w:rsidR="008A179D" w:rsidRPr="00DC1C8F" w:rsidRDefault="008A179D"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EE0400" w:rsidRPr="00DC1C8F" w:rsidRDefault="00EE0400" w:rsidP="007B2215">
            <w:pPr>
              <w:widowControl w:val="0"/>
              <w:ind w:firstLine="317"/>
              <w:jc w:val="both"/>
              <w:rPr>
                <w:rFonts w:eastAsia="Courier New" w:cstheme="minorHAnsi"/>
                <w:color w:val="000000" w:themeColor="text1"/>
              </w:rPr>
            </w:pPr>
          </w:p>
          <w:p w:rsidR="00EE0400" w:rsidRPr="00DC1C8F" w:rsidRDefault="00EE0400"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w:t>
            </w:r>
            <w:r w:rsidRPr="00DC1C8F">
              <w:rPr>
                <w:rFonts w:eastAsia="Courier New" w:cstheme="minorHAnsi"/>
                <w:b/>
                <w:color w:val="000000" w:themeColor="text1"/>
              </w:rPr>
              <w:t>La decisión de acreditación adoptada por la Comisión Nacional de Acreditación será apelable ante el Consejo Nacional de Educación dentro del plazo de quince días hábiles, a contar de la fecha de la notificación de la decisión recurrida. El Consejo tendrá un plazo de treinta días hábiles para resolver. Lo anterior se entiende sin perjuicio de la interposición del recurso de reposición ante la misma Comisión</w:t>
            </w:r>
            <w:r w:rsidRPr="00DC1C8F">
              <w:rPr>
                <w:rFonts w:eastAsia="Courier New" w:cstheme="minorHAnsi"/>
                <w:color w:val="000000" w:themeColor="text1"/>
              </w:rPr>
              <w:t>.”.</w:t>
            </w:r>
          </w:p>
        </w:tc>
        <w:tc>
          <w:tcPr>
            <w:tcW w:w="5386" w:type="dxa"/>
          </w:tcPr>
          <w:p w:rsidR="00EE0400" w:rsidRDefault="00C571D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lastRenderedPageBreak/>
              <w:t>N°2</w:t>
            </w:r>
          </w:p>
          <w:p w:rsidR="00F14A2C" w:rsidRPr="00DC1C8F" w:rsidRDefault="00F14A2C" w:rsidP="00F14A2C">
            <w:pPr>
              <w:widowControl w:val="0"/>
              <w:ind w:firstLine="318"/>
              <w:jc w:val="center"/>
              <w:rPr>
                <w:rFonts w:eastAsia="Courier New" w:cstheme="minorHAnsi"/>
                <w:b/>
                <w:color w:val="000000" w:themeColor="text1"/>
              </w:rPr>
            </w:pPr>
          </w:p>
          <w:p w:rsidR="00C571D5" w:rsidRPr="00DC1C8F" w:rsidRDefault="00C571D5"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literal c), reemplazado por el siguiente:</w:t>
            </w:r>
          </w:p>
          <w:p w:rsidR="00C571D5" w:rsidRPr="00DC1C8F" w:rsidRDefault="00C571D5" w:rsidP="00F14A2C">
            <w:pPr>
              <w:widowControl w:val="0"/>
              <w:ind w:firstLine="318"/>
              <w:jc w:val="both"/>
              <w:rPr>
                <w:rFonts w:eastAsia="Courier New" w:cstheme="minorHAnsi"/>
                <w:color w:val="000000" w:themeColor="text1"/>
              </w:rPr>
            </w:pPr>
          </w:p>
          <w:p w:rsidR="00B97808" w:rsidRPr="00DC1C8F" w:rsidRDefault="00B97808" w:rsidP="00F14A2C">
            <w:pPr>
              <w:widowControl w:val="0"/>
              <w:ind w:firstLine="318"/>
              <w:jc w:val="both"/>
              <w:rPr>
                <w:rFonts w:eastAsia="Courier New" w:cstheme="minorHAnsi"/>
                <w:color w:val="000000" w:themeColor="text1"/>
              </w:rPr>
            </w:pPr>
          </w:p>
          <w:p w:rsidR="00C571D5" w:rsidRPr="00DC1C8F" w:rsidRDefault="00C571D5" w:rsidP="00F14A2C">
            <w:pPr>
              <w:widowControl w:val="0"/>
              <w:ind w:firstLine="318"/>
              <w:jc w:val="both"/>
              <w:rPr>
                <w:rFonts w:eastAsia="Courier New" w:cstheme="minorHAnsi"/>
                <w:bCs/>
                <w:color w:val="000000" w:themeColor="text1"/>
                <w:lang w:val="es-ES_tradnl"/>
              </w:rPr>
            </w:pPr>
            <w:r w:rsidRPr="00DC1C8F">
              <w:rPr>
                <w:rFonts w:eastAsia="Courier New" w:cstheme="minorHAnsi"/>
                <w:bCs/>
                <w:color w:val="000000" w:themeColor="text1"/>
                <w:lang w:val="es-ES_tradnl"/>
              </w:rPr>
              <w:t>c) En su numeral 38): agrégase, en el artículo 30 que contiene, el siguiente inciso séptimo, nuevo, pasando el actual inciso séptimo a ser inciso final:</w:t>
            </w:r>
          </w:p>
          <w:p w:rsidR="00C571D5" w:rsidRPr="00DC1C8F" w:rsidRDefault="00C571D5"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Default="00DA154C"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Default="008A179D" w:rsidP="00F14A2C">
            <w:pPr>
              <w:widowControl w:val="0"/>
              <w:ind w:firstLine="318"/>
              <w:jc w:val="both"/>
              <w:rPr>
                <w:rFonts w:eastAsia="Courier New" w:cstheme="minorHAnsi"/>
                <w:color w:val="000000" w:themeColor="text1"/>
              </w:rPr>
            </w:pPr>
          </w:p>
          <w:p w:rsidR="008A179D" w:rsidRPr="00DC1C8F" w:rsidRDefault="008A179D"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B97808" w:rsidRPr="00DC1C8F" w:rsidRDefault="00B97808" w:rsidP="00F14A2C">
            <w:pPr>
              <w:widowControl w:val="0"/>
              <w:ind w:firstLine="318"/>
              <w:jc w:val="both"/>
              <w:rPr>
                <w:rFonts w:eastAsia="Courier New" w:cstheme="minorHAnsi"/>
                <w:b/>
                <w:color w:val="000000" w:themeColor="text1"/>
              </w:rPr>
            </w:pPr>
            <w:r w:rsidRPr="00DC1C8F">
              <w:rPr>
                <w:rFonts w:eastAsia="Courier New" w:cstheme="minorHAnsi"/>
                <w:b/>
                <w:color w:val="000000" w:themeColor="text1"/>
              </w:rPr>
              <w:t>“La decisión de acreditación adoptada por la Comisión Nacional de Acreditación será apelable ante el Consejo Nacional de Educación dentro del plazo de quince días hábiles, a contar de la fecha de la notificación de la decisión recurrida. El Consejo tendrá un plazo de treinta días hábiles para resolver. Lo anterior se entiende sin perjuicio de la interposición del recurso de reposición ante la misma Comisión.”.”.</w:t>
            </w:r>
          </w:p>
          <w:p w:rsidR="00DA154C" w:rsidRPr="00DC1C8F" w:rsidRDefault="00DA154C" w:rsidP="00F14A2C">
            <w:pPr>
              <w:widowControl w:val="0"/>
              <w:ind w:firstLine="318"/>
              <w:jc w:val="both"/>
              <w:rPr>
                <w:rFonts w:eastAsia="Courier New" w:cstheme="minorHAnsi"/>
                <w:color w:val="000000" w:themeColor="text1"/>
                <w:lang w:val="es-ES_tradnl"/>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p w:rsidR="00DA154C" w:rsidRPr="00DC1C8F" w:rsidRDefault="00DA154C" w:rsidP="00F14A2C">
            <w:pPr>
              <w:widowControl w:val="0"/>
              <w:ind w:firstLine="318"/>
              <w:jc w:val="both"/>
              <w:rPr>
                <w:rFonts w:eastAsia="Courier New" w:cstheme="minorHAnsi"/>
                <w:color w:val="000000" w:themeColor="text1"/>
              </w:rPr>
            </w:pPr>
          </w:p>
        </w:tc>
      </w:tr>
      <w:tr w:rsidR="00EE0400" w:rsidRPr="00DC1C8F" w:rsidTr="00EE0400">
        <w:trPr>
          <w:trHeight w:val="457"/>
        </w:trPr>
        <w:tc>
          <w:tcPr>
            <w:tcW w:w="5529" w:type="dxa"/>
          </w:tcPr>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F54E32" w:rsidRPr="00DC1C8F" w:rsidRDefault="00F54E32" w:rsidP="008A16F8">
            <w:pPr>
              <w:widowControl w:val="0"/>
              <w:ind w:firstLine="318"/>
              <w:jc w:val="both"/>
              <w:rPr>
                <w:rFonts w:eastAsia="Times New Roman" w:cstheme="minorHAnsi"/>
                <w:b/>
                <w:lang w:val="es-ES" w:eastAsia="es-ES"/>
              </w:rPr>
            </w:pPr>
            <w:r w:rsidRPr="00DC1C8F">
              <w:rPr>
                <w:rFonts w:eastAsia="Times New Roman" w:cstheme="minorHAnsi"/>
                <w:b/>
                <w:lang w:val="es-ES" w:eastAsia="es-ES"/>
              </w:rPr>
              <w:t>Artículo vigésimo primero.- Los numerales 15, 16, 17, 18, 21, 23, 24 y 27 del artículo 81 de la presente ley, que modifica la ley N° 20.129 entrarán en vigencia a contar del 1 de enero del 2020.</w:t>
            </w:r>
          </w:p>
          <w:p w:rsidR="00F54E32" w:rsidRPr="00DC1C8F" w:rsidRDefault="00F54E32" w:rsidP="008A16F8">
            <w:pPr>
              <w:widowControl w:val="0"/>
              <w:ind w:firstLine="318"/>
              <w:jc w:val="both"/>
              <w:rPr>
                <w:rFonts w:eastAsia="Times New Roman" w:cstheme="minorHAnsi"/>
                <w:lang w:val="es-ES" w:eastAsia="es-ES"/>
              </w:rPr>
            </w:pPr>
          </w:p>
          <w:p w:rsidR="00C55878" w:rsidRDefault="00C55878" w:rsidP="008A16F8">
            <w:pPr>
              <w:widowControl w:val="0"/>
              <w:ind w:firstLine="318"/>
              <w:jc w:val="both"/>
              <w:rPr>
                <w:rFonts w:eastAsia="Times New Roman" w:cstheme="minorHAnsi"/>
                <w:lang w:val="es-ES" w:eastAsia="es-ES"/>
              </w:rPr>
            </w:pPr>
          </w:p>
          <w:p w:rsidR="00032B57" w:rsidRDefault="00032B57" w:rsidP="008A16F8">
            <w:pPr>
              <w:widowControl w:val="0"/>
              <w:ind w:firstLine="318"/>
              <w:jc w:val="both"/>
              <w:rPr>
                <w:rFonts w:eastAsia="Times New Roman" w:cstheme="minorHAnsi"/>
                <w:lang w:val="es-ES" w:eastAsia="es-ES"/>
              </w:rPr>
            </w:pPr>
          </w:p>
          <w:p w:rsidR="00DA154C" w:rsidRPr="00032B57" w:rsidRDefault="00032B57" w:rsidP="00032B57">
            <w:pPr>
              <w:widowControl w:val="0"/>
              <w:jc w:val="both"/>
              <w:rPr>
                <w:rFonts w:eastAsia="Times New Roman" w:cstheme="minorHAnsi"/>
                <w:b/>
                <w:lang w:val="es-ES" w:eastAsia="es-ES"/>
              </w:rPr>
            </w:pPr>
            <w:r w:rsidRPr="00032B57">
              <w:rPr>
                <w:rFonts w:eastAsia="Times New Roman" w:cstheme="minorHAnsi"/>
                <w:b/>
                <w:lang w:val="es-ES" w:eastAsia="es-ES"/>
              </w:rPr>
              <w:t>________________________</w:t>
            </w:r>
            <w:r>
              <w:rPr>
                <w:rFonts w:eastAsia="Times New Roman" w:cstheme="minorHAnsi"/>
                <w:b/>
                <w:lang w:val="es-ES" w:eastAsia="es-ES"/>
              </w:rPr>
              <w:t>___</w:t>
            </w:r>
            <w:r w:rsidRPr="00032B57">
              <w:rPr>
                <w:rFonts w:eastAsia="Times New Roman" w:cstheme="minorHAnsi"/>
                <w:b/>
                <w:lang w:val="es-ES" w:eastAsia="es-ES"/>
              </w:rPr>
              <w:t>_____________________</w:t>
            </w:r>
          </w:p>
          <w:p w:rsidR="00DA154C" w:rsidRDefault="00DA154C" w:rsidP="008A16F8">
            <w:pPr>
              <w:widowControl w:val="0"/>
              <w:ind w:firstLine="318"/>
              <w:jc w:val="both"/>
              <w:rPr>
                <w:rFonts w:eastAsia="Times New Roman" w:cstheme="minorHAnsi"/>
                <w:lang w:val="es-ES" w:eastAsia="es-ES"/>
              </w:rPr>
            </w:pPr>
          </w:p>
          <w:p w:rsidR="00DA154C" w:rsidRDefault="00DA154C" w:rsidP="008A16F8">
            <w:pPr>
              <w:widowControl w:val="0"/>
              <w:ind w:firstLine="318"/>
              <w:jc w:val="both"/>
              <w:rPr>
                <w:rFonts w:eastAsia="Times New Roman" w:cstheme="minorHAnsi"/>
                <w:lang w:val="es-ES" w:eastAsia="es-ES"/>
              </w:rPr>
            </w:pPr>
          </w:p>
          <w:p w:rsidR="008A179D" w:rsidRPr="00DC1C8F" w:rsidRDefault="008A179D" w:rsidP="008A16F8">
            <w:pPr>
              <w:widowControl w:val="0"/>
              <w:ind w:firstLine="318"/>
              <w:jc w:val="both"/>
              <w:rPr>
                <w:rFonts w:eastAsia="Times New Roman" w:cstheme="minorHAnsi"/>
                <w:lang w:val="es-ES" w:eastAsia="es-ES"/>
              </w:rPr>
            </w:pPr>
          </w:p>
          <w:p w:rsidR="00EE0400" w:rsidRDefault="00F54E32"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Por su parte, las disposiciones del artículo 81 de la presente ley que modifican el capítulo III de la ley N° 20.129 entrarán en vigencia una vez que inicie su funcionamiento la Subsecretaría de Educación Superior de conformidad con el artículo sexto transitorio.</w:t>
            </w:r>
          </w:p>
          <w:p w:rsidR="00C55878" w:rsidRPr="00DC1C8F" w:rsidRDefault="00C55878" w:rsidP="008A16F8">
            <w:pPr>
              <w:widowControl w:val="0"/>
              <w:ind w:firstLine="318"/>
              <w:jc w:val="both"/>
              <w:rPr>
                <w:rFonts w:eastAsia="Times New Roman" w:cstheme="minorHAnsi"/>
                <w:lang w:val="es-ES" w:eastAsia="es-ES"/>
              </w:rPr>
            </w:pPr>
          </w:p>
        </w:tc>
        <w:tc>
          <w:tcPr>
            <w:tcW w:w="5386" w:type="dxa"/>
          </w:tcPr>
          <w:p w:rsidR="00DA154C" w:rsidRPr="00DC1C8F" w:rsidRDefault="00DA154C" w:rsidP="007B2215">
            <w:pPr>
              <w:widowControl w:val="0"/>
              <w:ind w:firstLine="317"/>
              <w:jc w:val="both"/>
              <w:rPr>
                <w:rFonts w:eastAsia="Courier New" w:cstheme="minorHAnsi"/>
                <w:color w:val="000000" w:themeColor="text1"/>
                <w:u w:val="single"/>
              </w:rPr>
            </w:pPr>
          </w:p>
          <w:p w:rsidR="00EE0400" w:rsidRPr="007B2215" w:rsidRDefault="00F54E32" w:rsidP="007B2215">
            <w:pPr>
              <w:widowControl w:val="0"/>
              <w:ind w:firstLine="317"/>
              <w:jc w:val="both"/>
              <w:rPr>
                <w:rFonts w:eastAsia="Courier New" w:cstheme="minorHAnsi"/>
                <w:color w:val="000000" w:themeColor="text1"/>
              </w:rPr>
            </w:pPr>
            <w:r w:rsidRPr="007B2215">
              <w:rPr>
                <w:rFonts w:eastAsia="Courier New" w:cstheme="minorHAnsi"/>
                <w:color w:val="000000" w:themeColor="text1"/>
              </w:rPr>
              <w:t xml:space="preserve">3. Agrégase en el inciso primero del artículo vigésimo primero transitorio, entre la expresión “del 1 de enero del 2020” y el punto que le sigue, la frase “, </w:t>
            </w:r>
            <w:r w:rsidRPr="007B2215">
              <w:rPr>
                <w:rFonts w:eastAsia="Courier New" w:cstheme="minorHAnsi"/>
                <w:b/>
                <w:color w:val="000000" w:themeColor="text1"/>
              </w:rPr>
              <w:t>sin perjuicio de lo señalado en el inciso cuarto del artículo vigésimo segundo transitorio</w:t>
            </w:r>
            <w:r w:rsidRPr="007B2215">
              <w:rPr>
                <w:rFonts w:eastAsia="Courier New" w:cstheme="minorHAnsi"/>
                <w:color w:val="000000" w:themeColor="text1"/>
              </w:rPr>
              <w:t>”.</w:t>
            </w:r>
          </w:p>
        </w:tc>
        <w:tc>
          <w:tcPr>
            <w:tcW w:w="5386" w:type="dxa"/>
          </w:tcPr>
          <w:p w:rsidR="00DA154C" w:rsidRDefault="00B97808"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t>N°3</w:t>
            </w:r>
          </w:p>
          <w:p w:rsidR="00DA154C" w:rsidRDefault="00DA154C"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número 2, reemplazado por el siguiente:</w:t>
            </w:r>
          </w:p>
          <w:p w:rsidR="00F14A2C" w:rsidRPr="00DC1C8F" w:rsidRDefault="00F14A2C" w:rsidP="00F14A2C">
            <w:pPr>
              <w:widowControl w:val="0"/>
              <w:ind w:firstLine="318"/>
              <w:jc w:val="both"/>
              <w:rPr>
                <w:rFonts w:eastAsia="Courier New" w:cstheme="minorHAnsi"/>
                <w:color w:val="000000" w:themeColor="text1"/>
              </w:rPr>
            </w:pPr>
          </w:p>
          <w:p w:rsidR="00DA154C" w:rsidRDefault="00DA154C" w:rsidP="00F14A2C">
            <w:pPr>
              <w:widowControl w:val="0"/>
              <w:ind w:firstLine="318"/>
              <w:jc w:val="both"/>
              <w:rPr>
                <w:rFonts w:eastAsia="Courier New" w:cstheme="minorHAnsi"/>
                <w:b/>
                <w:color w:val="000000" w:themeColor="text1"/>
              </w:rPr>
            </w:pPr>
            <w:r w:rsidRPr="00DC1C8F">
              <w:rPr>
                <w:rFonts w:eastAsia="Courier New" w:cstheme="minorHAnsi"/>
                <w:b/>
                <w:color w:val="000000" w:themeColor="text1"/>
              </w:rPr>
              <w:t>“2) Sustitúyese el inciso primero del artículo vigésimo primero transitorio por los siguientes, pasando el actual inciso segundo a ser tercero:</w:t>
            </w:r>
          </w:p>
          <w:p w:rsidR="007B2215" w:rsidRPr="00DC1C8F" w:rsidRDefault="007B2215" w:rsidP="00F14A2C">
            <w:pPr>
              <w:widowControl w:val="0"/>
              <w:ind w:firstLine="318"/>
              <w:jc w:val="both"/>
              <w:rPr>
                <w:rFonts w:eastAsia="Courier New" w:cstheme="minorHAnsi"/>
                <w:b/>
                <w:color w:val="000000" w:themeColor="text1"/>
              </w:rPr>
            </w:pPr>
          </w:p>
          <w:p w:rsidR="00DA154C" w:rsidRPr="00DC1C8F" w:rsidRDefault="00DA154C" w:rsidP="00F14A2C">
            <w:pPr>
              <w:widowControl w:val="0"/>
              <w:ind w:firstLine="318"/>
              <w:jc w:val="both"/>
              <w:rPr>
                <w:rFonts w:eastAsia="Courier New" w:cstheme="minorHAnsi"/>
                <w:b/>
                <w:color w:val="000000" w:themeColor="text1"/>
              </w:rPr>
            </w:pPr>
            <w:r w:rsidRPr="00DC1C8F">
              <w:rPr>
                <w:rFonts w:eastAsia="Courier New" w:cstheme="minorHAnsi"/>
                <w:color w:val="000000" w:themeColor="text1"/>
              </w:rPr>
              <w:t>“</w:t>
            </w:r>
            <w:r w:rsidRPr="00DC1C8F">
              <w:rPr>
                <w:rFonts w:eastAsia="Courier New" w:cstheme="minorHAnsi"/>
                <w:b/>
                <w:color w:val="000000" w:themeColor="text1"/>
              </w:rPr>
              <w:t>Artículo vigésimo primero. - Los numerales 15, en lo relativo a la obligatoriedad de la acreditación, 17, 21, 23, en cuanto a la acreditación basada en niveles, y 24 y 27, del artículo 81 de la presente ley, que modifica la ley N° 20.129 entrarán en vigencia a contar del 1 de enero del 2020.</w:t>
            </w:r>
          </w:p>
          <w:p w:rsidR="00EE0400" w:rsidRPr="00DC1C8F" w:rsidRDefault="00DA154C" w:rsidP="00F14A2C">
            <w:pPr>
              <w:widowControl w:val="0"/>
              <w:ind w:firstLine="318"/>
              <w:jc w:val="both"/>
              <w:rPr>
                <w:rFonts w:eastAsia="Courier New" w:cstheme="minorHAnsi"/>
                <w:color w:val="000000" w:themeColor="text1"/>
              </w:rPr>
            </w:pPr>
            <w:r w:rsidRPr="00DC1C8F">
              <w:rPr>
                <w:rFonts w:eastAsia="Courier New" w:cstheme="minorHAnsi"/>
                <w:b/>
                <w:color w:val="000000" w:themeColor="text1"/>
              </w:rPr>
              <w:t>Los numerales 15, en cuanto a la integralidad y muestra intencionada, 16 y 18, entrarán en vigencia junto con los nuevos criterios y estándares según lo dispuesto en el inciso cuarto del artículo vigésimo segundo transitorio.</w:t>
            </w:r>
            <w:r w:rsidRPr="00DC1C8F">
              <w:rPr>
                <w:rFonts w:eastAsia="Courier New" w:cstheme="minorHAnsi"/>
                <w:color w:val="000000" w:themeColor="text1"/>
              </w:rPr>
              <w:t>”.”.</w:t>
            </w:r>
          </w:p>
        </w:tc>
      </w:tr>
      <w:tr w:rsidR="00EE0400" w:rsidRPr="00DC1C8F" w:rsidTr="00EE0400">
        <w:trPr>
          <w:trHeight w:val="457"/>
        </w:trPr>
        <w:tc>
          <w:tcPr>
            <w:tcW w:w="5529" w:type="dxa"/>
          </w:tcPr>
          <w:p w:rsidR="00F54E32" w:rsidRPr="00DC1C8F" w:rsidRDefault="00F54E32" w:rsidP="00C55878">
            <w:pPr>
              <w:widowControl w:val="0"/>
              <w:ind w:firstLine="318"/>
              <w:jc w:val="both"/>
              <w:rPr>
                <w:rFonts w:eastAsia="Times New Roman" w:cstheme="minorHAnsi"/>
                <w:lang w:val="es-ES" w:eastAsia="es-ES"/>
              </w:rPr>
            </w:pPr>
            <w:r w:rsidRPr="00DC1C8F">
              <w:rPr>
                <w:rFonts w:eastAsia="Times New Roman" w:cstheme="minorHAnsi"/>
                <w:b/>
                <w:lang w:val="es-ES" w:eastAsia="es-ES"/>
              </w:rPr>
              <w:lastRenderedPageBreak/>
              <w:t>Artículo vigésimo segundo</w:t>
            </w:r>
            <w:r w:rsidRPr="00DC1C8F">
              <w:rPr>
                <w:rFonts w:eastAsia="Times New Roman" w:cstheme="minorHAnsi"/>
                <w:lang w:val="es-ES" w:eastAsia="es-ES"/>
              </w:rPr>
              <w:t xml:space="preserve">.- La Comisión Nacional de Acreditación deberá elaborar una primera propuesta de los criterios y estándares de los que trata el nuevo artículo 18 de la ley N° 20.129 que se entregará al </w:t>
            </w:r>
            <w:r w:rsidRPr="00032B57">
              <w:rPr>
                <w:rFonts w:eastAsia="Times New Roman" w:cstheme="minorHAnsi"/>
                <w:b/>
                <w:lang w:val="es-ES" w:eastAsia="es-ES"/>
              </w:rPr>
              <w:t>Comité Coordinador</w:t>
            </w:r>
            <w:r w:rsidRPr="00DC1C8F">
              <w:rPr>
                <w:rFonts w:eastAsia="Times New Roman" w:cstheme="minorHAnsi"/>
                <w:u w:val="single"/>
                <w:lang w:val="es-ES" w:eastAsia="es-ES"/>
              </w:rPr>
              <w:t xml:space="preserve"> </w:t>
            </w:r>
            <w:r w:rsidR="00032B57">
              <w:rPr>
                <w:rFonts w:eastAsia="Times New Roman" w:cstheme="minorHAnsi"/>
                <w:u w:val="single"/>
                <w:lang w:val="es-ES" w:eastAsia="es-ES"/>
              </w:rPr>
              <w:t>_______</w:t>
            </w:r>
            <w:r w:rsidR="00032B57" w:rsidRPr="00032B57">
              <w:rPr>
                <w:rFonts w:eastAsia="Times New Roman" w:cstheme="minorHAnsi"/>
                <w:lang w:val="es-ES" w:eastAsia="es-ES"/>
              </w:rPr>
              <w:t xml:space="preserve"> </w:t>
            </w:r>
            <w:r w:rsidRPr="00032B57">
              <w:rPr>
                <w:rFonts w:eastAsia="Times New Roman" w:cstheme="minorHAnsi"/>
                <w:lang w:val="es-ES" w:eastAsia="es-ES"/>
              </w:rPr>
              <w:t>dentro</w:t>
            </w:r>
            <w:r w:rsidRPr="00DC1C8F">
              <w:rPr>
                <w:rFonts w:eastAsia="Times New Roman" w:cstheme="minorHAnsi"/>
                <w:lang w:val="es-ES" w:eastAsia="es-ES"/>
              </w:rPr>
              <w:t xml:space="preserve"> del plazo de tres meses contado desde la fecha en que el Comité se haya constituido.</w:t>
            </w:r>
          </w:p>
          <w:p w:rsidR="00F54E32" w:rsidRPr="00DC1C8F" w:rsidRDefault="00F54E32" w:rsidP="008A16F8">
            <w:pPr>
              <w:widowControl w:val="0"/>
              <w:ind w:firstLine="318"/>
              <w:jc w:val="both"/>
              <w:rPr>
                <w:rFonts w:eastAsia="Times New Roman" w:cstheme="minorHAnsi"/>
                <w:lang w:val="es-ES" w:eastAsia="es-ES"/>
              </w:rPr>
            </w:pPr>
          </w:p>
          <w:p w:rsidR="00F54E32" w:rsidRPr="00DC1C8F" w:rsidRDefault="00F54E32"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Para estos efectos, la Comisión Nacional de Acreditación deberá iniciar el proceso de consulta del que trata el inciso segundo del nuevo artículo 18 de la ley N° 20.129 dentro del plazo de ocho meses de publicada esta ley.</w:t>
            </w:r>
          </w:p>
          <w:p w:rsidR="00F54E32" w:rsidRPr="00DC1C8F" w:rsidRDefault="00F54E32" w:rsidP="008A16F8">
            <w:pPr>
              <w:widowControl w:val="0"/>
              <w:ind w:firstLine="318"/>
              <w:jc w:val="both"/>
              <w:rPr>
                <w:rFonts w:eastAsia="Times New Roman" w:cstheme="minorHAnsi"/>
                <w:lang w:val="es-ES" w:eastAsia="es-ES"/>
              </w:rPr>
            </w:pPr>
          </w:p>
          <w:p w:rsidR="00EE0400" w:rsidRDefault="00F54E32"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Con todo, dichos criterios y estándares de calidad deberán estar aprobados y publicados antes del </w:t>
            </w:r>
            <w:r w:rsidRPr="001A6266">
              <w:rPr>
                <w:rFonts w:eastAsia="Times New Roman" w:cstheme="minorHAnsi"/>
                <w:b/>
                <w:lang w:val="es-ES" w:eastAsia="es-ES"/>
              </w:rPr>
              <w:t>1 de enero del año 2020</w:t>
            </w:r>
            <w:r w:rsidRPr="00DC1C8F">
              <w:rPr>
                <w:rFonts w:eastAsia="Times New Roman" w:cstheme="minorHAnsi"/>
                <w:lang w:val="es-ES" w:eastAsia="es-ES"/>
              </w:rPr>
              <w:t>.</w:t>
            </w:r>
          </w:p>
          <w:p w:rsidR="00032B57" w:rsidRDefault="00032B57" w:rsidP="008A16F8">
            <w:pPr>
              <w:widowControl w:val="0"/>
              <w:ind w:firstLine="318"/>
              <w:jc w:val="both"/>
              <w:rPr>
                <w:rFonts w:eastAsia="Times New Roman" w:cstheme="minorHAnsi"/>
                <w:lang w:val="es-ES" w:eastAsia="es-ES"/>
              </w:rPr>
            </w:pPr>
          </w:p>
          <w:p w:rsidR="001A6266" w:rsidRDefault="001A6266" w:rsidP="008A16F8">
            <w:pPr>
              <w:widowControl w:val="0"/>
              <w:ind w:firstLine="318"/>
              <w:jc w:val="both"/>
              <w:rPr>
                <w:rFonts w:eastAsia="Times New Roman" w:cstheme="minorHAnsi"/>
                <w:lang w:val="es-ES" w:eastAsia="es-ES"/>
              </w:rPr>
            </w:pPr>
          </w:p>
          <w:p w:rsidR="00032B57" w:rsidRDefault="00032B57" w:rsidP="008A16F8">
            <w:pPr>
              <w:widowControl w:val="0"/>
              <w:ind w:firstLine="318"/>
              <w:jc w:val="both"/>
              <w:rPr>
                <w:rFonts w:eastAsia="Times New Roman" w:cstheme="minorHAnsi"/>
                <w:lang w:val="es-ES" w:eastAsia="es-ES"/>
              </w:rPr>
            </w:pPr>
          </w:p>
          <w:p w:rsidR="00032B57" w:rsidRPr="00032B57" w:rsidRDefault="00032B57" w:rsidP="00032B57">
            <w:pPr>
              <w:widowControl w:val="0"/>
              <w:jc w:val="both"/>
              <w:rPr>
                <w:rFonts w:eastAsia="Times New Roman" w:cstheme="minorHAnsi"/>
                <w:b/>
                <w:lang w:val="es-ES" w:eastAsia="es-ES"/>
              </w:rPr>
            </w:pPr>
            <w:r w:rsidRPr="00032B57">
              <w:rPr>
                <w:rFonts w:eastAsia="Times New Roman" w:cstheme="minorHAnsi"/>
                <w:b/>
                <w:lang w:val="es-ES" w:eastAsia="es-ES"/>
              </w:rPr>
              <w:t>________________________</w:t>
            </w:r>
            <w:r>
              <w:rPr>
                <w:rFonts w:eastAsia="Times New Roman" w:cstheme="minorHAnsi"/>
                <w:b/>
                <w:lang w:val="es-ES" w:eastAsia="es-ES"/>
              </w:rPr>
              <w:t>___</w:t>
            </w:r>
            <w:r w:rsidRPr="00032B57">
              <w:rPr>
                <w:rFonts w:eastAsia="Times New Roman" w:cstheme="minorHAnsi"/>
                <w:b/>
                <w:lang w:val="es-ES" w:eastAsia="es-ES"/>
              </w:rPr>
              <w:t>_____________________</w:t>
            </w:r>
          </w:p>
          <w:p w:rsidR="00032B57" w:rsidRPr="00DC1C8F" w:rsidRDefault="00032B57" w:rsidP="008A16F8">
            <w:pPr>
              <w:widowControl w:val="0"/>
              <w:ind w:firstLine="318"/>
              <w:jc w:val="both"/>
              <w:rPr>
                <w:rFonts w:eastAsia="Times New Roman" w:cstheme="minorHAnsi"/>
                <w:lang w:val="es-ES" w:eastAsia="es-ES"/>
              </w:rPr>
            </w:pPr>
          </w:p>
        </w:tc>
        <w:tc>
          <w:tcPr>
            <w:tcW w:w="5386" w:type="dxa"/>
          </w:tcPr>
          <w:p w:rsidR="00F54E32" w:rsidRPr="007B2215" w:rsidRDefault="00F54E32" w:rsidP="007B2215">
            <w:pPr>
              <w:widowControl w:val="0"/>
              <w:jc w:val="both"/>
              <w:rPr>
                <w:rFonts w:eastAsia="Courier New" w:cstheme="minorHAnsi"/>
                <w:color w:val="000000" w:themeColor="text1"/>
              </w:rPr>
            </w:pPr>
            <w:r w:rsidRPr="007B2215">
              <w:rPr>
                <w:rFonts w:eastAsia="Courier New" w:cstheme="minorHAnsi"/>
                <w:color w:val="000000" w:themeColor="text1"/>
              </w:rPr>
              <w:lastRenderedPageBreak/>
              <w:t>4. En el artículo vigésimo segundo transitorio:</w:t>
            </w:r>
          </w:p>
          <w:p w:rsidR="00F54E32" w:rsidRDefault="00F54E32" w:rsidP="007B2215">
            <w:pPr>
              <w:widowControl w:val="0"/>
              <w:ind w:firstLine="317"/>
              <w:jc w:val="both"/>
              <w:rPr>
                <w:rFonts w:eastAsia="Courier New" w:cstheme="minorHAnsi"/>
                <w:color w:val="000000" w:themeColor="text1"/>
              </w:rPr>
            </w:pPr>
          </w:p>
          <w:p w:rsidR="001A6266" w:rsidRPr="00DC1C8F" w:rsidRDefault="001A6266"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 xml:space="preserve">a) Agrégase en el inciso primero, a continuación de la expresión “Comité Coordinador”, la frase “, </w:t>
            </w:r>
            <w:r w:rsidRPr="00DC1C8F">
              <w:rPr>
                <w:rFonts w:eastAsia="Courier New" w:cstheme="minorHAnsi"/>
                <w:b/>
                <w:color w:val="000000" w:themeColor="text1"/>
              </w:rPr>
              <w:t>para su opinión</w:t>
            </w:r>
            <w:r w:rsidRPr="00DC1C8F">
              <w:rPr>
                <w:rFonts w:eastAsia="Courier New" w:cstheme="minorHAnsi"/>
                <w:color w:val="000000" w:themeColor="text1"/>
              </w:rPr>
              <w:t>,”.</w:t>
            </w: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Default="00F54E32" w:rsidP="007B2215">
            <w:pPr>
              <w:widowControl w:val="0"/>
              <w:ind w:firstLine="317"/>
              <w:jc w:val="both"/>
              <w:rPr>
                <w:rFonts w:eastAsia="Courier New" w:cstheme="minorHAnsi"/>
                <w:color w:val="000000" w:themeColor="text1"/>
              </w:rPr>
            </w:pPr>
          </w:p>
          <w:p w:rsidR="001A6266" w:rsidRDefault="001A6266"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p>
          <w:p w:rsidR="00F54E32" w:rsidRPr="00DC1C8F" w:rsidRDefault="00F54E32"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b) Reemplázase en el inciso tercero la expresión “1 de enero del año 2020” por “</w:t>
            </w:r>
            <w:r w:rsidRPr="00DC1C8F">
              <w:rPr>
                <w:rFonts w:eastAsia="Courier New" w:cstheme="minorHAnsi"/>
                <w:b/>
                <w:color w:val="000000" w:themeColor="text1"/>
              </w:rPr>
              <w:t>30 de septiembre del año 2020</w:t>
            </w:r>
            <w:r w:rsidRPr="00DC1C8F">
              <w:rPr>
                <w:rFonts w:eastAsia="Courier New" w:cstheme="minorHAnsi"/>
                <w:color w:val="000000" w:themeColor="text1"/>
              </w:rPr>
              <w:t>”.</w:t>
            </w:r>
          </w:p>
          <w:p w:rsidR="001A6266" w:rsidRPr="00DC1C8F" w:rsidRDefault="001A6266" w:rsidP="007B2215">
            <w:pPr>
              <w:widowControl w:val="0"/>
              <w:ind w:firstLine="317"/>
              <w:jc w:val="both"/>
              <w:rPr>
                <w:rFonts w:eastAsia="Courier New" w:cstheme="minorHAnsi"/>
                <w:color w:val="000000" w:themeColor="text1"/>
              </w:rPr>
            </w:pPr>
          </w:p>
          <w:p w:rsidR="00F54E32" w:rsidRDefault="00F54E32"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c) Incorpórase el siguiente inciso cuarto:</w:t>
            </w:r>
          </w:p>
          <w:p w:rsidR="001A6266" w:rsidRPr="00DC1C8F" w:rsidRDefault="001A6266" w:rsidP="007B2215">
            <w:pPr>
              <w:widowControl w:val="0"/>
              <w:ind w:firstLine="317"/>
              <w:jc w:val="both"/>
              <w:rPr>
                <w:rFonts w:eastAsia="Courier New" w:cstheme="minorHAnsi"/>
                <w:color w:val="000000" w:themeColor="text1"/>
              </w:rPr>
            </w:pPr>
          </w:p>
          <w:p w:rsidR="00E66625" w:rsidRDefault="00F54E32" w:rsidP="007B2215">
            <w:pPr>
              <w:widowControl w:val="0"/>
              <w:ind w:firstLine="317"/>
              <w:jc w:val="both"/>
              <w:rPr>
                <w:rFonts w:eastAsia="Courier New" w:cstheme="minorHAnsi"/>
                <w:b/>
                <w:color w:val="000000" w:themeColor="text1"/>
              </w:rPr>
            </w:pPr>
            <w:r w:rsidRPr="00DC1C8F">
              <w:rPr>
                <w:rFonts w:eastAsia="Courier New" w:cstheme="minorHAnsi"/>
                <w:color w:val="000000" w:themeColor="text1"/>
              </w:rPr>
              <w:t>“</w:t>
            </w:r>
            <w:r w:rsidRPr="00DC1C8F">
              <w:rPr>
                <w:rFonts w:eastAsia="Courier New" w:cstheme="minorHAnsi"/>
                <w:b/>
                <w:color w:val="000000" w:themeColor="text1"/>
              </w:rPr>
              <w:t>Los nuevos criterios y estándares de calidad sólo serán aplicables a aquellos procesos de acreditación iniciados una vez trascurridos veinticuatro meses desde la fecha de su publicación. A los procesos iniciados con anterioridad se aplicarán las pautas y dimensiones de evaluación vigentes a la fecha de entrada en vigor de esta ley.”.</w:t>
            </w:r>
          </w:p>
          <w:p w:rsidR="00C55878" w:rsidRPr="00DC1C8F" w:rsidRDefault="00C55878" w:rsidP="007B2215">
            <w:pPr>
              <w:widowControl w:val="0"/>
              <w:ind w:firstLine="317"/>
              <w:jc w:val="both"/>
              <w:rPr>
                <w:rFonts w:eastAsia="Courier New" w:cstheme="minorHAnsi"/>
                <w:color w:val="000000" w:themeColor="text1"/>
              </w:rPr>
            </w:pPr>
          </w:p>
        </w:tc>
        <w:tc>
          <w:tcPr>
            <w:tcW w:w="5386" w:type="dxa"/>
          </w:tcPr>
          <w:p w:rsidR="00E66625" w:rsidRPr="00DC1C8F" w:rsidRDefault="00E6662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lastRenderedPageBreak/>
              <w:t>N°4</w:t>
            </w:r>
          </w:p>
          <w:p w:rsidR="00E66625" w:rsidRPr="00DC1C8F" w:rsidRDefault="00E66625" w:rsidP="00F14A2C">
            <w:pPr>
              <w:widowControl w:val="0"/>
              <w:ind w:firstLine="318"/>
              <w:jc w:val="center"/>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número 3, sustituyendo su encabezamiento por el siguiente:</w:t>
            </w:r>
          </w:p>
          <w:p w:rsidR="00E13681" w:rsidRPr="00DC1C8F" w:rsidRDefault="00E13681" w:rsidP="00F14A2C">
            <w:pPr>
              <w:widowControl w:val="0"/>
              <w:ind w:firstLine="318"/>
              <w:jc w:val="both"/>
              <w:rPr>
                <w:rFonts w:eastAsia="Courier New" w:cstheme="minorHAnsi"/>
                <w:color w:val="000000" w:themeColor="text1"/>
              </w:rPr>
            </w:pPr>
          </w:p>
          <w:p w:rsidR="00EE0400" w:rsidRPr="00DC1C8F" w:rsidRDefault="00E1368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“3</w:t>
            </w:r>
            <w:r w:rsidRPr="00DC1C8F">
              <w:rPr>
                <w:rFonts w:eastAsia="Courier New" w:cstheme="minorHAnsi"/>
                <w:b/>
                <w:color w:val="000000" w:themeColor="text1"/>
              </w:rPr>
              <w:t>) Efectúense las siguientes enmiendas al artículo vigésimo segundo transitorio</w:t>
            </w:r>
            <w:r w:rsidRPr="00DC1C8F">
              <w:rPr>
                <w:rFonts w:eastAsia="Courier New" w:cstheme="minorHAnsi"/>
                <w:color w:val="000000" w:themeColor="text1"/>
              </w:rPr>
              <w:t>:”.</w:t>
            </w:r>
          </w:p>
        </w:tc>
      </w:tr>
      <w:tr w:rsidR="00EE0400" w:rsidRPr="00DC1C8F" w:rsidTr="00EE0400">
        <w:trPr>
          <w:trHeight w:val="457"/>
        </w:trPr>
        <w:tc>
          <w:tcPr>
            <w:tcW w:w="5529" w:type="dxa"/>
          </w:tcPr>
          <w:p w:rsidR="00DA1D6B" w:rsidRPr="00DC1C8F" w:rsidRDefault="00DA1D6B" w:rsidP="008A16F8">
            <w:pPr>
              <w:widowControl w:val="0"/>
              <w:ind w:firstLine="318"/>
              <w:jc w:val="both"/>
              <w:rPr>
                <w:rFonts w:eastAsia="Times New Roman" w:cstheme="minorHAnsi"/>
                <w:b/>
                <w:lang w:val="es-ES" w:eastAsia="es-ES"/>
              </w:rPr>
            </w:pPr>
          </w:p>
          <w:p w:rsidR="00DA1D6B" w:rsidRDefault="00DA1D6B" w:rsidP="008A16F8">
            <w:pPr>
              <w:widowControl w:val="0"/>
              <w:ind w:firstLine="318"/>
              <w:jc w:val="both"/>
              <w:rPr>
                <w:rFonts w:eastAsia="Times New Roman" w:cstheme="minorHAnsi"/>
                <w:b/>
                <w:lang w:val="es-ES" w:eastAsia="es-ES"/>
              </w:rPr>
            </w:pPr>
          </w:p>
          <w:p w:rsidR="00C55878" w:rsidRDefault="00C55878" w:rsidP="008A16F8">
            <w:pPr>
              <w:widowControl w:val="0"/>
              <w:ind w:firstLine="318"/>
              <w:jc w:val="both"/>
              <w:rPr>
                <w:rFonts w:eastAsia="Times New Roman" w:cstheme="minorHAnsi"/>
                <w:b/>
                <w:lang w:val="es-ES" w:eastAsia="es-ES"/>
              </w:rPr>
            </w:pPr>
          </w:p>
          <w:p w:rsidR="00C55878" w:rsidRPr="00DC1C8F" w:rsidRDefault="00C55878" w:rsidP="008A16F8">
            <w:pPr>
              <w:widowControl w:val="0"/>
              <w:ind w:firstLine="318"/>
              <w:jc w:val="both"/>
              <w:rPr>
                <w:rFonts w:eastAsia="Times New Roman" w:cstheme="minorHAnsi"/>
                <w:b/>
                <w:lang w:val="es-ES" w:eastAsia="es-ES"/>
              </w:rPr>
            </w:pPr>
          </w:p>
          <w:p w:rsidR="00DA1D6B" w:rsidRPr="00032B57" w:rsidRDefault="00DA1D6B" w:rsidP="008A16F8">
            <w:pPr>
              <w:widowControl w:val="0"/>
              <w:ind w:firstLine="318"/>
              <w:jc w:val="both"/>
              <w:rPr>
                <w:rFonts w:eastAsia="Times New Roman" w:cstheme="minorHAnsi"/>
                <w:b/>
                <w:lang w:val="es-ES" w:eastAsia="es-ES"/>
              </w:rPr>
            </w:pPr>
            <w:r w:rsidRPr="00032B57">
              <w:rPr>
                <w:rFonts w:eastAsia="Times New Roman" w:cstheme="minorHAnsi"/>
                <w:b/>
                <w:lang w:val="es-ES" w:eastAsia="es-ES"/>
              </w:rPr>
              <w:t xml:space="preserve">Artículo vigésimo cuarto.- La obligación de acreditar las carreras y programas de estudio conducentes al título </w:t>
            </w:r>
            <w:r w:rsidRPr="00032B57">
              <w:rPr>
                <w:rFonts w:eastAsia="Times New Roman" w:cstheme="minorHAnsi"/>
                <w:b/>
                <w:lang w:val="es-ES" w:eastAsia="es-ES"/>
              </w:rPr>
              <w:lastRenderedPageBreak/>
              <w:t>profesional de médico cirujano y cirujano dentista, de conformidad con el numeral 31 del artículo 81 de esta ley, entrará en vigencia a partir del 1 de enero del año 2020.</w:t>
            </w:r>
          </w:p>
          <w:p w:rsidR="00DA1D6B" w:rsidRPr="00DC1C8F" w:rsidRDefault="00DA1D6B" w:rsidP="008A16F8">
            <w:pPr>
              <w:widowControl w:val="0"/>
              <w:ind w:firstLine="318"/>
              <w:jc w:val="both"/>
              <w:rPr>
                <w:rFonts w:eastAsia="Times New Roman" w:cstheme="minorHAnsi"/>
                <w:lang w:val="es-ES" w:eastAsia="es-ES"/>
              </w:rPr>
            </w:pPr>
          </w:p>
          <w:p w:rsidR="00DA1D6B" w:rsidRPr="00DC1C8F" w:rsidRDefault="00DA1D6B"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Con todo, a aquellas carreras y programas que no se encontraren acreditados al 1 de enero del año 2020, no les será aplicable lo dispuesto en el nuevo artículo 27 quinquies de la ley N° 20.129 sino hasta la dictación de la resolución final que pone término al proceso de acreditación de dichas carreras y programas, de conformidad con lo dispuesto en el artículo vigésimo séptimo transitorio.</w:t>
            </w:r>
          </w:p>
          <w:p w:rsidR="00E66625" w:rsidRDefault="00DA1D6B" w:rsidP="00032B57">
            <w:pPr>
              <w:widowControl w:val="0"/>
              <w:ind w:firstLine="318"/>
              <w:jc w:val="both"/>
              <w:rPr>
                <w:rFonts w:eastAsia="Times New Roman" w:cstheme="minorHAnsi"/>
                <w:lang w:val="es-ES" w:eastAsia="es-ES"/>
              </w:rPr>
            </w:pPr>
            <w:r w:rsidRPr="00DC1C8F">
              <w:rPr>
                <w:rFonts w:eastAsia="Times New Roman" w:cstheme="minorHAnsi"/>
                <w:lang w:val="es-ES" w:eastAsia="es-ES"/>
              </w:rPr>
              <w:t>Aquellas carreras y programas de estudio a los que la Comisión Nacional de Acreditación o una agencia acreditadora les otorgó la acreditación con anterioridad al 1 de enero de 2020 mantendrán la vigencia de la misma por el plazo que fueron otorgadas y se entenderá, para todos los efectos legales, que dan cumplimiento a la obligación señalada en el inciso primero de este artículo.</w:t>
            </w:r>
          </w:p>
          <w:p w:rsidR="00C55878" w:rsidRPr="00DC1C8F" w:rsidRDefault="00C55878" w:rsidP="00032B57">
            <w:pPr>
              <w:widowControl w:val="0"/>
              <w:ind w:firstLine="318"/>
              <w:jc w:val="both"/>
              <w:rPr>
                <w:rFonts w:eastAsia="Times New Roman" w:cstheme="minorHAnsi"/>
                <w:lang w:val="es-ES" w:eastAsia="es-ES"/>
              </w:rPr>
            </w:pPr>
          </w:p>
        </w:tc>
        <w:tc>
          <w:tcPr>
            <w:tcW w:w="5386" w:type="dxa"/>
          </w:tcPr>
          <w:p w:rsidR="00DA1D6B" w:rsidRPr="00DC1C8F" w:rsidRDefault="00DA1D6B"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lastRenderedPageBreak/>
              <w:t>5. Reemplázase el inciso primero del artículo vigésimo cuarto transitorio por el siguiente:</w:t>
            </w:r>
          </w:p>
          <w:p w:rsidR="00DA1D6B" w:rsidRPr="00DC1C8F" w:rsidRDefault="00DA1D6B" w:rsidP="007B2215">
            <w:pPr>
              <w:widowControl w:val="0"/>
              <w:ind w:firstLine="317"/>
              <w:jc w:val="both"/>
              <w:rPr>
                <w:rFonts w:eastAsia="Courier New" w:cstheme="minorHAnsi"/>
                <w:color w:val="000000" w:themeColor="text1"/>
              </w:rPr>
            </w:pPr>
          </w:p>
          <w:p w:rsidR="00EE0400" w:rsidRPr="00DC1C8F" w:rsidRDefault="00DA1D6B"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w:t>
            </w:r>
            <w:r w:rsidRPr="00DC1C8F">
              <w:rPr>
                <w:rFonts w:eastAsia="Courier New" w:cstheme="minorHAnsi"/>
                <w:b/>
                <w:color w:val="000000" w:themeColor="text1"/>
              </w:rPr>
              <w:t xml:space="preserve">La obligación de acreditar las carreras y programas de estudio conducentes al título profesional de médico cirujano y cirujano dentista y los programas de </w:t>
            </w:r>
            <w:r w:rsidRPr="00DC1C8F">
              <w:rPr>
                <w:rFonts w:eastAsia="Courier New" w:cstheme="minorHAnsi"/>
                <w:b/>
                <w:color w:val="000000" w:themeColor="text1"/>
              </w:rPr>
              <w:lastRenderedPageBreak/>
              <w:t>doctorado, de conformidad con los numerales 31) y 41) del artículo 81 de esta ley, respectivamente, entrará en vigencia a partir del 1 de enero del año 2020</w:t>
            </w:r>
            <w:r w:rsidRPr="00DC1C8F">
              <w:rPr>
                <w:rFonts w:eastAsia="Courier New" w:cstheme="minorHAnsi"/>
                <w:color w:val="000000" w:themeColor="text1"/>
              </w:rPr>
              <w:t>.”.</w:t>
            </w:r>
          </w:p>
        </w:tc>
        <w:tc>
          <w:tcPr>
            <w:tcW w:w="5386" w:type="dxa"/>
          </w:tcPr>
          <w:p w:rsidR="00E66625" w:rsidRDefault="00E6662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lastRenderedPageBreak/>
              <w:t>N°5</w:t>
            </w:r>
          </w:p>
          <w:p w:rsidR="00F14A2C" w:rsidRPr="00DC1C8F" w:rsidRDefault="00F14A2C" w:rsidP="00F14A2C">
            <w:pPr>
              <w:widowControl w:val="0"/>
              <w:ind w:firstLine="318"/>
              <w:jc w:val="center"/>
              <w:rPr>
                <w:rFonts w:eastAsia="Courier New" w:cstheme="minorHAnsi"/>
                <w:b/>
                <w:color w:val="000000" w:themeColor="text1"/>
              </w:rPr>
            </w:pPr>
          </w:p>
          <w:p w:rsidR="00EE0400" w:rsidRPr="00DC1C8F" w:rsidRDefault="00E1368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numeral 4</w:t>
            </w:r>
            <w:r w:rsidR="00E66625" w:rsidRPr="00DC1C8F">
              <w:rPr>
                <w:rFonts w:eastAsia="Courier New" w:cstheme="minorHAnsi"/>
                <w:color w:val="000000" w:themeColor="text1"/>
              </w:rPr>
              <w:t>, sin modificaciones.</w:t>
            </w:r>
          </w:p>
        </w:tc>
      </w:tr>
      <w:tr w:rsidR="00EE0400" w:rsidRPr="00DC1C8F" w:rsidTr="00C55878">
        <w:trPr>
          <w:trHeight w:val="227"/>
        </w:trPr>
        <w:tc>
          <w:tcPr>
            <w:tcW w:w="5529" w:type="dxa"/>
          </w:tcPr>
          <w:p w:rsidR="007A62C2" w:rsidRDefault="007A62C2" w:rsidP="00C55878">
            <w:pPr>
              <w:widowControl w:val="0"/>
              <w:ind w:firstLine="318"/>
              <w:jc w:val="both"/>
              <w:rPr>
                <w:rFonts w:eastAsia="Times New Roman" w:cstheme="minorHAnsi"/>
                <w:lang w:val="es-ES" w:eastAsia="es-ES"/>
              </w:rPr>
            </w:pPr>
            <w:r w:rsidRPr="00DC1C8F">
              <w:rPr>
                <w:rFonts w:eastAsia="Times New Roman" w:cstheme="minorHAnsi"/>
                <w:b/>
                <w:lang w:val="es-ES" w:eastAsia="es-ES"/>
              </w:rPr>
              <w:lastRenderedPageBreak/>
              <w:t>Artículo vigésimo quinto</w:t>
            </w:r>
            <w:r w:rsidRPr="00DC1C8F">
              <w:rPr>
                <w:rFonts w:eastAsia="Times New Roman" w:cstheme="minorHAnsi"/>
                <w:lang w:val="es-ES" w:eastAsia="es-ES"/>
              </w:rPr>
              <w:t xml:space="preserve">.- Aquellas instituciones de educación superior no acreditadas a la fecha de publicación de la presente ley podrán iniciar procesos de acreditación institucional ante la Comisión Nacional de Acreditación sólo hasta el 31 de mayo de 2019. Por su </w:t>
            </w:r>
            <w:r w:rsidRPr="00DC1C8F">
              <w:rPr>
                <w:rFonts w:eastAsia="Times New Roman" w:cstheme="minorHAnsi"/>
                <w:lang w:val="es-ES" w:eastAsia="es-ES"/>
              </w:rPr>
              <w:lastRenderedPageBreak/>
              <w:t>parte, aquellas instituciones cuyas acreditaciones institucionales vencieren durante los años 2018 y 2019 podrán iniciar sus procedimientos de acreditación de conformidad con la normativa vigente.</w:t>
            </w:r>
          </w:p>
          <w:p w:rsidR="00C55878" w:rsidRDefault="00C55878" w:rsidP="00C55878">
            <w:pPr>
              <w:widowControl w:val="0"/>
              <w:ind w:firstLine="318"/>
              <w:jc w:val="both"/>
              <w:rPr>
                <w:rFonts w:eastAsia="Times New Roman" w:cstheme="minorHAnsi"/>
                <w:lang w:val="es-ES" w:eastAsia="es-ES"/>
              </w:rPr>
            </w:pPr>
          </w:p>
          <w:p w:rsidR="00EE0400" w:rsidRDefault="007A62C2" w:rsidP="00032B57">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Asimismo, aquellas instituciones de educación superior que dicten carreras y programas de estudio conducentes al título profesional de médico cirujano y cirujano </w:t>
            </w:r>
            <w:r w:rsidRPr="00032B57">
              <w:rPr>
                <w:rFonts w:eastAsia="Times New Roman" w:cstheme="minorHAnsi"/>
                <w:b/>
                <w:lang w:val="es-ES" w:eastAsia="es-ES"/>
              </w:rPr>
              <w:t>dentista</w:t>
            </w:r>
            <w:r w:rsidRPr="00DC1C8F">
              <w:rPr>
                <w:rFonts w:eastAsia="Times New Roman" w:cstheme="minorHAnsi"/>
                <w:u w:val="single"/>
                <w:lang w:val="es-ES" w:eastAsia="es-ES"/>
              </w:rPr>
              <w:t xml:space="preserve"> </w:t>
            </w:r>
            <w:r w:rsidR="00032B57">
              <w:rPr>
                <w:rFonts w:eastAsia="Times New Roman" w:cstheme="minorHAnsi"/>
                <w:u w:val="single"/>
                <w:lang w:val="es-ES" w:eastAsia="es-ES"/>
              </w:rPr>
              <w:t xml:space="preserve">_______ </w:t>
            </w:r>
            <w:r w:rsidR="00032B57" w:rsidRPr="00032B57">
              <w:rPr>
                <w:rFonts w:eastAsia="Times New Roman" w:cstheme="minorHAnsi"/>
                <w:lang w:val="es-ES" w:eastAsia="es-ES"/>
              </w:rPr>
              <w:t>no</w:t>
            </w:r>
            <w:r w:rsidR="00032B57">
              <w:rPr>
                <w:rFonts w:eastAsia="Times New Roman" w:cstheme="minorHAnsi"/>
                <w:lang w:val="es-ES" w:eastAsia="es-ES"/>
              </w:rPr>
              <w:t xml:space="preserve"> </w:t>
            </w:r>
            <w:r w:rsidRPr="00DC1C8F">
              <w:rPr>
                <w:rFonts w:eastAsia="Times New Roman" w:cstheme="minorHAnsi"/>
                <w:lang w:val="es-ES" w:eastAsia="es-ES"/>
              </w:rPr>
              <w:t>acreditadas a la fecha de publicación de la presente ley podrán iniciar sus procesos de acreditación ante la Comisión Nacional de Acreditación sólo hasta el 31 de mayo de 2019.</w:t>
            </w:r>
          </w:p>
          <w:p w:rsidR="00C55878" w:rsidRPr="00DC1C8F" w:rsidRDefault="00C55878" w:rsidP="00032B57">
            <w:pPr>
              <w:widowControl w:val="0"/>
              <w:ind w:firstLine="318"/>
              <w:jc w:val="both"/>
              <w:rPr>
                <w:rFonts w:eastAsia="Times New Roman" w:cstheme="minorHAnsi"/>
                <w:lang w:val="es-ES" w:eastAsia="es-ES"/>
              </w:rPr>
            </w:pPr>
          </w:p>
        </w:tc>
        <w:tc>
          <w:tcPr>
            <w:tcW w:w="5386" w:type="dxa"/>
          </w:tcPr>
          <w:p w:rsidR="007A62C2" w:rsidRPr="00DC1C8F" w:rsidRDefault="007A62C2"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7A62C2" w:rsidRDefault="007A62C2" w:rsidP="007B2215">
            <w:pPr>
              <w:widowControl w:val="0"/>
              <w:ind w:firstLine="317"/>
              <w:jc w:val="both"/>
              <w:rPr>
                <w:rFonts w:eastAsia="Courier New" w:cstheme="minorHAnsi"/>
                <w:color w:val="000000" w:themeColor="text1"/>
              </w:rPr>
            </w:pPr>
          </w:p>
          <w:p w:rsidR="00C55878" w:rsidRPr="00DC1C8F" w:rsidRDefault="00C55878"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7A62C2" w:rsidRPr="00DC1C8F" w:rsidRDefault="007A62C2" w:rsidP="007B2215">
            <w:pPr>
              <w:widowControl w:val="0"/>
              <w:ind w:firstLine="317"/>
              <w:jc w:val="both"/>
              <w:rPr>
                <w:rFonts w:eastAsia="Courier New" w:cstheme="minorHAnsi"/>
                <w:color w:val="000000" w:themeColor="text1"/>
              </w:rPr>
            </w:pPr>
          </w:p>
          <w:p w:rsidR="00EE0400" w:rsidRPr="00DC1C8F" w:rsidRDefault="007A62C2"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6. Incorpórase en el inciso segundo del artículo vigésimo quinto transitorio, a continuación de la palabra “dentista”, la frase “</w:t>
            </w:r>
            <w:r w:rsidRPr="00DC1C8F">
              <w:rPr>
                <w:rFonts w:eastAsia="Courier New" w:cstheme="minorHAnsi"/>
                <w:b/>
                <w:color w:val="000000" w:themeColor="text1"/>
              </w:rPr>
              <w:t>así como también programas de doctorado</w:t>
            </w:r>
            <w:r w:rsidRPr="00DC1C8F">
              <w:rPr>
                <w:rFonts w:eastAsia="Courier New" w:cstheme="minorHAnsi"/>
                <w:color w:val="000000" w:themeColor="text1"/>
              </w:rPr>
              <w:t>,”.</w:t>
            </w:r>
          </w:p>
        </w:tc>
        <w:tc>
          <w:tcPr>
            <w:tcW w:w="5386" w:type="dxa"/>
          </w:tcPr>
          <w:p w:rsidR="00E13681" w:rsidRPr="00DC1C8F" w:rsidRDefault="00C55878" w:rsidP="00F14A2C">
            <w:pPr>
              <w:widowControl w:val="0"/>
              <w:ind w:firstLine="318"/>
              <w:jc w:val="center"/>
              <w:rPr>
                <w:rFonts w:eastAsia="Courier New" w:cstheme="minorHAnsi"/>
                <w:b/>
                <w:color w:val="000000" w:themeColor="text1"/>
              </w:rPr>
            </w:pPr>
            <w:r>
              <w:rPr>
                <w:rFonts w:eastAsia="Courier New" w:cstheme="minorHAnsi"/>
                <w:b/>
                <w:color w:val="000000" w:themeColor="text1"/>
              </w:rPr>
              <w:lastRenderedPageBreak/>
              <w:t>N°</w:t>
            </w:r>
            <w:r w:rsidR="00E66625" w:rsidRPr="00DC1C8F">
              <w:rPr>
                <w:rFonts w:eastAsia="Courier New" w:cstheme="minorHAnsi"/>
                <w:b/>
                <w:color w:val="000000" w:themeColor="text1"/>
              </w:rPr>
              <w:t>6</w:t>
            </w:r>
          </w:p>
          <w:p w:rsidR="00E13681" w:rsidRPr="00DC1C8F" w:rsidRDefault="00E13681"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numeral 5</w:t>
            </w:r>
            <w:r w:rsidR="00E66625" w:rsidRPr="00DC1C8F">
              <w:rPr>
                <w:rFonts w:eastAsia="Courier New" w:cstheme="minorHAnsi"/>
                <w:color w:val="000000" w:themeColor="text1"/>
              </w:rPr>
              <w:t>, sin modificaciones.</w:t>
            </w:r>
          </w:p>
        </w:tc>
      </w:tr>
      <w:tr w:rsidR="00EE0400" w:rsidRPr="00DC1C8F" w:rsidTr="00EE0400">
        <w:trPr>
          <w:trHeight w:val="457"/>
        </w:trPr>
        <w:tc>
          <w:tcPr>
            <w:tcW w:w="5529" w:type="dxa"/>
          </w:tcPr>
          <w:p w:rsidR="00E7180A" w:rsidRPr="00DC1C8F" w:rsidRDefault="00E7180A"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lastRenderedPageBreak/>
              <w:t>Artículo vigésimo séptimo</w:t>
            </w:r>
            <w:r w:rsidRPr="00DC1C8F">
              <w:rPr>
                <w:rFonts w:eastAsia="Times New Roman" w:cstheme="minorHAnsi"/>
                <w:lang w:val="es-ES" w:eastAsia="es-ES"/>
              </w:rPr>
              <w:t xml:space="preserve">.- Aquellas instituciones de educación superior autónomas y las carreras y programas de estudio conducentes al título profesional de médico cirujano y cirujano </w:t>
            </w:r>
            <w:r w:rsidRPr="007B2215">
              <w:rPr>
                <w:rFonts w:eastAsia="Times New Roman" w:cstheme="minorHAnsi"/>
                <w:b/>
                <w:lang w:val="es-ES" w:eastAsia="es-ES"/>
              </w:rPr>
              <w:t>dentista</w:t>
            </w:r>
            <w:r w:rsidR="007B2215">
              <w:rPr>
                <w:rFonts w:eastAsia="Times New Roman" w:cstheme="minorHAnsi"/>
                <w:u w:val="single"/>
                <w:lang w:val="es-ES" w:eastAsia="es-ES"/>
              </w:rPr>
              <w:t xml:space="preserve"> _______ </w:t>
            </w:r>
            <w:r w:rsidR="007B2215" w:rsidRPr="007B2215">
              <w:rPr>
                <w:rFonts w:eastAsia="Times New Roman" w:cstheme="minorHAnsi"/>
                <w:lang w:val="es-ES" w:eastAsia="es-ES"/>
              </w:rPr>
              <w:t>no</w:t>
            </w:r>
            <w:r w:rsidRPr="00DC1C8F">
              <w:rPr>
                <w:rFonts w:eastAsia="Times New Roman" w:cstheme="minorHAnsi"/>
                <w:lang w:val="es-ES" w:eastAsia="es-ES"/>
              </w:rPr>
              <w:t xml:space="preserve"> acreditadas o que no hubieren iniciado un proceso de acreditación con anterioridad al 31 de mayo del año 2019, se sujetarán a las siguientes reglas para el inicio de sus procesos de acreditación obligatoria:</w:t>
            </w:r>
          </w:p>
          <w:p w:rsidR="00E7180A" w:rsidRPr="00DC1C8F" w:rsidRDefault="00E7180A"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1) La Comisión Nacional de Acreditación establecerá, a más tardar en el mes de junio de 2019, mediante un sistema aleatorio, las fechas de inicio de los procesos de acreditación.</w:t>
            </w:r>
          </w:p>
          <w:p w:rsidR="00EE0400" w:rsidRPr="00DC1C8F" w:rsidRDefault="00E7180A"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lastRenderedPageBreak/>
              <w:t>2) La Comisión Nacional de Acreditación comenzará a tramitar dichos procesos de acreditación según el orden establecido de conformidad con el numeral anterior, a partir del 1 de enero del año 2020, los que no podrán extenderse más allá del año 2024.</w:t>
            </w:r>
          </w:p>
        </w:tc>
        <w:tc>
          <w:tcPr>
            <w:tcW w:w="5386" w:type="dxa"/>
          </w:tcPr>
          <w:p w:rsidR="00EE0400" w:rsidRPr="00DC1C8F" w:rsidRDefault="00E7180A"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lastRenderedPageBreak/>
              <w:t>7. Incorpórase en el inciso primero del artículo vigésimo séptimo transitorio, a continuación de la palabra “dentista”, la frase “</w:t>
            </w:r>
            <w:r w:rsidRPr="00DC1C8F">
              <w:rPr>
                <w:rFonts w:eastAsia="Courier New" w:cstheme="minorHAnsi"/>
                <w:b/>
                <w:color w:val="000000" w:themeColor="text1"/>
              </w:rPr>
              <w:t>así como también programas de doctorado</w:t>
            </w:r>
            <w:r w:rsidRPr="00DC1C8F">
              <w:rPr>
                <w:rFonts w:eastAsia="Courier New" w:cstheme="minorHAnsi"/>
                <w:color w:val="000000" w:themeColor="text1"/>
              </w:rPr>
              <w:t>,”.</w:t>
            </w:r>
          </w:p>
        </w:tc>
        <w:tc>
          <w:tcPr>
            <w:tcW w:w="5386" w:type="dxa"/>
          </w:tcPr>
          <w:p w:rsidR="00EE0400" w:rsidRPr="00DC1C8F" w:rsidRDefault="00E6662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t>N°7</w:t>
            </w:r>
          </w:p>
          <w:p w:rsidR="00E13681" w:rsidRPr="00DC1C8F" w:rsidRDefault="00E13681"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numeral 6</w:t>
            </w:r>
            <w:r w:rsidR="00E66625" w:rsidRPr="00DC1C8F">
              <w:rPr>
                <w:rFonts w:eastAsia="Courier New" w:cstheme="minorHAnsi"/>
                <w:color w:val="000000" w:themeColor="text1"/>
              </w:rPr>
              <w:t>, sin cambios.</w:t>
            </w:r>
          </w:p>
        </w:tc>
      </w:tr>
      <w:tr w:rsidR="00EE0400" w:rsidRPr="00DC1C8F" w:rsidTr="00EE0400">
        <w:trPr>
          <w:trHeight w:val="457"/>
        </w:trPr>
        <w:tc>
          <w:tcPr>
            <w:tcW w:w="5529" w:type="dxa"/>
          </w:tcPr>
          <w:p w:rsidR="00EE0400" w:rsidRPr="00DC1C8F" w:rsidRDefault="00EE0400" w:rsidP="008A16F8">
            <w:pPr>
              <w:widowControl w:val="0"/>
              <w:ind w:firstLine="318"/>
              <w:jc w:val="both"/>
              <w:rPr>
                <w:rFonts w:eastAsia="Times New Roman" w:cstheme="minorHAnsi"/>
                <w:lang w:val="es-ES" w:eastAsia="es-ES"/>
              </w:rPr>
            </w:pPr>
          </w:p>
        </w:tc>
        <w:tc>
          <w:tcPr>
            <w:tcW w:w="5386" w:type="dxa"/>
          </w:tcPr>
          <w:p w:rsidR="00587457" w:rsidRPr="00DC1C8F" w:rsidRDefault="00587457" w:rsidP="007B2215">
            <w:pPr>
              <w:widowControl w:val="0"/>
              <w:ind w:firstLine="317"/>
              <w:jc w:val="both"/>
              <w:rPr>
                <w:rFonts w:eastAsia="Courier New" w:cstheme="minorHAnsi"/>
                <w:color w:val="000000" w:themeColor="text1"/>
              </w:rPr>
            </w:pPr>
            <w:r w:rsidRPr="00DC1C8F">
              <w:rPr>
                <w:rFonts w:eastAsia="Courier New" w:cstheme="minorHAnsi"/>
                <w:color w:val="000000" w:themeColor="text1"/>
              </w:rPr>
              <w:t>8. Incorpóranse los siguientes artículos trigésimo bis y trigésimo ter transitorios:</w:t>
            </w:r>
          </w:p>
          <w:p w:rsidR="00587457" w:rsidRPr="00DC1C8F" w:rsidRDefault="00587457" w:rsidP="007B2215">
            <w:pPr>
              <w:widowControl w:val="0"/>
              <w:ind w:firstLine="317"/>
              <w:jc w:val="both"/>
              <w:rPr>
                <w:rFonts w:eastAsia="Courier New" w:cstheme="minorHAnsi"/>
                <w:color w:val="000000" w:themeColor="text1"/>
              </w:rPr>
            </w:pPr>
          </w:p>
          <w:p w:rsidR="001A6266" w:rsidRDefault="00587457" w:rsidP="007B2215">
            <w:pPr>
              <w:widowControl w:val="0"/>
              <w:ind w:firstLine="317"/>
              <w:jc w:val="both"/>
              <w:rPr>
                <w:rFonts w:eastAsia="Courier New" w:cstheme="minorHAnsi"/>
                <w:b/>
                <w:color w:val="000000" w:themeColor="text1"/>
              </w:rPr>
            </w:pPr>
            <w:r w:rsidRPr="00DC1C8F">
              <w:rPr>
                <w:rFonts w:eastAsia="Courier New" w:cstheme="minorHAnsi"/>
                <w:color w:val="000000" w:themeColor="text1"/>
              </w:rPr>
              <w:t>“</w:t>
            </w:r>
            <w:r w:rsidRPr="00DC1C8F">
              <w:rPr>
                <w:rFonts w:eastAsia="Courier New" w:cstheme="minorHAnsi"/>
                <w:b/>
                <w:color w:val="000000" w:themeColor="text1"/>
              </w:rPr>
              <w:t xml:space="preserve">Artículo trigésimo bis.- </w:t>
            </w:r>
            <w:r w:rsidRPr="001B5D80">
              <w:rPr>
                <w:rFonts w:eastAsia="Courier New" w:cstheme="minorHAnsi"/>
                <w:color w:val="000000" w:themeColor="text1"/>
              </w:rPr>
              <w:t>Las carreras y programas de pregrado y los programas de postgrado correspondientes a magíster, especialidades médicas y odontológicas y otros niveles equivalentes que obedezcan a otra denominación, respecto de las cuales, a la fecha de entrada en vigencia de esta ley, las instituciones de Educación Superior ya hubiesen celebrado con las agencias acreditadoras los correspondientes contratos para efecto de los procesos de acreditación, y éstos hubiesen sido informados oportunamente por las respectivas agencias a la Comisión Nacional de Acreditación en virtud del mecanismo de supervisión correspondiente, continuarán con dicho proceso ante las agencias acreditadoras, hasta su término, el cual no podrá exceder del 31 de</w:t>
            </w:r>
            <w:r w:rsidRPr="00DC1C8F">
              <w:rPr>
                <w:rFonts w:eastAsia="Courier New" w:cstheme="minorHAnsi"/>
                <w:b/>
                <w:color w:val="000000" w:themeColor="text1"/>
              </w:rPr>
              <w:t xml:space="preserve"> </w:t>
            </w:r>
            <w:r w:rsidRPr="001B5D80">
              <w:rPr>
                <w:rFonts w:eastAsia="Courier New" w:cstheme="minorHAnsi"/>
                <w:b/>
                <w:color w:val="000000" w:themeColor="text1"/>
              </w:rPr>
              <w:t>julio</w:t>
            </w:r>
            <w:r w:rsidRPr="00DC1C8F">
              <w:rPr>
                <w:rFonts w:eastAsia="Courier New" w:cstheme="minorHAnsi"/>
                <w:b/>
                <w:color w:val="000000" w:themeColor="text1"/>
              </w:rPr>
              <w:t xml:space="preserve"> </w:t>
            </w:r>
            <w:r w:rsidRPr="001B5D80">
              <w:rPr>
                <w:rFonts w:eastAsia="Courier New" w:cstheme="minorHAnsi"/>
                <w:color w:val="000000" w:themeColor="text1"/>
              </w:rPr>
              <w:t>de 2019. Las decisiones de acreditación adoptadas en estos procesos mantendrán su vigencia por el plazo que sean otorgadas</w:t>
            </w:r>
            <w:r w:rsidRPr="00DC1C8F">
              <w:rPr>
                <w:rFonts w:eastAsia="Courier New" w:cstheme="minorHAnsi"/>
                <w:b/>
                <w:color w:val="000000" w:themeColor="text1"/>
              </w:rPr>
              <w:t>.</w:t>
            </w:r>
          </w:p>
          <w:p w:rsidR="00E66625" w:rsidRPr="001B5D80" w:rsidRDefault="00587457" w:rsidP="001B5D80">
            <w:pPr>
              <w:widowControl w:val="0"/>
              <w:ind w:firstLine="317"/>
              <w:jc w:val="both"/>
              <w:rPr>
                <w:rFonts w:eastAsia="Courier New" w:cstheme="minorHAnsi"/>
                <w:color w:val="000000" w:themeColor="text1"/>
              </w:rPr>
            </w:pPr>
            <w:r w:rsidRPr="001B5D80">
              <w:rPr>
                <w:rFonts w:eastAsia="Courier New" w:cstheme="minorHAnsi"/>
                <w:color w:val="000000" w:themeColor="text1"/>
              </w:rPr>
              <w:lastRenderedPageBreak/>
              <w:t>Para los efectos señalados en el inciso anterior, hasta que concluyan estos procesos, la Comisión Nacional de Acreditación mantendrá sus facultades de supervisión sobre las agencias acreditadoras y éstas deberán cumplir sus obligaciones de conformidad a las normas vigentes al momento de su contratación.</w:t>
            </w:r>
          </w:p>
        </w:tc>
        <w:tc>
          <w:tcPr>
            <w:tcW w:w="5386" w:type="dxa"/>
          </w:tcPr>
          <w:p w:rsidR="00E66625" w:rsidRDefault="00E6662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lastRenderedPageBreak/>
              <w:t>N°8</w:t>
            </w:r>
          </w:p>
          <w:p w:rsidR="001B5D80" w:rsidRPr="00DC1C8F" w:rsidRDefault="001B5D80" w:rsidP="00F14A2C">
            <w:pPr>
              <w:widowControl w:val="0"/>
              <w:ind w:firstLine="318"/>
              <w:jc w:val="center"/>
              <w:rPr>
                <w:rFonts w:eastAsia="Courier New" w:cstheme="minorHAnsi"/>
                <w:b/>
                <w:color w:val="000000" w:themeColor="text1"/>
              </w:rPr>
            </w:pPr>
          </w:p>
          <w:p w:rsidR="00E13681" w:rsidRPr="00DC1C8F" w:rsidRDefault="00E66625"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pasado a ser n</w:t>
            </w:r>
            <w:r w:rsidR="00C15B3D" w:rsidRPr="00DC1C8F">
              <w:rPr>
                <w:rFonts w:eastAsia="Courier New" w:cstheme="minorHAnsi"/>
                <w:color w:val="000000" w:themeColor="text1"/>
              </w:rPr>
              <w:t>úmero</w:t>
            </w:r>
            <w:r w:rsidRPr="00DC1C8F">
              <w:rPr>
                <w:rFonts w:eastAsia="Courier New" w:cstheme="minorHAnsi"/>
                <w:color w:val="000000" w:themeColor="text1"/>
              </w:rPr>
              <w:t xml:space="preserve"> 7, modificado como sigue:</w:t>
            </w:r>
          </w:p>
          <w:p w:rsidR="00E13681" w:rsidRPr="00DC1C8F" w:rsidRDefault="00E13681" w:rsidP="00F14A2C">
            <w:pPr>
              <w:widowControl w:val="0"/>
              <w:ind w:firstLine="318"/>
              <w:jc w:val="both"/>
              <w:rPr>
                <w:rFonts w:eastAsia="Courier New" w:cstheme="minorHAnsi"/>
                <w:color w:val="000000" w:themeColor="text1"/>
              </w:rPr>
            </w:pPr>
          </w:p>
          <w:p w:rsidR="00E66625" w:rsidRPr="00DC1C8F" w:rsidRDefault="00E6662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t>Artículo trigésimo bis</w:t>
            </w:r>
          </w:p>
          <w:p w:rsidR="00E66625" w:rsidRPr="00DC1C8F" w:rsidRDefault="00E66625" w:rsidP="00F14A2C">
            <w:pPr>
              <w:widowControl w:val="0"/>
              <w:ind w:firstLine="318"/>
              <w:jc w:val="center"/>
              <w:rPr>
                <w:rFonts w:eastAsia="Courier New" w:cstheme="minorHAnsi"/>
                <w:b/>
                <w:color w:val="000000" w:themeColor="text1"/>
              </w:rPr>
            </w:pPr>
          </w:p>
          <w:p w:rsidR="00E66625" w:rsidRPr="00DC1C8F" w:rsidRDefault="00E66625" w:rsidP="00F14A2C">
            <w:pPr>
              <w:widowControl w:val="0"/>
              <w:ind w:firstLine="318"/>
              <w:jc w:val="center"/>
              <w:rPr>
                <w:rFonts w:eastAsia="Courier New" w:cstheme="minorHAnsi"/>
                <w:b/>
                <w:color w:val="000000" w:themeColor="text1"/>
              </w:rPr>
            </w:pPr>
            <w:r w:rsidRPr="00DC1C8F">
              <w:rPr>
                <w:rFonts w:eastAsia="Courier New" w:cstheme="minorHAnsi"/>
                <w:b/>
                <w:color w:val="000000" w:themeColor="text1"/>
              </w:rPr>
              <w:t>Inciso primero</w:t>
            </w:r>
          </w:p>
          <w:p w:rsidR="00E13681" w:rsidRPr="00DC1C8F" w:rsidRDefault="00E13681" w:rsidP="00F14A2C">
            <w:pPr>
              <w:widowControl w:val="0"/>
              <w:ind w:firstLine="318"/>
              <w:jc w:val="both"/>
              <w:rPr>
                <w:rFonts w:eastAsia="Courier New" w:cstheme="minorHAnsi"/>
                <w:color w:val="000000" w:themeColor="text1"/>
                <w:lang w:val="es-ES_tradnl"/>
              </w:rPr>
            </w:pPr>
          </w:p>
          <w:p w:rsidR="00E13681" w:rsidRPr="00DC1C8F" w:rsidRDefault="00E13681"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p>
          <w:p w:rsidR="001A6266" w:rsidRDefault="001A6266"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p>
          <w:p w:rsidR="00E13681" w:rsidRPr="00DC1C8F" w:rsidRDefault="00E13681" w:rsidP="00F14A2C">
            <w:pPr>
              <w:widowControl w:val="0"/>
              <w:ind w:firstLine="318"/>
              <w:jc w:val="both"/>
              <w:rPr>
                <w:rFonts w:eastAsia="Courier New" w:cstheme="minorHAnsi"/>
                <w:color w:val="000000" w:themeColor="text1"/>
              </w:rPr>
            </w:pPr>
          </w:p>
          <w:p w:rsidR="00EE0400" w:rsidRPr="00DC1C8F" w:rsidRDefault="00E1368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 Ha sustituido la voz “julio” por “</w:t>
            </w:r>
            <w:r w:rsidRPr="00DC1C8F">
              <w:rPr>
                <w:rFonts w:eastAsia="Courier New" w:cstheme="minorHAnsi"/>
                <w:b/>
                <w:color w:val="000000" w:themeColor="text1"/>
              </w:rPr>
              <w:t>diciembre</w:t>
            </w:r>
            <w:r w:rsidRPr="00DC1C8F">
              <w:rPr>
                <w:rFonts w:eastAsia="Courier New" w:cstheme="minorHAnsi"/>
                <w:color w:val="000000" w:themeColor="text1"/>
              </w:rPr>
              <w:t>”.</w:t>
            </w:r>
          </w:p>
        </w:tc>
      </w:tr>
      <w:tr w:rsidR="00EE0400" w:rsidRPr="00DC1C8F" w:rsidTr="00EE0400">
        <w:trPr>
          <w:trHeight w:val="457"/>
        </w:trPr>
        <w:tc>
          <w:tcPr>
            <w:tcW w:w="5529" w:type="dxa"/>
          </w:tcPr>
          <w:p w:rsidR="00EE0400" w:rsidRPr="00DC1C8F" w:rsidRDefault="00EE0400" w:rsidP="008A16F8">
            <w:pPr>
              <w:widowControl w:val="0"/>
              <w:ind w:firstLine="318"/>
              <w:jc w:val="both"/>
              <w:rPr>
                <w:rFonts w:eastAsia="Times New Roman" w:cstheme="minorHAnsi"/>
                <w:lang w:val="es-ES" w:eastAsia="es-ES"/>
              </w:rPr>
            </w:pPr>
          </w:p>
        </w:tc>
        <w:tc>
          <w:tcPr>
            <w:tcW w:w="5386" w:type="dxa"/>
          </w:tcPr>
          <w:p w:rsidR="00587457" w:rsidRPr="001B5D80" w:rsidRDefault="00587457" w:rsidP="007B2215">
            <w:pPr>
              <w:widowControl w:val="0"/>
              <w:ind w:firstLine="317"/>
              <w:jc w:val="both"/>
              <w:rPr>
                <w:rFonts w:eastAsia="Courier New" w:cstheme="minorHAnsi"/>
                <w:color w:val="000000" w:themeColor="text1"/>
              </w:rPr>
            </w:pPr>
            <w:r w:rsidRPr="00DC1C8F">
              <w:rPr>
                <w:rFonts w:eastAsia="Courier New" w:cstheme="minorHAnsi"/>
                <w:b/>
                <w:color w:val="000000" w:themeColor="text1"/>
              </w:rPr>
              <w:t xml:space="preserve">Artículo trigésimo ter.- </w:t>
            </w:r>
            <w:r w:rsidRPr="001B5D80">
              <w:rPr>
                <w:rFonts w:eastAsia="Courier New" w:cstheme="minorHAnsi"/>
                <w:color w:val="000000" w:themeColor="text1"/>
              </w:rPr>
              <w:t>Las instituciones de educación superior podrán apelar de las decisiones adoptadas por la Comisión Nacional de Acreditación o por una agencia acreditadora, según sea el caso, en los procesos de acreditación institucional y de carreras y programas de estudio de pregrado y postgrado, que se encontraban en curso a la fecha de entrada en vigencia de esta ley.</w:t>
            </w:r>
          </w:p>
          <w:p w:rsidR="00587457" w:rsidRPr="001B5D80" w:rsidRDefault="00587457" w:rsidP="007B2215">
            <w:pPr>
              <w:widowControl w:val="0"/>
              <w:ind w:firstLine="317"/>
              <w:jc w:val="both"/>
              <w:rPr>
                <w:rFonts w:eastAsia="Courier New" w:cstheme="minorHAnsi"/>
                <w:color w:val="000000" w:themeColor="text1"/>
              </w:rPr>
            </w:pPr>
            <w:r w:rsidRPr="001B5D80">
              <w:rPr>
                <w:rFonts w:eastAsia="Courier New" w:cstheme="minorHAnsi"/>
                <w:color w:val="000000" w:themeColor="text1"/>
              </w:rPr>
              <w:t>Las decisiones de acreditación adoptadas por las agencias acreditadoras serán apelables ante la Comisión Nacional de Acreditación dentro del plazo de treinta días contado desde la fecha de comunicación de la decisión de acreditación recurrida. La Comisión se pronunciará, por resolución fundada, dentro del plazo de treinta días contado desde la fecha de presentación del recurso.</w:t>
            </w:r>
          </w:p>
          <w:p w:rsidR="00E66625" w:rsidRPr="00DC1C8F" w:rsidRDefault="00587457" w:rsidP="001B5D80">
            <w:pPr>
              <w:widowControl w:val="0"/>
              <w:ind w:firstLine="317"/>
              <w:jc w:val="both"/>
              <w:rPr>
                <w:rFonts w:eastAsia="Courier New" w:cstheme="minorHAnsi"/>
                <w:color w:val="000000" w:themeColor="text1"/>
              </w:rPr>
            </w:pPr>
            <w:r w:rsidRPr="001B5D80">
              <w:rPr>
                <w:rFonts w:eastAsia="Courier New" w:cstheme="minorHAnsi"/>
                <w:color w:val="000000" w:themeColor="text1"/>
              </w:rPr>
              <w:t xml:space="preserve">Las decisiones de acreditación adoptadas por la Comisión Nacional de Acreditación serán apelables ante el Consejo Nacional de Educación dentro del plazo de quince días hábiles, a contar de la fecha de notificación de la decisión recurrida. El Consejo tendrá el plazo de </w:t>
            </w:r>
            <w:r w:rsidRPr="001B5D80">
              <w:rPr>
                <w:rFonts w:eastAsia="Courier New" w:cstheme="minorHAnsi"/>
                <w:color w:val="000000" w:themeColor="text1"/>
              </w:rPr>
              <w:lastRenderedPageBreak/>
              <w:t>treinta días hábiles para resolver. Lo anterior se entiende sin perjuicio de la interposición del recurso de reposición ante la misma Comisión.”.”.</w:t>
            </w:r>
          </w:p>
        </w:tc>
        <w:tc>
          <w:tcPr>
            <w:tcW w:w="5386" w:type="dxa"/>
          </w:tcPr>
          <w:p w:rsidR="00EE0400" w:rsidRPr="00DC1C8F" w:rsidRDefault="00EE0400" w:rsidP="00F14A2C">
            <w:pPr>
              <w:widowControl w:val="0"/>
              <w:ind w:firstLine="318"/>
              <w:jc w:val="both"/>
              <w:rPr>
                <w:rFonts w:eastAsia="Courier New" w:cstheme="minorHAnsi"/>
                <w:color w:val="000000" w:themeColor="text1"/>
              </w:rPr>
            </w:pPr>
          </w:p>
        </w:tc>
      </w:tr>
    </w:tbl>
    <w:p w:rsidR="00C55878" w:rsidRDefault="00C55878"/>
    <w:p w:rsidR="00C55878" w:rsidRDefault="00C55878"/>
    <w:tbl>
      <w:tblPr>
        <w:tblStyle w:val="Tablaconcuadrcula"/>
        <w:tblW w:w="16301" w:type="dxa"/>
        <w:tblInd w:w="-147" w:type="dxa"/>
        <w:tblLayout w:type="fixed"/>
        <w:tblLook w:val="04A0"/>
      </w:tblPr>
      <w:tblGrid>
        <w:gridCol w:w="5529"/>
        <w:gridCol w:w="5386"/>
        <w:gridCol w:w="5386"/>
      </w:tblGrid>
      <w:tr w:rsidR="00645861" w:rsidRPr="00DC1C8F" w:rsidTr="00EE0400">
        <w:trPr>
          <w:trHeight w:val="457"/>
        </w:trPr>
        <w:tc>
          <w:tcPr>
            <w:tcW w:w="5529" w:type="dxa"/>
          </w:tcPr>
          <w:p w:rsidR="00645861" w:rsidRPr="00DC1C8F" w:rsidRDefault="00645861" w:rsidP="001B5D80">
            <w:pPr>
              <w:widowControl w:val="0"/>
              <w:jc w:val="center"/>
              <w:rPr>
                <w:rFonts w:eastAsia="Times New Roman" w:cstheme="minorHAnsi"/>
                <w:b/>
                <w:lang w:val="es-ES" w:eastAsia="es-ES"/>
              </w:rPr>
            </w:pPr>
            <w:r w:rsidRPr="00DC1C8F">
              <w:rPr>
                <w:rFonts w:eastAsia="Times New Roman" w:cstheme="minorHAnsi"/>
                <w:b/>
                <w:lang w:val="es-ES" w:eastAsia="es-ES"/>
              </w:rPr>
              <w:t>LEY N°</w:t>
            </w:r>
            <w:r w:rsidR="001B5D80">
              <w:rPr>
                <w:rFonts w:eastAsia="Times New Roman" w:cstheme="minorHAnsi"/>
                <w:b/>
                <w:lang w:val="es-ES" w:eastAsia="es-ES"/>
              </w:rPr>
              <w:t xml:space="preserve"> </w:t>
            </w:r>
            <w:r w:rsidRPr="00DC1C8F">
              <w:rPr>
                <w:rFonts w:eastAsia="Times New Roman" w:cstheme="minorHAnsi"/>
                <w:b/>
                <w:lang w:val="es-ES" w:eastAsia="es-ES"/>
              </w:rPr>
              <w:t>20.129, QUE ESTABLECE UN SISTEMA NACIONAL DE ASEGURAMIENTO DE LA CALIDAD DE LA EDUCACION SUPERIOR</w:t>
            </w:r>
          </w:p>
        </w:tc>
        <w:tc>
          <w:tcPr>
            <w:tcW w:w="5386" w:type="dxa"/>
          </w:tcPr>
          <w:p w:rsidR="00645861" w:rsidRPr="00DC1C8F" w:rsidRDefault="00645861" w:rsidP="007B2215">
            <w:pPr>
              <w:widowControl w:val="0"/>
              <w:ind w:firstLine="317"/>
              <w:jc w:val="both"/>
              <w:rPr>
                <w:rFonts w:eastAsia="Courier New" w:cstheme="minorHAnsi"/>
                <w:color w:val="000000" w:themeColor="text1"/>
              </w:rPr>
            </w:pPr>
          </w:p>
        </w:tc>
        <w:tc>
          <w:tcPr>
            <w:tcW w:w="5386" w:type="dxa"/>
          </w:tcPr>
          <w:p w:rsidR="00E66625" w:rsidRPr="00DC1C8F" w:rsidRDefault="00E66625"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Ha agregado el siguiente artículo 2°, nuevo:</w:t>
            </w:r>
          </w:p>
          <w:p w:rsidR="00645861" w:rsidRPr="00DC1C8F" w:rsidRDefault="00645861" w:rsidP="00F14A2C">
            <w:pPr>
              <w:widowControl w:val="0"/>
              <w:ind w:firstLine="318"/>
              <w:jc w:val="both"/>
              <w:rPr>
                <w:rFonts w:eastAsia="Courier New" w:cstheme="minorHAnsi"/>
                <w:color w:val="000000" w:themeColor="text1"/>
              </w:rPr>
            </w:pPr>
          </w:p>
        </w:tc>
      </w:tr>
      <w:tr w:rsidR="00EE0400" w:rsidRPr="00DC1C8F" w:rsidTr="00EE0400">
        <w:trPr>
          <w:trHeight w:val="457"/>
        </w:trPr>
        <w:tc>
          <w:tcPr>
            <w:tcW w:w="5529" w:type="dxa"/>
          </w:tcPr>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t>Artículo 7.</w:t>
            </w:r>
            <w:r w:rsidRPr="00DC1C8F">
              <w:rPr>
                <w:rFonts w:eastAsia="Times New Roman" w:cstheme="minorHAnsi"/>
                <w:lang w:val="es-ES" w:eastAsia="es-ES"/>
              </w:rPr>
              <w:t>- La Comisión Nacional de Acreditación estará integrada de la siguiente forma:</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a) Cuatro académicos universitarios de reconocido prestigio y amplia trayectoria en gestión institucional, docencia de pregrado o formación de postgrado. De éstos, al menos dos deberán estar o haber estado vinculados a alguna universidad cuyo domicilio esté localizado en una región distinta de la Región Metropolitana.</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b) Cuatro docentes o profesionales de reconocido prestigio y amplia trayectoria en formación técnico profesional o en gestión institucional en centros de formación técnica o institutos profesionales. De ellos, al menos dos deberán estar o haber estado vinculados a alguna institución de educación superior cuyo domicilio esté localizado en una región distinta de la Región Metropolitana.</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lastRenderedPageBreak/>
              <w:t>c) Un docente o profesional de reconocido prestigio y amplia trayectoria en el área de la innovación, seleccionado por la Corporación de Fomento de la Producción, a partir de una terna propuesta por el Consejo de Alta Dirección Pública de conformidad al procedimiento establecido en el párrafo 3° del título VI de la ley N° 19.882.</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d) Un académico universitario de reconocido prestigio y amplia trayectoria en investigación científica o tecnológica seleccionado por la Comisión Nacional de Investigación Científica y Tecnológica, o su sucesor, a partir de una terna propuesta por el Consejo de Alta Dirección Pública de conformidad al procedimiento establecido en el párrafo 3° del título VI de la ley N° 19.882.</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e) Dos representantes estudiantiles de instituciones de educación superior autónomas acreditadas, debiendo uno de ellos pertenecer a una institución cuyo domicilio esté localizado en una región distinta de la Región Metropolitana. Los representantes de los estudiantes deberán tener aprobada al menos la mitad del plan de estudios de la carrera en la que estén inscritos y encontrarse dentro del 10% de los estudiantes de mejor rendimiento de su generación, y durarán dos años en sus cargos. Los representantes de los estudiantes serán elegidos de acuerdo al procedimiento que establezca el reglamento y deberán ser representativos de cada subsistema, resguardando la participación de las </w:t>
            </w:r>
            <w:r w:rsidRPr="00DC1C8F">
              <w:rPr>
                <w:rFonts w:eastAsia="Times New Roman" w:cstheme="minorHAnsi"/>
                <w:lang w:val="es-ES" w:eastAsia="es-ES"/>
              </w:rPr>
              <w:lastRenderedPageBreak/>
              <w:t>Federaciones de Estudiantes, en su caso.</w:t>
            </w:r>
          </w:p>
          <w:p w:rsidR="00C55878"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Tres de los comisionados señalados en la letra a) y tres de los señalados en la letra b) anteriores, serán designados por el Presidente de la República con acuerdo de tres quintos del Senado, a partir de una terna propuesta para cada cargo por el Consejo de Alta Dirección Pública, de conformidad al procedimiento establecido en el párrafo 3º del título VI de la ley N° 19.882. Los demás comisionados de las letras a) y b) serán designados por el Presidente de la República, a partir de una terna propuesta para cada cargo por el Consejo de Alta Dirección Pública, de conformidad al procedimiento establecido en el párrafo 3º del título VI de la ley N° 19.882, uno de los cuales será designado por el Presidente de la República como el Presidente de la Comisión. Asimismo, uno de estos últimos comisionados deberá tener trayectoria en gestión financiera y organizaciona</w:t>
            </w:r>
            <w:r w:rsidR="00C55878">
              <w:rPr>
                <w:rFonts w:eastAsia="Times New Roman" w:cstheme="minorHAnsi"/>
                <w:lang w:val="es-ES" w:eastAsia="es-ES"/>
              </w:rPr>
              <w:t>l.</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Corresponderá al Presidente citar y presidir las sesiones de la Comisión, establecer la tabla de materias a ser tratadas en cada sesión, dirigir sus deliberaciones, dirimir sus empates, y participar en el Comité de Coordinación en conformidad con lo establecido en el artículo 3. Asimismo, le corresponderá la representación de la Comisión en eventos protocolares nacionales e internacionales, así como en las gestiones que se desarrollen ante cualquier entidad extranjera.</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El Presidente se relacionará con el Secretario Ejecutivo </w:t>
            </w:r>
            <w:r w:rsidRPr="00DC1C8F">
              <w:rPr>
                <w:rFonts w:eastAsia="Times New Roman" w:cstheme="minorHAnsi"/>
                <w:lang w:val="es-ES" w:eastAsia="es-ES"/>
              </w:rPr>
              <w:lastRenderedPageBreak/>
              <w:t>para la coordinación de las funciones y atribuciones de la Comisión.</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Los comisionados señalados en las letras a), b), c) y d) anteriores durarán seis años en sus cargos, no podrán ser designados nuevamente para un período consecutivo, y se renovarán por parcialidades cada tres años. En caso que no se efectuare el nombramiento del nuevo comisionado antes de la expiración del plazo de duración en el cargo del comisionado saliente, éste podrá permanecer en el desempeño de sus funciones hasta el nombramiento de su reemplazante, por un máximo de tres meses adicionales. Si su nombramiento requiere de acuerdo del Senado y éste no se hubiere pronunciado en los términos señalados una vez vencido dicho plazo, se nombrará al candidato propuesto por el Presidente de la República, sin más trámite.</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La Comisión designará de entre los integrantes señalados en las letras a), b), c) y d) a un Vicepresidente, que subrogará al Presidente en caso de ausencia y que permanecerá dos años en esa calidad, pudiendo ser reelegido.</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La Comisión Nacional de Acreditación podrá funcionar en pleno o en salas. En este último caso, la primera sala estará integrada por dos de los comisionados a que se refiere la letra a) y dos de la letra b), el comisionado de la letra c), y por uno de los representantes de los estudiantes a que se refiere la letra e). La segunda sala se integrará por </w:t>
            </w:r>
            <w:r w:rsidRPr="00DC1C8F">
              <w:rPr>
                <w:rFonts w:eastAsia="Times New Roman" w:cstheme="minorHAnsi"/>
                <w:lang w:val="es-ES" w:eastAsia="es-ES"/>
              </w:rPr>
              <w:lastRenderedPageBreak/>
              <w:t>los restantes comisionados. La sala en que no participe el Presidente de la Comisión será presidida por el Vicepresidente. Sin perjuicio de lo anterior, será la Comisión en pleno la que deberá adoptar acuerdos respecto de la acreditación institucional de las instituciones de educación superior y sobre las materias señaladas en las letras a) y b) del artículo 8. En contra de las decisiones que adopte cada una de las salas sólo se podrá interponer el recurso de reposición, sin perjuicio de la apelación regulada en la presente ley.</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La Comisión, tanto para su funcionamiento en sala como en pleno, requerirá de la mayoría de sus integrantes para sesionar y sus acuerdos se adoptarán por mayoría absoluta de sus miembros en ejercicio. En caso de producirse un empate, corresponderá al Presidente o Vicepresidente, cuando corresponda, el voto dirimente para resolver la materia. La Comisión deberá celebrar, como mínimo, cuatro sesiones al mes. </w:t>
            </w:r>
            <w:r w:rsidRPr="001B5D80">
              <w:rPr>
                <w:rFonts w:eastAsia="Times New Roman" w:cstheme="minorHAnsi"/>
                <w:b/>
                <w:strike/>
                <w:lang w:val="es-ES" w:eastAsia="es-ES"/>
              </w:rPr>
              <w:t>Con todo, los acuerdos relativos a los procesos de acreditación institucional deberán contar con los votos de al menos tres de los comisionados señalados en las letras b) o c) en el caso del subsistema técnico profesional, y al menos tres de los comisionados señalados en las letras a) o d) en el caso del subsistema universitario</w:t>
            </w:r>
            <w:r w:rsidRPr="001B5D80">
              <w:rPr>
                <w:rFonts w:eastAsia="Times New Roman" w:cstheme="minorHAnsi"/>
                <w:b/>
                <w:lang w:val="es-ES" w:eastAsia="es-ES"/>
              </w:rPr>
              <w:t>.</w:t>
            </w:r>
          </w:p>
          <w:p w:rsidR="00BB559B" w:rsidRDefault="00BB559B" w:rsidP="008A16F8">
            <w:pPr>
              <w:widowControl w:val="0"/>
              <w:ind w:firstLine="318"/>
              <w:jc w:val="both"/>
              <w:rPr>
                <w:rFonts w:eastAsia="Times New Roman" w:cstheme="minorHAnsi"/>
                <w:lang w:val="es-ES" w:eastAsia="es-ES"/>
              </w:rPr>
            </w:pPr>
          </w:p>
          <w:p w:rsidR="00645861" w:rsidRPr="00DC1C8F" w:rsidRDefault="00645861" w:rsidP="008A16F8">
            <w:pPr>
              <w:widowControl w:val="0"/>
              <w:ind w:firstLine="318"/>
              <w:jc w:val="both"/>
              <w:rPr>
                <w:rFonts w:eastAsia="Times New Roman" w:cstheme="minorHAnsi"/>
                <w:lang w:val="es-ES" w:eastAsia="es-ES"/>
              </w:rPr>
            </w:pPr>
            <w:bookmarkStart w:id="0" w:name="_GoBack"/>
            <w:bookmarkEnd w:id="0"/>
            <w:r w:rsidRPr="00DC1C8F">
              <w:rPr>
                <w:rFonts w:eastAsia="Times New Roman" w:cstheme="minorHAnsi"/>
                <w:lang w:val="es-ES" w:eastAsia="es-ES"/>
              </w:rPr>
              <w:t xml:space="preserve">Los integrantes de la Comisión tendrán derecho a gozar de una dieta por sesión a la que asistan, la que podrá </w:t>
            </w:r>
            <w:r w:rsidRPr="00DC1C8F">
              <w:rPr>
                <w:rFonts w:eastAsia="Times New Roman" w:cstheme="minorHAnsi"/>
                <w:lang w:val="es-ES" w:eastAsia="es-ES"/>
              </w:rPr>
              <w:lastRenderedPageBreak/>
              <w:t>ascender hasta 10 unidades tributarias mensuales con un máximo de 90 unidades tributarias mensuales por mes, conforme a las normas del reglamento interno de la Comisión. Esta asignación será incompatible con toda otra remuneración de carácter público para el personal regido por la ley N° 18.834.</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A los integrantes de la Comisión, salvo el caso del Presidente, no les serán aplicables las normas de la ley N° 19.882, salvo en lo relativo a su nombramiento, de conformidad a lo señalado en los incisos anteriores.</w:t>
            </w:r>
          </w:p>
          <w:p w:rsidR="00EE0400"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Los comisionados deberán declarar intereses y patrimonio conforme a lo establecido en el capítulo 1° del título II de la ley N° 20.880.</w:t>
            </w:r>
          </w:p>
        </w:tc>
        <w:tc>
          <w:tcPr>
            <w:tcW w:w="5386" w:type="dxa"/>
          </w:tcPr>
          <w:p w:rsidR="00EE0400" w:rsidRPr="00DC1C8F" w:rsidRDefault="00EE0400" w:rsidP="007B2215">
            <w:pPr>
              <w:widowControl w:val="0"/>
              <w:ind w:firstLine="317"/>
              <w:jc w:val="both"/>
              <w:rPr>
                <w:rFonts w:eastAsia="Courier New" w:cstheme="minorHAnsi"/>
                <w:color w:val="000000" w:themeColor="text1"/>
              </w:rPr>
            </w:pPr>
          </w:p>
        </w:tc>
        <w:tc>
          <w:tcPr>
            <w:tcW w:w="5386" w:type="dxa"/>
          </w:tcPr>
          <w:p w:rsidR="00E66625" w:rsidRPr="00DC1C8F" w:rsidRDefault="00C15B3D" w:rsidP="00F14A2C">
            <w:pPr>
              <w:widowControl w:val="0"/>
              <w:ind w:firstLine="318"/>
              <w:jc w:val="both"/>
              <w:rPr>
                <w:rFonts w:eastAsia="Courier New" w:cstheme="minorHAnsi"/>
                <w:b/>
                <w:color w:val="000000" w:themeColor="text1"/>
              </w:rPr>
            </w:pPr>
            <w:r w:rsidRPr="00DC1C8F">
              <w:rPr>
                <w:rFonts w:eastAsia="Courier New" w:cstheme="minorHAnsi"/>
                <w:b/>
                <w:color w:val="000000" w:themeColor="text1"/>
              </w:rPr>
              <w:t>“Artículo 2°.</w:t>
            </w:r>
            <w:r w:rsidR="00E66625" w:rsidRPr="00DC1C8F">
              <w:rPr>
                <w:rFonts w:eastAsia="Courier New" w:cstheme="minorHAnsi"/>
                <w:b/>
                <w:color w:val="000000" w:themeColor="text1"/>
              </w:rPr>
              <w:t>- Efectúanse las siguientes enmiendas en la ley N° 20.129:</w:t>
            </w: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Default="00645861" w:rsidP="00F14A2C">
            <w:pPr>
              <w:widowControl w:val="0"/>
              <w:ind w:firstLine="318"/>
              <w:jc w:val="both"/>
              <w:rPr>
                <w:rFonts w:eastAsia="Courier New" w:cstheme="minorHAnsi"/>
                <w:color w:val="000000" w:themeColor="text1"/>
              </w:rPr>
            </w:pPr>
          </w:p>
          <w:p w:rsidR="00645861" w:rsidRDefault="00645861" w:rsidP="00F14A2C">
            <w:pPr>
              <w:widowControl w:val="0"/>
              <w:ind w:firstLine="318"/>
              <w:jc w:val="both"/>
              <w:rPr>
                <w:rFonts w:eastAsia="Courier New" w:cstheme="minorHAnsi"/>
                <w:color w:val="000000" w:themeColor="text1"/>
              </w:rPr>
            </w:pPr>
          </w:p>
          <w:p w:rsidR="00C55878" w:rsidRPr="00DC1C8F" w:rsidRDefault="00C55878" w:rsidP="00F14A2C">
            <w:pPr>
              <w:widowControl w:val="0"/>
              <w:ind w:firstLine="318"/>
              <w:jc w:val="both"/>
              <w:rPr>
                <w:rFonts w:eastAsia="Courier New" w:cstheme="minorHAnsi"/>
                <w:color w:val="000000" w:themeColor="text1"/>
              </w:rPr>
            </w:pPr>
          </w:p>
          <w:p w:rsidR="00E66625" w:rsidRPr="00DC1C8F" w:rsidRDefault="00E66625" w:rsidP="00F14A2C">
            <w:pPr>
              <w:widowControl w:val="0"/>
              <w:ind w:firstLine="318"/>
              <w:jc w:val="both"/>
              <w:rPr>
                <w:rFonts w:eastAsia="Courier New" w:cstheme="minorHAnsi"/>
                <w:b/>
                <w:bCs/>
                <w:color w:val="000000" w:themeColor="text1"/>
                <w:lang w:val="es-ES_tradnl"/>
              </w:rPr>
            </w:pPr>
            <w:r w:rsidRPr="00DC1C8F">
              <w:rPr>
                <w:rFonts w:eastAsia="Courier New" w:cstheme="minorHAnsi"/>
                <w:b/>
                <w:bCs/>
                <w:color w:val="000000" w:themeColor="text1"/>
                <w:lang w:val="es-ES_tradnl"/>
              </w:rPr>
              <w:t>1) Suprímese, en el inciso octavo del artículo 7, la siguiente oración: “Con todo, los acuerdos relativos a los procesos de acreditación institucional deberán contar con los votos de al menos tres de los comisionados señalados en las letras b) o c) en el caso del subsistema técnico profesional, y al menos tres de los comisionados señalados en las letras a) o d) en el caso del subsistema universitario.”.</w:t>
            </w:r>
          </w:p>
          <w:p w:rsidR="00EE0400" w:rsidRPr="00DC1C8F" w:rsidRDefault="00EE0400" w:rsidP="00F14A2C">
            <w:pPr>
              <w:widowControl w:val="0"/>
              <w:ind w:firstLine="318"/>
              <w:jc w:val="both"/>
              <w:rPr>
                <w:rFonts w:eastAsia="Courier New" w:cstheme="minorHAnsi"/>
                <w:color w:val="000000" w:themeColor="text1"/>
                <w:lang w:val="es-ES_tradnl"/>
              </w:rPr>
            </w:pPr>
          </w:p>
        </w:tc>
      </w:tr>
      <w:tr w:rsidR="00EE0400" w:rsidRPr="00DC1C8F" w:rsidTr="00EE0400">
        <w:trPr>
          <w:trHeight w:val="457"/>
        </w:trPr>
        <w:tc>
          <w:tcPr>
            <w:tcW w:w="5529" w:type="dxa"/>
          </w:tcPr>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lastRenderedPageBreak/>
              <w:t>Artículo 23.</w:t>
            </w:r>
            <w:r w:rsidRPr="00DC1C8F">
              <w:rPr>
                <w:rFonts w:eastAsia="Times New Roman" w:cstheme="minorHAnsi"/>
                <w:lang w:val="es-ES" w:eastAsia="es-ES"/>
              </w:rPr>
              <w:t xml:space="preserve">- La institución de educación superior afectada por las decisiones que la Comisión adopte en conformidad con lo establecido en los dos artículos precedentes, podrá apelar ante el Consejo Nacional de Educación, dentro del plazo de </w:t>
            </w:r>
            <w:r w:rsidRPr="001B5D80">
              <w:rPr>
                <w:rFonts w:eastAsia="Times New Roman" w:cstheme="minorHAnsi"/>
                <w:b/>
                <w:lang w:val="es-ES" w:eastAsia="es-ES"/>
              </w:rPr>
              <w:t>quince días hábiles</w:t>
            </w:r>
            <w:r w:rsidRPr="00DC1C8F">
              <w:rPr>
                <w:rFonts w:eastAsia="Times New Roman" w:cstheme="minorHAnsi"/>
                <w:lang w:val="es-ES" w:eastAsia="es-ES"/>
              </w:rPr>
              <w:t>, salvo que se trate de una institución que se encuentre en supervisión por el mismo. Lo anterior, no obstará a la interposición del correspondiente reclamo ante la misma Comisión.</w:t>
            </w:r>
          </w:p>
          <w:p w:rsidR="00645861" w:rsidRPr="00DC1C8F"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Admitida la apelación a tramitación, el Consejo solicitará informe a la Comisión la que deberá evacuarlo en un plazo de 10 días hábiles.</w:t>
            </w:r>
          </w:p>
          <w:p w:rsidR="00EE0400" w:rsidRDefault="00645861"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El Consejo Nacional de Educación se pronunciará por resolución fundada sobre la apelación dentro del plazo de </w:t>
            </w:r>
            <w:r w:rsidRPr="00DC1C8F">
              <w:rPr>
                <w:rFonts w:eastAsia="Times New Roman" w:cstheme="minorHAnsi"/>
                <w:lang w:val="es-ES" w:eastAsia="es-ES"/>
              </w:rPr>
              <w:lastRenderedPageBreak/>
              <w:t>treinta días hábiles, contado desde la presentación del recurso.</w:t>
            </w:r>
          </w:p>
          <w:p w:rsidR="00BB559B" w:rsidRPr="00DC1C8F" w:rsidRDefault="00BB559B" w:rsidP="008A16F8">
            <w:pPr>
              <w:widowControl w:val="0"/>
              <w:ind w:firstLine="318"/>
              <w:jc w:val="both"/>
              <w:rPr>
                <w:rFonts w:eastAsia="Times New Roman" w:cstheme="minorHAnsi"/>
                <w:lang w:val="es-ES" w:eastAsia="es-ES"/>
              </w:rPr>
            </w:pPr>
          </w:p>
        </w:tc>
        <w:tc>
          <w:tcPr>
            <w:tcW w:w="5386" w:type="dxa"/>
          </w:tcPr>
          <w:p w:rsidR="00EE0400" w:rsidRPr="00DC1C8F" w:rsidRDefault="00EE0400" w:rsidP="007B2215">
            <w:pPr>
              <w:widowControl w:val="0"/>
              <w:ind w:firstLine="317"/>
              <w:jc w:val="both"/>
              <w:rPr>
                <w:rFonts w:eastAsia="Courier New" w:cstheme="minorHAnsi"/>
                <w:color w:val="000000" w:themeColor="text1"/>
              </w:rPr>
            </w:pPr>
          </w:p>
        </w:tc>
        <w:tc>
          <w:tcPr>
            <w:tcW w:w="5386" w:type="dxa"/>
          </w:tcPr>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645861" w:rsidRPr="00DC1C8F" w:rsidRDefault="00645861" w:rsidP="00F14A2C">
            <w:pPr>
              <w:widowControl w:val="0"/>
              <w:ind w:firstLine="318"/>
              <w:jc w:val="both"/>
              <w:rPr>
                <w:rFonts w:eastAsia="Courier New" w:cstheme="minorHAnsi"/>
                <w:color w:val="000000" w:themeColor="text1"/>
              </w:rPr>
            </w:pPr>
          </w:p>
          <w:p w:rsidR="00EE0400" w:rsidRPr="00DC1C8F" w:rsidRDefault="00645861"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2) Reemplázase, en el inciso primero del artículo 23, la expresión “quince días hábiles” por “</w:t>
            </w:r>
            <w:r w:rsidRPr="00DC1C8F">
              <w:rPr>
                <w:rFonts w:eastAsia="Courier New" w:cstheme="minorHAnsi"/>
                <w:b/>
                <w:color w:val="000000" w:themeColor="text1"/>
              </w:rPr>
              <w:t>treinta días hábiles a contar de la notificación de la resolución recurrida</w:t>
            </w:r>
            <w:r w:rsidRPr="00DC1C8F">
              <w:rPr>
                <w:rFonts w:eastAsia="Courier New" w:cstheme="minorHAnsi"/>
                <w:color w:val="000000" w:themeColor="text1"/>
              </w:rPr>
              <w:t>”.</w:t>
            </w:r>
          </w:p>
        </w:tc>
      </w:tr>
      <w:tr w:rsidR="00EE0400" w:rsidRPr="00DC1C8F" w:rsidTr="00EE0400">
        <w:trPr>
          <w:trHeight w:val="457"/>
        </w:trPr>
        <w:tc>
          <w:tcPr>
            <w:tcW w:w="5529" w:type="dxa"/>
          </w:tcPr>
          <w:p w:rsidR="008445E7" w:rsidRPr="00DC1C8F" w:rsidRDefault="008445E7" w:rsidP="008A16F8">
            <w:pPr>
              <w:widowControl w:val="0"/>
              <w:ind w:firstLine="318"/>
              <w:jc w:val="both"/>
              <w:rPr>
                <w:rFonts w:eastAsia="Times New Roman" w:cstheme="minorHAnsi"/>
                <w:lang w:val="es-ES" w:eastAsia="es-ES"/>
              </w:rPr>
            </w:pPr>
            <w:r w:rsidRPr="00DC1C8F">
              <w:rPr>
                <w:rFonts w:eastAsia="Times New Roman" w:cstheme="minorHAnsi"/>
                <w:b/>
                <w:lang w:val="es-ES" w:eastAsia="es-ES"/>
              </w:rPr>
              <w:lastRenderedPageBreak/>
              <w:t>Artículo 46.</w:t>
            </w:r>
            <w:r w:rsidRPr="00DC1C8F">
              <w:rPr>
                <w:rFonts w:eastAsia="Times New Roman" w:cstheme="minorHAnsi"/>
                <w:lang w:val="es-ES" w:eastAsia="es-ES"/>
              </w:rPr>
              <w:t>- La acreditación de programas de postgrado y especialidades en el área de la salud será otorgada por la Comisión Nacional de Acreditación.</w:t>
            </w:r>
          </w:p>
          <w:p w:rsidR="008445E7" w:rsidRPr="00DC1C8F" w:rsidRDefault="008445E7" w:rsidP="008A16F8">
            <w:pPr>
              <w:widowControl w:val="0"/>
              <w:ind w:firstLine="318"/>
              <w:jc w:val="both"/>
              <w:rPr>
                <w:rFonts w:eastAsia="Times New Roman" w:cstheme="minorHAnsi"/>
                <w:lang w:val="es-ES" w:eastAsia="es-ES"/>
              </w:rPr>
            </w:pPr>
            <w:r w:rsidRPr="00DC1C8F">
              <w:rPr>
                <w:rFonts w:eastAsia="Times New Roman" w:cstheme="minorHAnsi"/>
                <w:lang w:val="es-ES" w:eastAsia="es-ES"/>
              </w:rPr>
              <w:t>En el caso en que un programa de los referidos en el inciso anterior no cumpla íntegramente con los criterios y estándares de calidad, pero presente, a juicio de la Comisión, según sea el caso, un nivel de cumplimiento aceptable de los mismos, podrá acreditársele bajo condición de que dé cumplimiento a las observaciones que surjan del proceso, dentro de los plazos que la Comisión fije. Si el nivel de cumplimiento de los criterios de evaluación no es aceptable, la Comisión no acreditará el respectivo programa.</w:t>
            </w:r>
          </w:p>
          <w:p w:rsidR="00E66625" w:rsidRPr="00DC1C8F" w:rsidRDefault="008445E7" w:rsidP="001B5D80">
            <w:pPr>
              <w:widowControl w:val="0"/>
              <w:ind w:firstLine="318"/>
              <w:jc w:val="both"/>
              <w:rPr>
                <w:rFonts w:eastAsia="Times New Roman" w:cstheme="minorHAnsi"/>
                <w:lang w:val="es-ES" w:eastAsia="es-ES"/>
              </w:rPr>
            </w:pPr>
            <w:r w:rsidRPr="00DC1C8F">
              <w:rPr>
                <w:rFonts w:eastAsia="Times New Roman" w:cstheme="minorHAnsi"/>
                <w:lang w:val="es-ES" w:eastAsia="es-ES"/>
              </w:rPr>
              <w:t xml:space="preserve">La acreditación de programas de postgrado se extenderá por un plazo de hasta 10 años, según el grado de cumplimiento de los criterios y estándares de calidad. Las instituciones de educación superior podrán, en caso de rechazo de una solicitud de acreditación de un programa de postgrado, apelar ante el Consejo Nacional de Educación, dentro del plazo de </w:t>
            </w:r>
            <w:r w:rsidRPr="001B5D80">
              <w:rPr>
                <w:rFonts w:eastAsia="Times New Roman" w:cstheme="minorHAnsi"/>
                <w:b/>
                <w:lang w:val="es-ES" w:eastAsia="es-ES"/>
              </w:rPr>
              <w:t>quince</w:t>
            </w:r>
            <w:r w:rsidRPr="00DC1C8F">
              <w:rPr>
                <w:rFonts w:eastAsia="Times New Roman" w:cstheme="minorHAnsi"/>
                <w:lang w:val="es-ES" w:eastAsia="es-ES"/>
              </w:rPr>
              <w:t xml:space="preserve"> días hábiles a contar de la fecha de la notificación de la decisión recurrida. El Consejo tendrá un plazo de 30 días hábiles para resolver. Lo anterior, será sin perjuicio de la interposición del recurso de reposición ante la misma Comisión.</w:t>
            </w:r>
          </w:p>
        </w:tc>
        <w:tc>
          <w:tcPr>
            <w:tcW w:w="5386" w:type="dxa"/>
          </w:tcPr>
          <w:p w:rsidR="00EE0400" w:rsidRPr="00DC1C8F" w:rsidRDefault="00EE0400" w:rsidP="007B2215">
            <w:pPr>
              <w:widowControl w:val="0"/>
              <w:ind w:firstLine="317"/>
              <w:jc w:val="both"/>
              <w:rPr>
                <w:rFonts w:eastAsia="Courier New" w:cstheme="minorHAnsi"/>
                <w:color w:val="000000" w:themeColor="text1"/>
              </w:rPr>
            </w:pPr>
          </w:p>
        </w:tc>
        <w:tc>
          <w:tcPr>
            <w:tcW w:w="5386" w:type="dxa"/>
          </w:tcPr>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Default="008445E7" w:rsidP="00F14A2C">
            <w:pPr>
              <w:widowControl w:val="0"/>
              <w:ind w:firstLine="318"/>
              <w:jc w:val="both"/>
              <w:rPr>
                <w:rFonts w:eastAsia="Courier New" w:cstheme="minorHAnsi"/>
                <w:color w:val="000000" w:themeColor="text1"/>
              </w:rPr>
            </w:pPr>
          </w:p>
          <w:p w:rsidR="001B5D80" w:rsidRPr="00DC1C8F" w:rsidRDefault="001B5D80"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8445E7" w:rsidRPr="00DC1C8F" w:rsidRDefault="008445E7" w:rsidP="00F14A2C">
            <w:pPr>
              <w:widowControl w:val="0"/>
              <w:ind w:firstLine="318"/>
              <w:jc w:val="both"/>
              <w:rPr>
                <w:rFonts w:eastAsia="Courier New" w:cstheme="minorHAnsi"/>
                <w:color w:val="000000" w:themeColor="text1"/>
              </w:rPr>
            </w:pPr>
          </w:p>
          <w:p w:rsidR="00EE0400" w:rsidRPr="00DC1C8F" w:rsidRDefault="008445E7" w:rsidP="00F14A2C">
            <w:pPr>
              <w:widowControl w:val="0"/>
              <w:ind w:firstLine="318"/>
              <w:jc w:val="both"/>
              <w:rPr>
                <w:rFonts w:eastAsia="Courier New" w:cstheme="minorHAnsi"/>
                <w:color w:val="000000" w:themeColor="text1"/>
              </w:rPr>
            </w:pPr>
            <w:r w:rsidRPr="00DC1C8F">
              <w:rPr>
                <w:rFonts w:eastAsia="Courier New" w:cstheme="minorHAnsi"/>
                <w:color w:val="000000" w:themeColor="text1"/>
              </w:rPr>
              <w:t>3) Reemplázase, en el inciso tercero del artículo 46, el vocablo “quince” por “</w:t>
            </w:r>
            <w:r w:rsidRPr="00DC1C8F">
              <w:rPr>
                <w:rFonts w:eastAsia="Courier New" w:cstheme="minorHAnsi"/>
                <w:b/>
                <w:color w:val="000000" w:themeColor="text1"/>
              </w:rPr>
              <w:t>treinta</w:t>
            </w:r>
            <w:r w:rsidRPr="00DC1C8F">
              <w:rPr>
                <w:rFonts w:eastAsia="Courier New" w:cstheme="minorHAnsi"/>
                <w:color w:val="000000" w:themeColor="text1"/>
              </w:rPr>
              <w:t>”.”.</w:t>
            </w:r>
          </w:p>
        </w:tc>
      </w:tr>
    </w:tbl>
    <w:p w:rsidR="002057E2" w:rsidRPr="00DC1C8F" w:rsidRDefault="002057E2" w:rsidP="00E63064">
      <w:pPr>
        <w:widowControl w:val="0"/>
        <w:tabs>
          <w:tab w:val="left" w:pos="547"/>
          <w:tab w:val="left" w:pos="2835"/>
        </w:tabs>
        <w:spacing w:after="0" w:line="276" w:lineRule="auto"/>
        <w:ind w:firstLine="1134"/>
        <w:rPr>
          <w:rFonts w:cstheme="minorHAnsi"/>
          <w:lang w:val="es-ES" w:eastAsia="es-ES"/>
        </w:rPr>
      </w:pPr>
    </w:p>
    <w:sectPr w:rsidR="002057E2" w:rsidRPr="00DC1C8F" w:rsidSect="00BB559B">
      <w:headerReference w:type="default" r:id="rId11"/>
      <w:footerReference w:type="default" r:id="rId12"/>
      <w:headerReference w:type="first" r:id="rId13"/>
      <w:footerReference w:type="first" r:id="rId14"/>
      <w:pgSz w:w="20160" w:h="12240" w:orient="landscape" w:code="5"/>
      <w:pgMar w:top="2268" w:right="567" w:bottom="2268" w:left="2835"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DAF" w:rsidRDefault="00AF7DAF" w:rsidP="00AE2639">
      <w:pPr>
        <w:spacing w:after="0" w:line="240" w:lineRule="auto"/>
      </w:pPr>
      <w:r>
        <w:separator/>
      </w:r>
    </w:p>
  </w:endnote>
  <w:endnote w:type="continuationSeparator" w:id="0">
    <w:p w:rsidR="00AF7DAF" w:rsidRDefault="00AF7DAF" w:rsidP="00AE2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81" w:rsidRPr="001A7316" w:rsidRDefault="001A7316" w:rsidP="001A7316">
    <w:pPr>
      <w:pStyle w:val="Piedepgina"/>
      <w:jc w:val="center"/>
    </w:pPr>
    <w:r w:rsidRPr="00A723BA">
      <w:rPr>
        <w:i/>
        <w:sz w:val="24"/>
        <w:szCs w:val="24"/>
      </w:rPr>
      <w:t>COMISIÓN DE EDUCACIÓN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66" w:rsidRPr="00A723BA" w:rsidRDefault="00A723BA" w:rsidP="00A723BA">
    <w:pPr>
      <w:pStyle w:val="Piedepgina"/>
      <w:jc w:val="center"/>
      <w:rPr>
        <w:i/>
        <w:sz w:val="24"/>
        <w:szCs w:val="24"/>
      </w:rPr>
    </w:pPr>
    <w:r w:rsidRPr="00A723BA">
      <w:rPr>
        <w:i/>
        <w:sz w:val="24"/>
        <w:szCs w:val="24"/>
      </w:rPr>
      <w:t>COMISIÓN DE EDUCACIÓN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DAF" w:rsidRDefault="00AF7DAF" w:rsidP="00AE2639">
      <w:pPr>
        <w:spacing w:after="0" w:line="240" w:lineRule="auto"/>
      </w:pPr>
      <w:r>
        <w:separator/>
      </w:r>
    </w:p>
  </w:footnote>
  <w:footnote w:type="continuationSeparator" w:id="0">
    <w:p w:rsidR="00AF7DAF" w:rsidRDefault="00AF7DAF" w:rsidP="00AE2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40670"/>
      <w:docPartObj>
        <w:docPartGallery w:val="Page Numbers (Top of Page)"/>
        <w:docPartUnique/>
      </w:docPartObj>
    </w:sdtPr>
    <w:sdtContent>
      <w:p w:rsidR="00E13681" w:rsidRDefault="00D03C39" w:rsidP="00EE0400">
        <w:pPr>
          <w:pStyle w:val="Encabezado"/>
          <w:ind w:left="284"/>
          <w:jc w:val="right"/>
        </w:pPr>
        <w:r>
          <w:fldChar w:fldCharType="begin"/>
        </w:r>
        <w:r w:rsidR="00E13681">
          <w:instrText>PAGE   \* MERGEFORMAT</w:instrText>
        </w:r>
        <w:r>
          <w:fldChar w:fldCharType="separate"/>
        </w:r>
        <w:r w:rsidR="008E2691" w:rsidRPr="008E2691">
          <w:rPr>
            <w:noProof/>
            <w:lang w:val="es-ES"/>
          </w:rPr>
          <w:t>23</w:t>
        </w:r>
        <w:r>
          <w:fldChar w:fldCharType="end"/>
        </w:r>
      </w:p>
    </w:sdtContent>
  </w:sdt>
  <w:p w:rsidR="0014161E" w:rsidRDefault="00E13681" w:rsidP="0014161E">
    <w:pPr>
      <w:spacing w:after="0" w:line="240" w:lineRule="auto"/>
      <w:jc w:val="center"/>
      <w:rPr>
        <w:rFonts w:cstheme="minorHAnsi"/>
        <w:b/>
        <w:sz w:val="28"/>
        <w:szCs w:val="28"/>
      </w:rPr>
    </w:pPr>
    <w:r w:rsidRPr="001A6266">
      <w:rPr>
        <w:rFonts w:cstheme="minorHAnsi"/>
        <w:b/>
        <w:sz w:val="28"/>
        <w:szCs w:val="28"/>
      </w:rPr>
      <w:t>Proyecto de ley que modifica el Párrafo 5° de las Disposiciones Transitorias de la ley N° 21.091, Sobre Educación Superior,</w:t>
    </w:r>
  </w:p>
  <w:p w:rsidR="00E13681" w:rsidRDefault="00E13681" w:rsidP="0014161E">
    <w:pPr>
      <w:spacing w:after="0" w:line="240" w:lineRule="auto"/>
      <w:jc w:val="center"/>
      <w:rPr>
        <w:rFonts w:cstheme="minorHAnsi"/>
        <w:b/>
        <w:sz w:val="28"/>
        <w:szCs w:val="28"/>
      </w:rPr>
    </w:pPr>
    <w:r w:rsidRPr="001A6266">
      <w:rPr>
        <w:rFonts w:cstheme="minorHAnsi"/>
        <w:b/>
        <w:sz w:val="28"/>
        <w:szCs w:val="28"/>
      </w:rPr>
      <w:t>y otras normas legales, boletín 12385-04</w:t>
    </w:r>
  </w:p>
  <w:p w:rsidR="00A723BA" w:rsidRPr="0014161E" w:rsidRDefault="00A723BA" w:rsidP="0014161E">
    <w:pPr>
      <w:spacing w:line="240" w:lineRule="auto"/>
      <w:ind w:left="709"/>
      <w:jc w:val="both"/>
      <w:rPr>
        <w:rFonts w:cstheme="minorHAnsi"/>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1E" w:rsidRDefault="001A6266" w:rsidP="0014161E">
    <w:pPr>
      <w:spacing w:after="0" w:line="240" w:lineRule="auto"/>
      <w:jc w:val="center"/>
      <w:rPr>
        <w:rFonts w:cstheme="minorHAnsi"/>
        <w:b/>
        <w:sz w:val="28"/>
        <w:szCs w:val="28"/>
      </w:rPr>
    </w:pPr>
    <w:r w:rsidRPr="001A6266">
      <w:rPr>
        <w:rFonts w:cstheme="minorHAnsi"/>
        <w:b/>
        <w:sz w:val="28"/>
        <w:szCs w:val="28"/>
      </w:rPr>
      <w:t>Proyecto de ley que modifica el Párrafo 5° de las Disposiciones Transitorias de la ley N° 21.091, Sobre Educación Superior,</w:t>
    </w:r>
  </w:p>
  <w:p w:rsidR="001A6266" w:rsidRPr="001A6266" w:rsidRDefault="001A6266" w:rsidP="0014161E">
    <w:pPr>
      <w:spacing w:after="0" w:line="240" w:lineRule="auto"/>
      <w:jc w:val="center"/>
      <w:rPr>
        <w:rFonts w:cstheme="minorHAnsi"/>
        <w:b/>
        <w:sz w:val="28"/>
        <w:szCs w:val="28"/>
      </w:rPr>
    </w:pPr>
    <w:r w:rsidRPr="001A6266">
      <w:rPr>
        <w:rFonts w:cstheme="minorHAnsi"/>
        <w:b/>
        <w:sz w:val="28"/>
        <w:szCs w:val="28"/>
      </w:rPr>
      <w:t>y otras normas legales, boletín 12385-04</w:t>
    </w:r>
  </w:p>
  <w:p w:rsidR="001A6266" w:rsidRDefault="001A626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C6B"/>
    <w:multiLevelType w:val="hybridMultilevel"/>
    <w:tmpl w:val="B2B09D1E"/>
    <w:lvl w:ilvl="0" w:tplc="997EEC74">
      <w:start w:val="19"/>
      <w:numFmt w:val="bullet"/>
      <w:lvlText w:val="-"/>
      <w:lvlJc w:val="left"/>
      <w:pPr>
        <w:ind w:left="927" w:hanging="360"/>
      </w:pPr>
      <w:rPr>
        <w:rFonts w:ascii="Courier New" w:eastAsia="Times New Roman" w:hAnsi="Courier New" w:cs="Courier New"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
    <w:nsid w:val="4008435F"/>
    <w:multiLevelType w:val="hybridMultilevel"/>
    <w:tmpl w:val="42F048D6"/>
    <w:lvl w:ilvl="0" w:tplc="A98038F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nsid w:val="43B11B0E"/>
    <w:multiLevelType w:val="hybridMultilevel"/>
    <w:tmpl w:val="596E45E6"/>
    <w:lvl w:ilvl="0" w:tplc="4B10136C">
      <w:start w:val="13"/>
      <w:numFmt w:val="bullet"/>
      <w:lvlText w:val=""/>
      <w:lvlJc w:val="left"/>
      <w:pPr>
        <w:ind w:left="720" w:hanging="360"/>
      </w:pPr>
      <w:rPr>
        <w:rFonts w:ascii="Symbol" w:eastAsia="Times New Roman"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AE2639"/>
    <w:rsid w:val="000032FC"/>
    <w:rsid w:val="00003873"/>
    <w:rsid w:val="00011834"/>
    <w:rsid w:val="00012D15"/>
    <w:rsid w:val="00016EA7"/>
    <w:rsid w:val="0002003F"/>
    <w:rsid w:val="000212C9"/>
    <w:rsid w:val="000219F9"/>
    <w:rsid w:val="00021A67"/>
    <w:rsid w:val="00026ADD"/>
    <w:rsid w:val="000276CD"/>
    <w:rsid w:val="0003049F"/>
    <w:rsid w:val="00032B57"/>
    <w:rsid w:val="00036228"/>
    <w:rsid w:val="000371CC"/>
    <w:rsid w:val="0003731B"/>
    <w:rsid w:val="000430B8"/>
    <w:rsid w:val="000445C2"/>
    <w:rsid w:val="00053CD7"/>
    <w:rsid w:val="0005695D"/>
    <w:rsid w:val="00057489"/>
    <w:rsid w:val="0005793B"/>
    <w:rsid w:val="00062159"/>
    <w:rsid w:val="0006252D"/>
    <w:rsid w:val="00064117"/>
    <w:rsid w:val="0007213F"/>
    <w:rsid w:val="00072D80"/>
    <w:rsid w:val="00076491"/>
    <w:rsid w:val="00084F8E"/>
    <w:rsid w:val="00086070"/>
    <w:rsid w:val="00086605"/>
    <w:rsid w:val="0009256F"/>
    <w:rsid w:val="0009540B"/>
    <w:rsid w:val="000A0531"/>
    <w:rsid w:val="000A380D"/>
    <w:rsid w:val="000A488C"/>
    <w:rsid w:val="000A7AC9"/>
    <w:rsid w:val="000B360B"/>
    <w:rsid w:val="000B4326"/>
    <w:rsid w:val="000B52E3"/>
    <w:rsid w:val="000B7EE0"/>
    <w:rsid w:val="000C31B9"/>
    <w:rsid w:val="000C5F3E"/>
    <w:rsid w:val="000C6855"/>
    <w:rsid w:val="000C7D5A"/>
    <w:rsid w:val="000D04E6"/>
    <w:rsid w:val="000D1395"/>
    <w:rsid w:val="000D16FD"/>
    <w:rsid w:val="000D3A98"/>
    <w:rsid w:val="000E0416"/>
    <w:rsid w:val="000E1648"/>
    <w:rsid w:val="000E25B1"/>
    <w:rsid w:val="000E3D46"/>
    <w:rsid w:val="000E554D"/>
    <w:rsid w:val="000E7710"/>
    <w:rsid w:val="000F247D"/>
    <w:rsid w:val="000F27D7"/>
    <w:rsid w:val="000F4697"/>
    <w:rsid w:val="000F5EAE"/>
    <w:rsid w:val="000F7A0F"/>
    <w:rsid w:val="00107BA2"/>
    <w:rsid w:val="0011124D"/>
    <w:rsid w:val="00113F40"/>
    <w:rsid w:val="00120484"/>
    <w:rsid w:val="001217C0"/>
    <w:rsid w:val="001231A1"/>
    <w:rsid w:val="0012340B"/>
    <w:rsid w:val="00123651"/>
    <w:rsid w:val="00123B77"/>
    <w:rsid w:val="0012480A"/>
    <w:rsid w:val="00124A29"/>
    <w:rsid w:val="00124E70"/>
    <w:rsid w:val="00133517"/>
    <w:rsid w:val="001373DB"/>
    <w:rsid w:val="0014140E"/>
    <w:rsid w:val="00141516"/>
    <w:rsid w:val="0014161E"/>
    <w:rsid w:val="00143CD5"/>
    <w:rsid w:val="00144EC4"/>
    <w:rsid w:val="00146652"/>
    <w:rsid w:val="001513A6"/>
    <w:rsid w:val="00151682"/>
    <w:rsid w:val="00151D2F"/>
    <w:rsid w:val="00154162"/>
    <w:rsid w:val="001544AB"/>
    <w:rsid w:val="001568F2"/>
    <w:rsid w:val="00164592"/>
    <w:rsid w:val="0017209E"/>
    <w:rsid w:val="001720C8"/>
    <w:rsid w:val="0017381B"/>
    <w:rsid w:val="00173F12"/>
    <w:rsid w:val="00173FB4"/>
    <w:rsid w:val="001756F3"/>
    <w:rsid w:val="001829BA"/>
    <w:rsid w:val="00186DCC"/>
    <w:rsid w:val="001875CC"/>
    <w:rsid w:val="0019370B"/>
    <w:rsid w:val="00196BFB"/>
    <w:rsid w:val="001972B0"/>
    <w:rsid w:val="001A15D4"/>
    <w:rsid w:val="001A1B5A"/>
    <w:rsid w:val="001A1FC2"/>
    <w:rsid w:val="001A2324"/>
    <w:rsid w:val="001A4ABC"/>
    <w:rsid w:val="001A59B6"/>
    <w:rsid w:val="001A6266"/>
    <w:rsid w:val="001A676F"/>
    <w:rsid w:val="001A699A"/>
    <w:rsid w:val="001A7316"/>
    <w:rsid w:val="001A7B69"/>
    <w:rsid w:val="001B2B48"/>
    <w:rsid w:val="001B5D80"/>
    <w:rsid w:val="001C229E"/>
    <w:rsid w:val="001C26C0"/>
    <w:rsid w:val="001C4B36"/>
    <w:rsid w:val="001D1AF6"/>
    <w:rsid w:val="001D4791"/>
    <w:rsid w:val="001D55C1"/>
    <w:rsid w:val="001D6605"/>
    <w:rsid w:val="001D7316"/>
    <w:rsid w:val="001D76E0"/>
    <w:rsid w:val="001E7CC8"/>
    <w:rsid w:val="001F68D2"/>
    <w:rsid w:val="00200112"/>
    <w:rsid w:val="00203051"/>
    <w:rsid w:val="002057E2"/>
    <w:rsid w:val="00206BB5"/>
    <w:rsid w:val="0021102D"/>
    <w:rsid w:val="00211243"/>
    <w:rsid w:val="00212803"/>
    <w:rsid w:val="002145DF"/>
    <w:rsid w:val="002244BC"/>
    <w:rsid w:val="00224FEC"/>
    <w:rsid w:val="002316B5"/>
    <w:rsid w:val="00232ABD"/>
    <w:rsid w:val="002347C6"/>
    <w:rsid w:val="00235815"/>
    <w:rsid w:val="00236943"/>
    <w:rsid w:val="00243E14"/>
    <w:rsid w:val="00244255"/>
    <w:rsid w:val="00250A8A"/>
    <w:rsid w:val="00250BCC"/>
    <w:rsid w:val="00250F54"/>
    <w:rsid w:val="00251784"/>
    <w:rsid w:val="002524A7"/>
    <w:rsid w:val="0025311A"/>
    <w:rsid w:val="002558F8"/>
    <w:rsid w:val="00255A3A"/>
    <w:rsid w:val="00256B8A"/>
    <w:rsid w:val="002573AE"/>
    <w:rsid w:val="00260D88"/>
    <w:rsid w:val="002610F7"/>
    <w:rsid w:val="0026185D"/>
    <w:rsid w:val="00263EED"/>
    <w:rsid w:val="0026426B"/>
    <w:rsid w:val="00270EB2"/>
    <w:rsid w:val="00270FC4"/>
    <w:rsid w:val="00275A64"/>
    <w:rsid w:val="00276904"/>
    <w:rsid w:val="0027768F"/>
    <w:rsid w:val="002810CF"/>
    <w:rsid w:val="00283F37"/>
    <w:rsid w:val="00290ECC"/>
    <w:rsid w:val="00295615"/>
    <w:rsid w:val="00295BE9"/>
    <w:rsid w:val="002A1146"/>
    <w:rsid w:val="002A23F2"/>
    <w:rsid w:val="002A36BF"/>
    <w:rsid w:val="002A4F7C"/>
    <w:rsid w:val="002A577E"/>
    <w:rsid w:val="002A7875"/>
    <w:rsid w:val="002B06D8"/>
    <w:rsid w:val="002B0F70"/>
    <w:rsid w:val="002B45E1"/>
    <w:rsid w:val="002C24E5"/>
    <w:rsid w:val="002E5772"/>
    <w:rsid w:val="002F08D3"/>
    <w:rsid w:val="002F14BD"/>
    <w:rsid w:val="002F254F"/>
    <w:rsid w:val="002F516E"/>
    <w:rsid w:val="002F59C7"/>
    <w:rsid w:val="00304EED"/>
    <w:rsid w:val="00305438"/>
    <w:rsid w:val="00305696"/>
    <w:rsid w:val="00311686"/>
    <w:rsid w:val="00323683"/>
    <w:rsid w:val="00325DF7"/>
    <w:rsid w:val="003320A2"/>
    <w:rsid w:val="00332DCF"/>
    <w:rsid w:val="0033492C"/>
    <w:rsid w:val="003351D6"/>
    <w:rsid w:val="00341C1B"/>
    <w:rsid w:val="003445BF"/>
    <w:rsid w:val="0034567C"/>
    <w:rsid w:val="00345A46"/>
    <w:rsid w:val="00347399"/>
    <w:rsid w:val="003538E7"/>
    <w:rsid w:val="003541CE"/>
    <w:rsid w:val="00362CF1"/>
    <w:rsid w:val="003643A5"/>
    <w:rsid w:val="003666F6"/>
    <w:rsid w:val="00370670"/>
    <w:rsid w:val="00370CAD"/>
    <w:rsid w:val="00376C6F"/>
    <w:rsid w:val="00380573"/>
    <w:rsid w:val="00382D3D"/>
    <w:rsid w:val="00393694"/>
    <w:rsid w:val="003954E8"/>
    <w:rsid w:val="003A1A38"/>
    <w:rsid w:val="003A1FA7"/>
    <w:rsid w:val="003A2EA8"/>
    <w:rsid w:val="003A4273"/>
    <w:rsid w:val="003A53D3"/>
    <w:rsid w:val="003B0ED9"/>
    <w:rsid w:val="003B6BBC"/>
    <w:rsid w:val="003C6DEC"/>
    <w:rsid w:val="003C799A"/>
    <w:rsid w:val="003D1AF2"/>
    <w:rsid w:val="003D6464"/>
    <w:rsid w:val="003E0661"/>
    <w:rsid w:val="003E4C50"/>
    <w:rsid w:val="003E71BE"/>
    <w:rsid w:val="003F0FFC"/>
    <w:rsid w:val="003F225F"/>
    <w:rsid w:val="003F346E"/>
    <w:rsid w:val="003F39C4"/>
    <w:rsid w:val="0040025C"/>
    <w:rsid w:val="00403006"/>
    <w:rsid w:val="0040535A"/>
    <w:rsid w:val="00411051"/>
    <w:rsid w:val="00416D49"/>
    <w:rsid w:val="00423C0A"/>
    <w:rsid w:val="00425B57"/>
    <w:rsid w:val="00431AA5"/>
    <w:rsid w:val="0044028B"/>
    <w:rsid w:val="004419D5"/>
    <w:rsid w:val="004445CC"/>
    <w:rsid w:val="0044588E"/>
    <w:rsid w:val="00452115"/>
    <w:rsid w:val="00452EA9"/>
    <w:rsid w:val="00461B88"/>
    <w:rsid w:val="00467F64"/>
    <w:rsid w:val="004740A2"/>
    <w:rsid w:val="004747AB"/>
    <w:rsid w:val="0047540F"/>
    <w:rsid w:val="00476FBF"/>
    <w:rsid w:val="0047728A"/>
    <w:rsid w:val="0048238B"/>
    <w:rsid w:val="00486593"/>
    <w:rsid w:val="00490999"/>
    <w:rsid w:val="004946E8"/>
    <w:rsid w:val="00497A2D"/>
    <w:rsid w:val="004A03CD"/>
    <w:rsid w:val="004A7A84"/>
    <w:rsid w:val="004B53C9"/>
    <w:rsid w:val="004B60FC"/>
    <w:rsid w:val="004C1540"/>
    <w:rsid w:val="004C1FD4"/>
    <w:rsid w:val="004C2EC1"/>
    <w:rsid w:val="004C61C7"/>
    <w:rsid w:val="004D20B9"/>
    <w:rsid w:val="004D3584"/>
    <w:rsid w:val="004D3CF1"/>
    <w:rsid w:val="004D6E35"/>
    <w:rsid w:val="004D7DBC"/>
    <w:rsid w:val="004E04D7"/>
    <w:rsid w:val="004E290F"/>
    <w:rsid w:val="004F1CF8"/>
    <w:rsid w:val="004F4885"/>
    <w:rsid w:val="004F4EAB"/>
    <w:rsid w:val="004F6048"/>
    <w:rsid w:val="004F6996"/>
    <w:rsid w:val="004F72CF"/>
    <w:rsid w:val="004F7361"/>
    <w:rsid w:val="0050047C"/>
    <w:rsid w:val="00500569"/>
    <w:rsid w:val="00501816"/>
    <w:rsid w:val="00503A9E"/>
    <w:rsid w:val="00504F2C"/>
    <w:rsid w:val="00505CD4"/>
    <w:rsid w:val="005118E6"/>
    <w:rsid w:val="00512184"/>
    <w:rsid w:val="00515A33"/>
    <w:rsid w:val="00517AEF"/>
    <w:rsid w:val="00517DF6"/>
    <w:rsid w:val="005208E1"/>
    <w:rsid w:val="005242AA"/>
    <w:rsid w:val="005304E6"/>
    <w:rsid w:val="00532A08"/>
    <w:rsid w:val="00533263"/>
    <w:rsid w:val="0053353C"/>
    <w:rsid w:val="00535F5A"/>
    <w:rsid w:val="005370A5"/>
    <w:rsid w:val="00537302"/>
    <w:rsid w:val="00540979"/>
    <w:rsid w:val="00542C16"/>
    <w:rsid w:val="00543F04"/>
    <w:rsid w:val="00545DFB"/>
    <w:rsid w:val="00545EBB"/>
    <w:rsid w:val="00547A37"/>
    <w:rsid w:val="00552646"/>
    <w:rsid w:val="00562190"/>
    <w:rsid w:val="00562556"/>
    <w:rsid w:val="00563B22"/>
    <w:rsid w:val="00563BEE"/>
    <w:rsid w:val="00575344"/>
    <w:rsid w:val="005818D0"/>
    <w:rsid w:val="00583C92"/>
    <w:rsid w:val="00585076"/>
    <w:rsid w:val="00585910"/>
    <w:rsid w:val="00587457"/>
    <w:rsid w:val="00587F75"/>
    <w:rsid w:val="0059153B"/>
    <w:rsid w:val="0059572C"/>
    <w:rsid w:val="005A0C28"/>
    <w:rsid w:val="005A2763"/>
    <w:rsid w:val="005A50AC"/>
    <w:rsid w:val="005A6DE6"/>
    <w:rsid w:val="005B2394"/>
    <w:rsid w:val="005B520D"/>
    <w:rsid w:val="005B6DE0"/>
    <w:rsid w:val="005C102B"/>
    <w:rsid w:val="005C2962"/>
    <w:rsid w:val="005C3C63"/>
    <w:rsid w:val="005F244D"/>
    <w:rsid w:val="005F30C2"/>
    <w:rsid w:val="005F345E"/>
    <w:rsid w:val="005F43EF"/>
    <w:rsid w:val="00600F65"/>
    <w:rsid w:val="006027C7"/>
    <w:rsid w:val="0060695B"/>
    <w:rsid w:val="006102D4"/>
    <w:rsid w:val="006131BD"/>
    <w:rsid w:val="006135F5"/>
    <w:rsid w:val="00613A36"/>
    <w:rsid w:val="00620087"/>
    <w:rsid w:val="00623C98"/>
    <w:rsid w:val="006301FE"/>
    <w:rsid w:val="00630550"/>
    <w:rsid w:val="006400CD"/>
    <w:rsid w:val="00643AE5"/>
    <w:rsid w:val="00645861"/>
    <w:rsid w:val="00652115"/>
    <w:rsid w:val="00654702"/>
    <w:rsid w:val="006563B5"/>
    <w:rsid w:val="00656466"/>
    <w:rsid w:val="0066003C"/>
    <w:rsid w:val="00665E05"/>
    <w:rsid w:val="00672695"/>
    <w:rsid w:val="00674073"/>
    <w:rsid w:val="00676520"/>
    <w:rsid w:val="00677A0B"/>
    <w:rsid w:val="00680869"/>
    <w:rsid w:val="0068198C"/>
    <w:rsid w:val="006843B7"/>
    <w:rsid w:val="00694239"/>
    <w:rsid w:val="00697038"/>
    <w:rsid w:val="00697786"/>
    <w:rsid w:val="006A1F22"/>
    <w:rsid w:val="006A4183"/>
    <w:rsid w:val="006A5251"/>
    <w:rsid w:val="006B0DA3"/>
    <w:rsid w:val="006B72CA"/>
    <w:rsid w:val="006C0BD4"/>
    <w:rsid w:val="006C38D8"/>
    <w:rsid w:val="006D072F"/>
    <w:rsid w:val="006D1BEF"/>
    <w:rsid w:val="006E00D6"/>
    <w:rsid w:val="006E3A0C"/>
    <w:rsid w:val="006E49CD"/>
    <w:rsid w:val="006F0ACD"/>
    <w:rsid w:val="006F2D96"/>
    <w:rsid w:val="006F3ECA"/>
    <w:rsid w:val="006F711A"/>
    <w:rsid w:val="00700AEF"/>
    <w:rsid w:val="00700C7F"/>
    <w:rsid w:val="00702362"/>
    <w:rsid w:val="00705D3E"/>
    <w:rsid w:val="00710878"/>
    <w:rsid w:val="00712016"/>
    <w:rsid w:val="00734673"/>
    <w:rsid w:val="00735261"/>
    <w:rsid w:val="007368EA"/>
    <w:rsid w:val="00740450"/>
    <w:rsid w:val="00746EED"/>
    <w:rsid w:val="0075218E"/>
    <w:rsid w:val="00754CFB"/>
    <w:rsid w:val="007603FE"/>
    <w:rsid w:val="0076299E"/>
    <w:rsid w:val="00762B32"/>
    <w:rsid w:val="00762BA0"/>
    <w:rsid w:val="00763163"/>
    <w:rsid w:val="00764EB2"/>
    <w:rsid w:val="007659B6"/>
    <w:rsid w:val="0076607D"/>
    <w:rsid w:val="00770562"/>
    <w:rsid w:val="007726F7"/>
    <w:rsid w:val="00776BB1"/>
    <w:rsid w:val="00786AEC"/>
    <w:rsid w:val="0078779C"/>
    <w:rsid w:val="00790980"/>
    <w:rsid w:val="00792D27"/>
    <w:rsid w:val="0079486D"/>
    <w:rsid w:val="0079586C"/>
    <w:rsid w:val="007A0135"/>
    <w:rsid w:val="007A167D"/>
    <w:rsid w:val="007A1ACF"/>
    <w:rsid w:val="007A27C7"/>
    <w:rsid w:val="007A62C2"/>
    <w:rsid w:val="007B2215"/>
    <w:rsid w:val="007B3253"/>
    <w:rsid w:val="007B3557"/>
    <w:rsid w:val="007C019A"/>
    <w:rsid w:val="007C1544"/>
    <w:rsid w:val="007C178A"/>
    <w:rsid w:val="007C1D45"/>
    <w:rsid w:val="007C28AD"/>
    <w:rsid w:val="007C32A2"/>
    <w:rsid w:val="007D7536"/>
    <w:rsid w:val="007E031B"/>
    <w:rsid w:val="007E0AC0"/>
    <w:rsid w:val="007E21CC"/>
    <w:rsid w:val="007E70C3"/>
    <w:rsid w:val="007E767E"/>
    <w:rsid w:val="007F0A0B"/>
    <w:rsid w:val="007F403A"/>
    <w:rsid w:val="008021F8"/>
    <w:rsid w:val="00820382"/>
    <w:rsid w:val="00820943"/>
    <w:rsid w:val="00821381"/>
    <w:rsid w:val="00821804"/>
    <w:rsid w:val="008242A4"/>
    <w:rsid w:val="00824733"/>
    <w:rsid w:val="008249FE"/>
    <w:rsid w:val="00826A8A"/>
    <w:rsid w:val="00827408"/>
    <w:rsid w:val="00831495"/>
    <w:rsid w:val="00833A37"/>
    <w:rsid w:val="00836943"/>
    <w:rsid w:val="008377F2"/>
    <w:rsid w:val="008437DB"/>
    <w:rsid w:val="008445E7"/>
    <w:rsid w:val="008447E0"/>
    <w:rsid w:val="0084617D"/>
    <w:rsid w:val="00850C9D"/>
    <w:rsid w:val="00855172"/>
    <w:rsid w:val="00857319"/>
    <w:rsid w:val="00870460"/>
    <w:rsid w:val="00875DD2"/>
    <w:rsid w:val="0087635D"/>
    <w:rsid w:val="00876C87"/>
    <w:rsid w:val="00892585"/>
    <w:rsid w:val="00892EF0"/>
    <w:rsid w:val="00895C12"/>
    <w:rsid w:val="008976B6"/>
    <w:rsid w:val="008A0587"/>
    <w:rsid w:val="008A16F8"/>
    <w:rsid w:val="008A179D"/>
    <w:rsid w:val="008B1893"/>
    <w:rsid w:val="008B1D1B"/>
    <w:rsid w:val="008B3484"/>
    <w:rsid w:val="008B3DA8"/>
    <w:rsid w:val="008B4F04"/>
    <w:rsid w:val="008B5EF9"/>
    <w:rsid w:val="008B65F5"/>
    <w:rsid w:val="008B7729"/>
    <w:rsid w:val="008C100C"/>
    <w:rsid w:val="008C367C"/>
    <w:rsid w:val="008C5A6B"/>
    <w:rsid w:val="008D09EC"/>
    <w:rsid w:val="008E0663"/>
    <w:rsid w:val="008E0A22"/>
    <w:rsid w:val="008E2691"/>
    <w:rsid w:val="008E56F8"/>
    <w:rsid w:val="008E67CE"/>
    <w:rsid w:val="008F41E0"/>
    <w:rsid w:val="008F4BA3"/>
    <w:rsid w:val="0090276F"/>
    <w:rsid w:val="00904FFA"/>
    <w:rsid w:val="009063CD"/>
    <w:rsid w:val="00906D8E"/>
    <w:rsid w:val="00910F25"/>
    <w:rsid w:val="00911255"/>
    <w:rsid w:val="00914E3A"/>
    <w:rsid w:val="00915831"/>
    <w:rsid w:val="00917901"/>
    <w:rsid w:val="00921278"/>
    <w:rsid w:val="0092356A"/>
    <w:rsid w:val="00924361"/>
    <w:rsid w:val="00924F96"/>
    <w:rsid w:val="00925FC6"/>
    <w:rsid w:val="00932375"/>
    <w:rsid w:val="00936426"/>
    <w:rsid w:val="00936935"/>
    <w:rsid w:val="00937DAC"/>
    <w:rsid w:val="009427B4"/>
    <w:rsid w:val="00942F14"/>
    <w:rsid w:val="00946A62"/>
    <w:rsid w:val="0095261D"/>
    <w:rsid w:val="009570E6"/>
    <w:rsid w:val="009602A4"/>
    <w:rsid w:val="00960E7B"/>
    <w:rsid w:val="009647CB"/>
    <w:rsid w:val="00970E2F"/>
    <w:rsid w:val="00980702"/>
    <w:rsid w:val="00985786"/>
    <w:rsid w:val="00990415"/>
    <w:rsid w:val="009904D7"/>
    <w:rsid w:val="0099576F"/>
    <w:rsid w:val="009963E8"/>
    <w:rsid w:val="009A47E2"/>
    <w:rsid w:val="009A6D44"/>
    <w:rsid w:val="009B57CC"/>
    <w:rsid w:val="009C0C4C"/>
    <w:rsid w:val="009C2EDA"/>
    <w:rsid w:val="009D22FD"/>
    <w:rsid w:val="009D29DF"/>
    <w:rsid w:val="009D2E7D"/>
    <w:rsid w:val="009E16E0"/>
    <w:rsid w:val="009E78D4"/>
    <w:rsid w:val="009F018E"/>
    <w:rsid w:val="009F0647"/>
    <w:rsid w:val="009F17D7"/>
    <w:rsid w:val="009F266B"/>
    <w:rsid w:val="009F3DB9"/>
    <w:rsid w:val="009F5F9A"/>
    <w:rsid w:val="00A030B6"/>
    <w:rsid w:val="00A0466F"/>
    <w:rsid w:val="00A07723"/>
    <w:rsid w:val="00A10B27"/>
    <w:rsid w:val="00A146AE"/>
    <w:rsid w:val="00A14F27"/>
    <w:rsid w:val="00A15F9B"/>
    <w:rsid w:val="00A17EB1"/>
    <w:rsid w:val="00A20503"/>
    <w:rsid w:val="00A2068B"/>
    <w:rsid w:val="00A23106"/>
    <w:rsid w:val="00A305F6"/>
    <w:rsid w:val="00A31B4F"/>
    <w:rsid w:val="00A32C2B"/>
    <w:rsid w:val="00A34E28"/>
    <w:rsid w:val="00A35AD3"/>
    <w:rsid w:val="00A4182E"/>
    <w:rsid w:val="00A43879"/>
    <w:rsid w:val="00A5259E"/>
    <w:rsid w:val="00A5471C"/>
    <w:rsid w:val="00A60058"/>
    <w:rsid w:val="00A62602"/>
    <w:rsid w:val="00A62B07"/>
    <w:rsid w:val="00A66D22"/>
    <w:rsid w:val="00A673B6"/>
    <w:rsid w:val="00A723BA"/>
    <w:rsid w:val="00A72F5D"/>
    <w:rsid w:val="00A738D9"/>
    <w:rsid w:val="00A75AFD"/>
    <w:rsid w:val="00A834AF"/>
    <w:rsid w:val="00A835A4"/>
    <w:rsid w:val="00A902E9"/>
    <w:rsid w:val="00A92A9F"/>
    <w:rsid w:val="00A940C6"/>
    <w:rsid w:val="00A94F6E"/>
    <w:rsid w:val="00A97CA8"/>
    <w:rsid w:val="00AA38DE"/>
    <w:rsid w:val="00AA66B0"/>
    <w:rsid w:val="00AA7B44"/>
    <w:rsid w:val="00AA7C36"/>
    <w:rsid w:val="00AB06B0"/>
    <w:rsid w:val="00AB1442"/>
    <w:rsid w:val="00AB676C"/>
    <w:rsid w:val="00AC2D92"/>
    <w:rsid w:val="00AC36BD"/>
    <w:rsid w:val="00AC4508"/>
    <w:rsid w:val="00AC4CB4"/>
    <w:rsid w:val="00AD05ED"/>
    <w:rsid w:val="00AD2340"/>
    <w:rsid w:val="00AD3FB3"/>
    <w:rsid w:val="00AD5250"/>
    <w:rsid w:val="00AE23AE"/>
    <w:rsid w:val="00AE2639"/>
    <w:rsid w:val="00AE2996"/>
    <w:rsid w:val="00AE45B3"/>
    <w:rsid w:val="00AE4BE7"/>
    <w:rsid w:val="00AE547D"/>
    <w:rsid w:val="00AF1E64"/>
    <w:rsid w:val="00AF610C"/>
    <w:rsid w:val="00AF644A"/>
    <w:rsid w:val="00AF7D94"/>
    <w:rsid w:val="00AF7DAF"/>
    <w:rsid w:val="00B037E1"/>
    <w:rsid w:val="00B04229"/>
    <w:rsid w:val="00B0431F"/>
    <w:rsid w:val="00B06DC9"/>
    <w:rsid w:val="00B103A8"/>
    <w:rsid w:val="00B10D9F"/>
    <w:rsid w:val="00B113C0"/>
    <w:rsid w:val="00B13574"/>
    <w:rsid w:val="00B13D4F"/>
    <w:rsid w:val="00B16288"/>
    <w:rsid w:val="00B20821"/>
    <w:rsid w:val="00B215DB"/>
    <w:rsid w:val="00B252A2"/>
    <w:rsid w:val="00B26AC7"/>
    <w:rsid w:val="00B3118B"/>
    <w:rsid w:val="00B31F4D"/>
    <w:rsid w:val="00B35074"/>
    <w:rsid w:val="00B35AA6"/>
    <w:rsid w:val="00B36902"/>
    <w:rsid w:val="00B37C5E"/>
    <w:rsid w:val="00B40741"/>
    <w:rsid w:val="00B472FC"/>
    <w:rsid w:val="00B52415"/>
    <w:rsid w:val="00B53968"/>
    <w:rsid w:val="00B60236"/>
    <w:rsid w:val="00B63053"/>
    <w:rsid w:val="00B65CC6"/>
    <w:rsid w:val="00B729FA"/>
    <w:rsid w:val="00B74CD4"/>
    <w:rsid w:val="00B75333"/>
    <w:rsid w:val="00B7620C"/>
    <w:rsid w:val="00B86041"/>
    <w:rsid w:val="00B91BBF"/>
    <w:rsid w:val="00B9378F"/>
    <w:rsid w:val="00B93E8F"/>
    <w:rsid w:val="00B97808"/>
    <w:rsid w:val="00BA2403"/>
    <w:rsid w:val="00BA2ACA"/>
    <w:rsid w:val="00BA57FD"/>
    <w:rsid w:val="00BA6D1D"/>
    <w:rsid w:val="00BB559B"/>
    <w:rsid w:val="00BC079E"/>
    <w:rsid w:val="00BC5386"/>
    <w:rsid w:val="00BD03C7"/>
    <w:rsid w:val="00BD082B"/>
    <w:rsid w:val="00BD12E9"/>
    <w:rsid w:val="00BD2817"/>
    <w:rsid w:val="00BD4ABA"/>
    <w:rsid w:val="00BD6EA6"/>
    <w:rsid w:val="00BD77CB"/>
    <w:rsid w:val="00BE033E"/>
    <w:rsid w:val="00BE160F"/>
    <w:rsid w:val="00BF058A"/>
    <w:rsid w:val="00BF1F5C"/>
    <w:rsid w:val="00BF2A4C"/>
    <w:rsid w:val="00BF5BBE"/>
    <w:rsid w:val="00BF600F"/>
    <w:rsid w:val="00BF6C82"/>
    <w:rsid w:val="00C00290"/>
    <w:rsid w:val="00C014DD"/>
    <w:rsid w:val="00C045E4"/>
    <w:rsid w:val="00C064C4"/>
    <w:rsid w:val="00C12C25"/>
    <w:rsid w:val="00C13F2B"/>
    <w:rsid w:val="00C15B3D"/>
    <w:rsid w:val="00C15F92"/>
    <w:rsid w:val="00C167BE"/>
    <w:rsid w:val="00C17994"/>
    <w:rsid w:val="00C17F59"/>
    <w:rsid w:val="00C20FB2"/>
    <w:rsid w:val="00C25917"/>
    <w:rsid w:val="00C27EA3"/>
    <w:rsid w:val="00C308A9"/>
    <w:rsid w:val="00C318B4"/>
    <w:rsid w:val="00C35857"/>
    <w:rsid w:val="00C36996"/>
    <w:rsid w:val="00C4050E"/>
    <w:rsid w:val="00C40C50"/>
    <w:rsid w:val="00C43C5A"/>
    <w:rsid w:val="00C55878"/>
    <w:rsid w:val="00C563D4"/>
    <w:rsid w:val="00C571D5"/>
    <w:rsid w:val="00C61B65"/>
    <w:rsid w:val="00C625D6"/>
    <w:rsid w:val="00C65CB4"/>
    <w:rsid w:val="00C65D6A"/>
    <w:rsid w:val="00C719AC"/>
    <w:rsid w:val="00C7298F"/>
    <w:rsid w:val="00C7720E"/>
    <w:rsid w:val="00C830F5"/>
    <w:rsid w:val="00C878CE"/>
    <w:rsid w:val="00C92C35"/>
    <w:rsid w:val="00C97CA2"/>
    <w:rsid w:val="00CA0A60"/>
    <w:rsid w:val="00CA2D8B"/>
    <w:rsid w:val="00CA6483"/>
    <w:rsid w:val="00CB38CE"/>
    <w:rsid w:val="00CD10DE"/>
    <w:rsid w:val="00CD2C36"/>
    <w:rsid w:val="00CE0D45"/>
    <w:rsid w:val="00CE12C1"/>
    <w:rsid w:val="00CE3A2D"/>
    <w:rsid w:val="00CE63DE"/>
    <w:rsid w:val="00D0147D"/>
    <w:rsid w:val="00D017BE"/>
    <w:rsid w:val="00D037F0"/>
    <w:rsid w:val="00D03C39"/>
    <w:rsid w:val="00D04F3C"/>
    <w:rsid w:val="00D10B9B"/>
    <w:rsid w:val="00D133D8"/>
    <w:rsid w:val="00D13F6B"/>
    <w:rsid w:val="00D14BEB"/>
    <w:rsid w:val="00D16E27"/>
    <w:rsid w:val="00D30E54"/>
    <w:rsid w:val="00D321DE"/>
    <w:rsid w:val="00D43155"/>
    <w:rsid w:val="00D43ED0"/>
    <w:rsid w:val="00D45FEB"/>
    <w:rsid w:val="00D514AF"/>
    <w:rsid w:val="00D533B8"/>
    <w:rsid w:val="00D55555"/>
    <w:rsid w:val="00D56FA8"/>
    <w:rsid w:val="00D57EF6"/>
    <w:rsid w:val="00D57F39"/>
    <w:rsid w:val="00D60E68"/>
    <w:rsid w:val="00D611DE"/>
    <w:rsid w:val="00D6157B"/>
    <w:rsid w:val="00D6223C"/>
    <w:rsid w:val="00D629EA"/>
    <w:rsid w:val="00D73301"/>
    <w:rsid w:val="00D76949"/>
    <w:rsid w:val="00D7717A"/>
    <w:rsid w:val="00D80C45"/>
    <w:rsid w:val="00D82F17"/>
    <w:rsid w:val="00D83D4D"/>
    <w:rsid w:val="00D83F6B"/>
    <w:rsid w:val="00D8424B"/>
    <w:rsid w:val="00D90081"/>
    <w:rsid w:val="00D90950"/>
    <w:rsid w:val="00D96A7C"/>
    <w:rsid w:val="00DA154C"/>
    <w:rsid w:val="00DA1A32"/>
    <w:rsid w:val="00DA1D6B"/>
    <w:rsid w:val="00DA3B8E"/>
    <w:rsid w:val="00DA5ACA"/>
    <w:rsid w:val="00DA6E89"/>
    <w:rsid w:val="00DA7568"/>
    <w:rsid w:val="00DB3E51"/>
    <w:rsid w:val="00DB6A8F"/>
    <w:rsid w:val="00DC1C8F"/>
    <w:rsid w:val="00DC5F95"/>
    <w:rsid w:val="00DD1724"/>
    <w:rsid w:val="00DD210E"/>
    <w:rsid w:val="00DD33BB"/>
    <w:rsid w:val="00DD6D03"/>
    <w:rsid w:val="00DE2633"/>
    <w:rsid w:val="00DE3DC5"/>
    <w:rsid w:val="00DF2733"/>
    <w:rsid w:val="00DF3B9B"/>
    <w:rsid w:val="00DF42D7"/>
    <w:rsid w:val="00E00523"/>
    <w:rsid w:val="00E03C2A"/>
    <w:rsid w:val="00E13681"/>
    <w:rsid w:val="00E16BC5"/>
    <w:rsid w:val="00E21CF5"/>
    <w:rsid w:val="00E2412D"/>
    <w:rsid w:val="00E27AB3"/>
    <w:rsid w:val="00E27F00"/>
    <w:rsid w:val="00E30134"/>
    <w:rsid w:val="00E31236"/>
    <w:rsid w:val="00E35F77"/>
    <w:rsid w:val="00E43D98"/>
    <w:rsid w:val="00E46D16"/>
    <w:rsid w:val="00E5078B"/>
    <w:rsid w:val="00E5263E"/>
    <w:rsid w:val="00E53017"/>
    <w:rsid w:val="00E54C67"/>
    <w:rsid w:val="00E56242"/>
    <w:rsid w:val="00E571E3"/>
    <w:rsid w:val="00E611E5"/>
    <w:rsid w:val="00E63064"/>
    <w:rsid w:val="00E66625"/>
    <w:rsid w:val="00E66CCA"/>
    <w:rsid w:val="00E66DE6"/>
    <w:rsid w:val="00E67057"/>
    <w:rsid w:val="00E7180A"/>
    <w:rsid w:val="00E71C80"/>
    <w:rsid w:val="00E72218"/>
    <w:rsid w:val="00E729DD"/>
    <w:rsid w:val="00E73132"/>
    <w:rsid w:val="00E758F7"/>
    <w:rsid w:val="00E7698F"/>
    <w:rsid w:val="00E819E4"/>
    <w:rsid w:val="00E81FCE"/>
    <w:rsid w:val="00E82313"/>
    <w:rsid w:val="00E82668"/>
    <w:rsid w:val="00E843D4"/>
    <w:rsid w:val="00E8579E"/>
    <w:rsid w:val="00E92B8C"/>
    <w:rsid w:val="00E93521"/>
    <w:rsid w:val="00E94969"/>
    <w:rsid w:val="00E94EA7"/>
    <w:rsid w:val="00E97818"/>
    <w:rsid w:val="00EA10C7"/>
    <w:rsid w:val="00EA57EA"/>
    <w:rsid w:val="00EB21CC"/>
    <w:rsid w:val="00EB4946"/>
    <w:rsid w:val="00EC1366"/>
    <w:rsid w:val="00EC1A0A"/>
    <w:rsid w:val="00EC1A0D"/>
    <w:rsid w:val="00EC366E"/>
    <w:rsid w:val="00EC6B94"/>
    <w:rsid w:val="00ED0140"/>
    <w:rsid w:val="00ED136F"/>
    <w:rsid w:val="00ED30CD"/>
    <w:rsid w:val="00ED50A4"/>
    <w:rsid w:val="00ED5D3A"/>
    <w:rsid w:val="00ED71E1"/>
    <w:rsid w:val="00EE0400"/>
    <w:rsid w:val="00EE2E84"/>
    <w:rsid w:val="00EE3834"/>
    <w:rsid w:val="00EE5632"/>
    <w:rsid w:val="00EF2147"/>
    <w:rsid w:val="00EF30CC"/>
    <w:rsid w:val="00EF6B0A"/>
    <w:rsid w:val="00F01E75"/>
    <w:rsid w:val="00F02E05"/>
    <w:rsid w:val="00F07708"/>
    <w:rsid w:val="00F12573"/>
    <w:rsid w:val="00F131EB"/>
    <w:rsid w:val="00F13536"/>
    <w:rsid w:val="00F146D8"/>
    <w:rsid w:val="00F14A2C"/>
    <w:rsid w:val="00F1612B"/>
    <w:rsid w:val="00F17A32"/>
    <w:rsid w:val="00F200CF"/>
    <w:rsid w:val="00F259FA"/>
    <w:rsid w:val="00F25A7D"/>
    <w:rsid w:val="00F26986"/>
    <w:rsid w:val="00F30296"/>
    <w:rsid w:val="00F30486"/>
    <w:rsid w:val="00F30FED"/>
    <w:rsid w:val="00F31A67"/>
    <w:rsid w:val="00F466FA"/>
    <w:rsid w:val="00F51D04"/>
    <w:rsid w:val="00F54E32"/>
    <w:rsid w:val="00F5721E"/>
    <w:rsid w:val="00F63E0A"/>
    <w:rsid w:val="00F64E62"/>
    <w:rsid w:val="00F64E67"/>
    <w:rsid w:val="00F64F97"/>
    <w:rsid w:val="00F6560D"/>
    <w:rsid w:val="00F757B7"/>
    <w:rsid w:val="00F75F90"/>
    <w:rsid w:val="00F769CA"/>
    <w:rsid w:val="00F76AA3"/>
    <w:rsid w:val="00F83624"/>
    <w:rsid w:val="00F86C66"/>
    <w:rsid w:val="00F86C79"/>
    <w:rsid w:val="00FA0604"/>
    <w:rsid w:val="00FA0E43"/>
    <w:rsid w:val="00FA2D0D"/>
    <w:rsid w:val="00FA34CD"/>
    <w:rsid w:val="00FA4E47"/>
    <w:rsid w:val="00FA5945"/>
    <w:rsid w:val="00FB0295"/>
    <w:rsid w:val="00FB2791"/>
    <w:rsid w:val="00FB4AF8"/>
    <w:rsid w:val="00FB53E2"/>
    <w:rsid w:val="00FB59BF"/>
    <w:rsid w:val="00FB74E6"/>
    <w:rsid w:val="00FC189F"/>
    <w:rsid w:val="00FC1B15"/>
    <w:rsid w:val="00FD039F"/>
    <w:rsid w:val="00FD1DDD"/>
    <w:rsid w:val="00FD3720"/>
    <w:rsid w:val="00FD5966"/>
    <w:rsid w:val="00FE11E5"/>
    <w:rsid w:val="00FF45A0"/>
    <w:rsid w:val="00FF5E3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8C"/>
  </w:style>
  <w:style w:type="paragraph" w:styleId="Ttulo1">
    <w:name w:val="heading 1"/>
    <w:basedOn w:val="Normal"/>
    <w:next w:val="Normal"/>
    <w:link w:val="Ttulo1Car"/>
    <w:uiPriority w:val="9"/>
    <w:qFormat/>
    <w:rsid w:val="006458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A2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ar"/>
    <w:qFormat/>
    <w:rsid w:val="00AF7D94"/>
    <w:pPr>
      <w:keepNext/>
      <w:tabs>
        <w:tab w:val="left" w:pos="2977"/>
      </w:tabs>
      <w:spacing w:after="0" w:line="240" w:lineRule="auto"/>
      <w:jc w:val="both"/>
      <w:outlineLvl w:val="6"/>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2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E26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2639"/>
  </w:style>
  <w:style w:type="paragraph" w:styleId="Piedepgina">
    <w:name w:val="footer"/>
    <w:basedOn w:val="Normal"/>
    <w:link w:val="PiedepginaCar"/>
    <w:uiPriority w:val="99"/>
    <w:unhideWhenUsed/>
    <w:rsid w:val="00AE26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2639"/>
  </w:style>
  <w:style w:type="paragraph" w:styleId="Prrafodelista">
    <w:name w:val="List Paragraph"/>
    <w:basedOn w:val="Normal"/>
    <w:uiPriority w:val="34"/>
    <w:qFormat/>
    <w:rsid w:val="00875DD2"/>
    <w:pPr>
      <w:ind w:left="720"/>
      <w:contextualSpacing/>
    </w:pPr>
  </w:style>
  <w:style w:type="paragraph" w:styleId="Textodeglobo">
    <w:name w:val="Balloon Text"/>
    <w:basedOn w:val="Normal"/>
    <w:link w:val="TextodegloboCar"/>
    <w:uiPriority w:val="99"/>
    <w:semiHidden/>
    <w:unhideWhenUsed/>
    <w:rsid w:val="000A0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531"/>
    <w:rPr>
      <w:rFonts w:ascii="Segoe UI" w:hAnsi="Segoe UI" w:cs="Segoe UI"/>
      <w:sz w:val="18"/>
      <w:szCs w:val="18"/>
    </w:rPr>
  </w:style>
  <w:style w:type="numbering" w:customStyle="1" w:styleId="Sinlista1">
    <w:name w:val="Sin lista1"/>
    <w:next w:val="Sinlista"/>
    <w:uiPriority w:val="99"/>
    <w:semiHidden/>
    <w:unhideWhenUsed/>
    <w:rsid w:val="00C830F5"/>
  </w:style>
  <w:style w:type="character" w:customStyle="1" w:styleId="Ttulo7Car">
    <w:name w:val="Título 7 Car"/>
    <w:basedOn w:val="Fuentedeprrafopredeter"/>
    <w:link w:val="Ttulo7"/>
    <w:rsid w:val="00AF7D9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12340B"/>
    <w:rPr>
      <w:sz w:val="16"/>
      <w:szCs w:val="16"/>
    </w:rPr>
  </w:style>
  <w:style w:type="paragraph" w:styleId="Textocomentario">
    <w:name w:val="annotation text"/>
    <w:basedOn w:val="Normal"/>
    <w:link w:val="TextocomentarioCar"/>
    <w:uiPriority w:val="99"/>
    <w:semiHidden/>
    <w:unhideWhenUsed/>
    <w:rsid w:val="001234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340B"/>
    <w:rPr>
      <w:sz w:val="20"/>
      <w:szCs w:val="20"/>
    </w:rPr>
  </w:style>
  <w:style w:type="paragraph" w:styleId="Asuntodelcomentario">
    <w:name w:val="annotation subject"/>
    <w:basedOn w:val="Textocomentario"/>
    <w:next w:val="Textocomentario"/>
    <w:link w:val="AsuntodelcomentarioCar"/>
    <w:uiPriority w:val="99"/>
    <w:semiHidden/>
    <w:unhideWhenUsed/>
    <w:rsid w:val="0012340B"/>
    <w:rPr>
      <w:b/>
      <w:bCs/>
    </w:rPr>
  </w:style>
  <w:style w:type="character" w:customStyle="1" w:styleId="AsuntodelcomentarioCar">
    <w:name w:val="Asunto del comentario Car"/>
    <w:basedOn w:val="TextocomentarioCar"/>
    <w:link w:val="Asuntodelcomentario"/>
    <w:uiPriority w:val="99"/>
    <w:semiHidden/>
    <w:rsid w:val="0012340B"/>
    <w:rPr>
      <w:b/>
      <w:bCs/>
      <w:sz w:val="20"/>
      <w:szCs w:val="20"/>
    </w:rPr>
  </w:style>
  <w:style w:type="character" w:customStyle="1" w:styleId="Ttulo3Car">
    <w:name w:val="Título 3 Car"/>
    <w:basedOn w:val="Fuentedeprrafopredeter"/>
    <w:link w:val="Ttulo3"/>
    <w:uiPriority w:val="9"/>
    <w:semiHidden/>
    <w:rsid w:val="00CA2D8B"/>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semiHidden/>
    <w:unhideWhenUsed/>
    <w:rsid w:val="00A6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673B6"/>
    <w:rPr>
      <w:rFonts w:ascii="Courier New" w:eastAsia="Times New Roman" w:hAnsi="Courier New" w:cs="Courier New"/>
      <w:sz w:val="20"/>
      <w:szCs w:val="20"/>
      <w:lang w:eastAsia="es-CL"/>
    </w:rPr>
  </w:style>
  <w:style w:type="character" w:customStyle="1" w:styleId="Ttulo1Car">
    <w:name w:val="Título 1 Car"/>
    <w:basedOn w:val="Fuentedeprrafopredeter"/>
    <w:link w:val="Ttulo1"/>
    <w:uiPriority w:val="9"/>
    <w:rsid w:val="0064586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79957434">
      <w:bodyDiv w:val="1"/>
      <w:marLeft w:val="0"/>
      <w:marRight w:val="0"/>
      <w:marTop w:val="0"/>
      <w:marBottom w:val="0"/>
      <w:divBdr>
        <w:top w:val="none" w:sz="0" w:space="0" w:color="auto"/>
        <w:left w:val="none" w:sz="0" w:space="0" w:color="auto"/>
        <w:bottom w:val="none" w:sz="0" w:space="0" w:color="auto"/>
        <w:right w:val="none" w:sz="0" w:space="0" w:color="auto"/>
      </w:divBdr>
    </w:div>
    <w:div w:id="146896236">
      <w:bodyDiv w:val="1"/>
      <w:marLeft w:val="0"/>
      <w:marRight w:val="0"/>
      <w:marTop w:val="0"/>
      <w:marBottom w:val="0"/>
      <w:divBdr>
        <w:top w:val="none" w:sz="0" w:space="0" w:color="auto"/>
        <w:left w:val="none" w:sz="0" w:space="0" w:color="auto"/>
        <w:bottom w:val="none" w:sz="0" w:space="0" w:color="auto"/>
        <w:right w:val="none" w:sz="0" w:space="0" w:color="auto"/>
      </w:divBdr>
    </w:div>
    <w:div w:id="208692333">
      <w:bodyDiv w:val="1"/>
      <w:marLeft w:val="0"/>
      <w:marRight w:val="0"/>
      <w:marTop w:val="0"/>
      <w:marBottom w:val="0"/>
      <w:divBdr>
        <w:top w:val="none" w:sz="0" w:space="0" w:color="auto"/>
        <w:left w:val="none" w:sz="0" w:space="0" w:color="auto"/>
        <w:bottom w:val="none" w:sz="0" w:space="0" w:color="auto"/>
        <w:right w:val="none" w:sz="0" w:space="0" w:color="auto"/>
      </w:divBdr>
    </w:div>
    <w:div w:id="233785187">
      <w:bodyDiv w:val="1"/>
      <w:marLeft w:val="0"/>
      <w:marRight w:val="0"/>
      <w:marTop w:val="0"/>
      <w:marBottom w:val="0"/>
      <w:divBdr>
        <w:top w:val="none" w:sz="0" w:space="0" w:color="auto"/>
        <w:left w:val="none" w:sz="0" w:space="0" w:color="auto"/>
        <w:bottom w:val="none" w:sz="0" w:space="0" w:color="auto"/>
        <w:right w:val="none" w:sz="0" w:space="0" w:color="auto"/>
      </w:divBdr>
    </w:div>
    <w:div w:id="263539105">
      <w:bodyDiv w:val="1"/>
      <w:marLeft w:val="0"/>
      <w:marRight w:val="0"/>
      <w:marTop w:val="0"/>
      <w:marBottom w:val="0"/>
      <w:divBdr>
        <w:top w:val="none" w:sz="0" w:space="0" w:color="auto"/>
        <w:left w:val="none" w:sz="0" w:space="0" w:color="auto"/>
        <w:bottom w:val="none" w:sz="0" w:space="0" w:color="auto"/>
        <w:right w:val="none" w:sz="0" w:space="0" w:color="auto"/>
      </w:divBdr>
      <w:divsChild>
        <w:div w:id="754866189">
          <w:marLeft w:val="0"/>
          <w:marRight w:val="0"/>
          <w:marTop w:val="0"/>
          <w:marBottom w:val="0"/>
          <w:divBdr>
            <w:top w:val="none" w:sz="0" w:space="0" w:color="auto"/>
            <w:left w:val="none" w:sz="0" w:space="0" w:color="auto"/>
            <w:bottom w:val="none" w:sz="0" w:space="0" w:color="auto"/>
            <w:right w:val="none" w:sz="0" w:space="0" w:color="auto"/>
          </w:divBdr>
        </w:div>
      </w:divsChild>
    </w:div>
    <w:div w:id="284502803">
      <w:bodyDiv w:val="1"/>
      <w:marLeft w:val="0"/>
      <w:marRight w:val="0"/>
      <w:marTop w:val="0"/>
      <w:marBottom w:val="0"/>
      <w:divBdr>
        <w:top w:val="none" w:sz="0" w:space="0" w:color="auto"/>
        <w:left w:val="none" w:sz="0" w:space="0" w:color="auto"/>
        <w:bottom w:val="none" w:sz="0" w:space="0" w:color="auto"/>
        <w:right w:val="none" w:sz="0" w:space="0" w:color="auto"/>
      </w:divBdr>
    </w:div>
    <w:div w:id="402684397">
      <w:bodyDiv w:val="1"/>
      <w:marLeft w:val="0"/>
      <w:marRight w:val="0"/>
      <w:marTop w:val="0"/>
      <w:marBottom w:val="0"/>
      <w:divBdr>
        <w:top w:val="none" w:sz="0" w:space="0" w:color="auto"/>
        <w:left w:val="none" w:sz="0" w:space="0" w:color="auto"/>
        <w:bottom w:val="none" w:sz="0" w:space="0" w:color="auto"/>
        <w:right w:val="none" w:sz="0" w:space="0" w:color="auto"/>
      </w:divBdr>
    </w:div>
    <w:div w:id="429664736">
      <w:bodyDiv w:val="1"/>
      <w:marLeft w:val="0"/>
      <w:marRight w:val="0"/>
      <w:marTop w:val="0"/>
      <w:marBottom w:val="0"/>
      <w:divBdr>
        <w:top w:val="none" w:sz="0" w:space="0" w:color="auto"/>
        <w:left w:val="none" w:sz="0" w:space="0" w:color="auto"/>
        <w:bottom w:val="none" w:sz="0" w:space="0" w:color="auto"/>
        <w:right w:val="none" w:sz="0" w:space="0" w:color="auto"/>
      </w:divBdr>
    </w:div>
    <w:div w:id="505561565">
      <w:bodyDiv w:val="1"/>
      <w:marLeft w:val="0"/>
      <w:marRight w:val="0"/>
      <w:marTop w:val="0"/>
      <w:marBottom w:val="0"/>
      <w:divBdr>
        <w:top w:val="none" w:sz="0" w:space="0" w:color="auto"/>
        <w:left w:val="none" w:sz="0" w:space="0" w:color="auto"/>
        <w:bottom w:val="none" w:sz="0" w:space="0" w:color="auto"/>
        <w:right w:val="none" w:sz="0" w:space="0" w:color="auto"/>
      </w:divBdr>
    </w:div>
    <w:div w:id="556546695">
      <w:bodyDiv w:val="1"/>
      <w:marLeft w:val="0"/>
      <w:marRight w:val="0"/>
      <w:marTop w:val="0"/>
      <w:marBottom w:val="0"/>
      <w:divBdr>
        <w:top w:val="none" w:sz="0" w:space="0" w:color="auto"/>
        <w:left w:val="none" w:sz="0" w:space="0" w:color="auto"/>
        <w:bottom w:val="none" w:sz="0" w:space="0" w:color="auto"/>
        <w:right w:val="none" w:sz="0" w:space="0" w:color="auto"/>
      </w:divBdr>
    </w:div>
    <w:div w:id="591277222">
      <w:bodyDiv w:val="1"/>
      <w:marLeft w:val="0"/>
      <w:marRight w:val="0"/>
      <w:marTop w:val="0"/>
      <w:marBottom w:val="0"/>
      <w:divBdr>
        <w:top w:val="none" w:sz="0" w:space="0" w:color="auto"/>
        <w:left w:val="none" w:sz="0" w:space="0" w:color="auto"/>
        <w:bottom w:val="none" w:sz="0" w:space="0" w:color="auto"/>
        <w:right w:val="none" w:sz="0" w:space="0" w:color="auto"/>
      </w:divBdr>
    </w:div>
    <w:div w:id="603076682">
      <w:bodyDiv w:val="1"/>
      <w:marLeft w:val="0"/>
      <w:marRight w:val="0"/>
      <w:marTop w:val="0"/>
      <w:marBottom w:val="0"/>
      <w:divBdr>
        <w:top w:val="none" w:sz="0" w:space="0" w:color="auto"/>
        <w:left w:val="none" w:sz="0" w:space="0" w:color="auto"/>
        <w:bottom w:val="none" w:sz="0" w:space="0" w:color="auto"/>
        <w:right w:val="none" w:sz="0" w:space="0" w:color="auto"/>
      </w:divBdr>
    </w:div>
    <w:div w:id="607854463">
      <w:bodyDiv w:val="1"/>
      <w:marLeft w:val="0"/>
      <w:marRight w:val="0"/>
      <w:marTop w:val="0"/>
      <w:marBottom w:val="0"/>
      <w:divBdr>
        <w:top w:val="none" w:sz="0" w:space="0" w:color="auto"/>
        <w:left w:val="none" w:sz="0" w:space="0" w:color="auto"/>
        <w:bottom w:val="none" w:sz="0" w:space="0" w:color="auto"/>
        <w:right w:val="none" w:sz="0" w:space="0" w:color="auto"/>
      </w:divBdr>
    </w:div>
    <w:div w:id="622420318">
      <w:bodyDiv w:val="1"/>
      <w:marLeft w:val="0"/>
      <w:marRight w:val="0"/>
      <w:marTop w:val="0"/>
      <w:marBottom w:val="0"/>
      <w:divBdr>
        <w:top w:val="none" w:sz="0" w:space="0" w:color="auto"/>
        <w:left w:val="none" w:sz="0" w:space="0" w:color="auto"/>
        <w:bottom w:val="none" w:sz="0" w:space="0" w:color="auto"/>
        <w:right w:val="none" w:sz="0" w:space="0" w:color="auto"/>
      </w:divBdr>
      <w:divsChild>
        <w:div w:id="974793352">
          <w:marLeft w:val="0"/>
          <w:marRight w:val="0"/>
          <w:marTop w:val="0"/>
          <w:marBottom w:val="0"/>
          <w:divBdr>
            <w:top w:val="none" w:sz="0" w:space="0" w:color="auto"/>
            <w:left w:val="none" w:sz="0" w:space="0" w:color="auto"/>
            <w:bottom w:val="none" w:sz="0" w:space="0" w:color="auto"/>
            <w:right w:val="none" w:sz="0" w:space="0" w:color="auto"/>
          </w:divBdr>
        </w:div>
      </w:divsChild>
    </w:div>
    <w:div w:id="713501579">
      <w:bodyDiv w:val="1"/>
      <w:marLeft w:val="0"/>
      <w:marRight w:val="0"/>
      <w:marTop w:val="0"/>
      <w:marBottom w:val="0"/>
      <w:divBdr>
        <w:top w:val="none" w:sz="0" w:space="0" w:color="auto"/>
        <w:left w:val="none" w:sz="0" w:space="0" w:color="auto"/>
        <w:bottom w:val="none" w:sz="0" w:space="0" w:color="auto"/>
        <w:right w:val="none" w:sz="0" w:space="0" w:color="auto"/>
      </w:divBdr>
    </w:div>
    <w:div w:id="730421384">
      <w:bodyDiv w:val="1"/>
      <w:marLeft w:val="0"/>
      <w:marRight w:val="0"/>
      <w:marTop w:val="0"/>
      <w:marBottom w:val="0"/>
      <w:divBdr>
        <w:top w:val="none" w:sz="0" w:space="0" w:color="auto"/>
        <w:left w:val="none" w:sz="0" w:space="0" w:color="auto"/>
        <w:bottom w:val="none" w:sz="0" w:space="0" w:color="auto"/>
        <w:right w:val="none" w:sz="0" w:space="0" w:color="auto"/>
      </w:divBdr>
      <w:divsChild>
        <w:div w:id="1279950085">
          <w:marLeft w:val="0"/>
          <w:marRight w:val="0"/>
          <w:marTop w:val="0"/>
          <w:marBottom w:val="0"/>
          <w:divBdr>
            <w:top w:val="none" w:sz="0" w:space="0" w:color="auto"/>
            <w:left w:val="none" w:sz="0" w:space="0" w:color="auto"/>
            <w:bottom w:val="none" w:sz="0" w:space="0" w:color="auto"/>
            <w:right w:val="none" w:sz="0" w:space="0" w:color="auto"/>
          </w:divBdr>
        </w:div>
        <w:div w:id="1330013802">
          <w:marLeft w:val="0"/>
          <w:marRight w:val="0"/>
          <w:marTop w:val="0"/>
          <w:marBottom w:val="0"/>
          <w:divBdr>
            <w:top w:val="none" w:sz="0" w:space="0" w:color="auto"/>
            <w:left w:val="none" w:sz="0" w:space="0" w:color="auto"/>
            <w:bottom w:val="none" w:sz="0" w:space="0" w:color="auto"/>
            <w:right w:val="none" w:sz="0" w:space="0" w:color="auto"/>
          </w:divBdr>
        </w:div>
        <w:div w:id="110130272">
          <w:marLeft w:val="0"/>
          <w:marRight w:val="0"/>
          <w:marTop w:val="0"/>
          <w:marBottom w:val="0"/>
          <w:divBdr>
            <w:top w:val="none" w:sz="0" w:space="0" w:color="auto"/>
            <w:left w:val="none" w:sz="0" w:space="0" w:color="auto"/>
            <w:bottom w:val="none" w:sz="0" w:space="0" w:color="auto"/>
            <w:right w:val="none" w:sz="0" w:space="0" w:color="auto"/>
          </w:divBdr>
        </w:div>
      </w:divsChild>
    </w:div>
    <w:div w:id="743339239">
      <w:bodyDiv w:val="1"/>
      <w:marLeft w:val="0"/>
      <w:marRight w:val="0"/>
      <w:marTop w:val="0"/>
      <w:marBottom w:val="0"/>
      <w:divBdr>
        <w:top w:val="none" w:sz="0" w:space="0" w:color="auto"/>
        <w:left w:val="none" w:sz="0" w:space="0" w:color="auto"/>
        <w:bottom w:val="none" w:sz="0" w:space="0" w:color="auto"/>
        <w:right w:val="none" w:sz="0" w:space="0" w:color="auto"/>
      </w:divBdr>
    </w:div>
    <w:div w:id="763577963">
      <w:bodyDiv w:val="1"/>
      <w:marLeft w:val="0"/>
      <w:marRight w:val="0"/>
      <w:marTop w:val="0"/>
      <w:marBottom w:val="0"/>
      <w:divBdr>
        <w:top w:val="none" w:sz="0" w:space="0" w:color="auto"/>
        <w:left w:val="none" w:sz="0" w:space="0" w:color="auto"/>
        <w:bottom w:val="none" w:sz="0" w:space="0" w:color="auto"/>
        <w:right w:val="none" w:sz="0" w:space="0" w:color="auto"/>
      </w:divBdr>
    </w:div>
    <w:div w:id="822890948">
      <w:bodyDiv w:val="1"/>
      <w:marLeft w:val="0"/>
      <w:marRight w:val="0"/>
      <w:marTop w:val="0"/>
      <w:marBottom w:val="0"/>
      <w:divBdr>
        <w:top w:val="none" w:sz="0" w:space="0" w:color="auto"/>
        <w:left w:val="none" w:sz="0" w:space="0" w:color="auto"/>
        <w:bottom w:val="none" w:sz="0" w:space="0" w:color="auto"/>
        <w:right w:val="none" w:sz="0" w:space="0" w:color="auto"/>
      </w:divBdr>
    </w:div>
    <w:div w:id="840508760">
      <w:bodyDiv w:val="1"/>
      <w:marLeft w:val="0"/>
      <w:marRight w:val="0"/>
      <w:marTop w:val="0"/>
      <w:marBottom w:val="0"/>
      <w:divBdr>
        <w:top w:val="none" w:sz="0" w:space="0" w:color="auto"/>
        <w:left w:val="none" w:sz="0" w:space="0" w:color="auto"/>
        <w:bottom w:val="none" w:sz="0" w:space="0" w:color="auto"/>
        <w:right w:val="none" w:sz="0" w:space="0" w:color="auto"/>
      </w:divBdr>
    </w:div>
    <w:div w:id="897672344">
      <w:bodyDiv w:val="1"/>
      <w:marLeft w:val="0"/>
      <w:marRight w:val="0"/>
      <w:marTop w:val="0"/>
      <w:marBottom w:val="0"/>
      <w:divBdr>
        <w:top w:val="none" w:sz="0" w:space="0" w:color="auto"/>
        <w:left w:val="none" w:sz="0" w:space="0" w:color="auto"/>
        <w:bottom w:val="none" w:sz="0" w:space="0" w:color="auto"/>
        <w:right w:val="none" w:sz="0" w:space="0" w:color="auto"/>
      </w:divBdr>
    </w:div>
    <w:div w:id="944262897">
      <w:bodyDiv w:val="1"/>
      <w:marLeft w:val="0"/>
      <w:marRight w:val="0"/>
      <w:marTop w:val="0"/>
      <w:marBottom w:val="0"/>
      <w:divBdr>
        <w:top w:val="none" w:sz="0" w:space="0" w:color="auto"/>
        <w:left w:val="none" w:sz="0" w:space="0" w:color="auto"/>
        <w:bottom w:val="none" w:sz="0" w:space="0" w:color="auto"/>
        <w:right w:val="none" w:sz="0" w:space="0" w:color="auto"/>
      </w:divBdr>
    </w:div>
    <w:div w:id="946159892">
      <w:bodyDiv w:val="1"/>
      <w:marLeft w:val="0"/>
      <w:marRight w:val="0"/>
      <w:marTop w:val="0"/>
      <w:marBottom w:val="0"/>
      <w:divBdr>
        <w:top w:val="none" w:sz="0" w:space="0" w:color="auto"/>
        <w:left w:val="none" w:sz="0" w:space="0" w:color="auto"/>
        <w:bottom w:val="none" w:sz="0" w:space="0" w:color="auto"/>
        <w:right w:val="none" w:sz="0" w:space="0" w:color="auto"/>
      </w:divBdr>
    </w:div>
    <w:div w:id="985280869">
      <w:bodyDiv w:val="1"/>
      <w:marLeft w:val="0"/>
      <w:marRight w:val="0"/>
      <w:marTop w:val="0"/>
      <w:marBottom w:val="0"/>
      <w:divBdr>
        <w:top w:val="none" w:sz="0" w:space="0" w:color="auto"/>
        <w:left w:val="none" w:sz="0" w:space="0" w:color="auto"/>
        <w:bottom w:val="none" w:sz="0" w:space="0" w:color="auto"/>
        <w:right w:val="none" w:sz="0" w:space="0" w:color="auto"/>
      </w:divBdr>
    </w:div>
    <w:div w:id="1033308097">
      <w:bodyDiv w:val="1"/>
      <w:marLeft w:val="0"/>
      <w:marRight w:val="0"/>
      <w:marTop w:val="0"/>
      <w:marBottom w:val="0"/>
      <w:divBdr>
        <w:top w:val="none" w:sz="0" w:space="0" w:color="auto"/>
        <w:left w:val="none" w:sz="0" w:space="0" w:color="auto"/>
        <w:bottom w:val="none" w:sz="0" w:space="0" w:color="auto"/>
        <w:right w:val="none" w:sz="0" w:space="0" w:color="auto"/>
      </w:divBdr>
    </w:div>
    <w:div w:id="1047339018">
      <w:bodyDiv w:val="1"/>
      <w:marLeft w:val="0"/>
      <w:marRight w:val="0"/>
      <w:marTop w:val="0"/>
      <w:marBottom w:val="0"/>
      <w:divBdr>
        <w:top w:val="none" w:sz="0" w:space="0" w:color="auto"/>
        <w:left w:val="none" w:sz="0" w:space="0" w:color="auto"/>
        <w:bottom w:val="none" w:sz="0" w:space="0" w:color="auto"/>
        <w:right w:val="none" w:sz="0" w:space="0" w:color="auto"/>
      </w:divBdr>
    </w:div>
    <w:div w:id="1170682509">
      <w:bodyDiv w:val="1"/>
      <w:marLeft w:val="0"/>
      <w:marRight w:val="0"/>
      <w:marTop w:val="0"/>
      <w:marBottom w:val="0"/>
      <w:divBdr>
        <w:top w:val="none" w:sz="0" w:space="0" w:color="auto"/>
        <w:left w:val="none" w:sz="0" w:space="0" w:color="auto"/>
        <w:bottom w:val="none" w:sz="0" w:space="0" w:color="auto"/>
        <w:right w:val="none" w:sz="0" w:space="0" w:color="auto"/>
      </w:divBdr>
    </w:div>
    <w:div w:id="1174998670">
      <w:bodyDiv w:val="1"/>
      <w:marLeft w:val="0"/>
      <w:marRight w:val="0"/>
      <w:marTop w:val="0"/>
      <w:marBottom w:val="0"/>
      <w:divBdr>
        <w:top w:val="none" w:sz="0" w:space="0" w:color="auto"/>
        <w:left w:val="none" w:sz="0" w:space="0" w:color="auto"/>
        <w:bottom w:val="none" w:sz="0" w:space="0" w:color="auto"/>
        <w:right w:val="none" w:sz="0" w:space="0" w:color="auto"/>
      </w:divBdr>
      <w:divsChild>
        <w:div w:id="1463188530">
          <w:marLeft w:val="0"/>
          <w:marRight w:val="0"/>
          <w:marTop w:val="0"/>
          <w:marBottom w:val="0"/>
          <w:divBdr>
            <w:top w:val="none" w:sz="0" w:space="0" w:color="auto"/>
            <w:left w:val="none" w:sz="0" w:space="0" w:color="auto"/>
            <w:bottom w:val="none" w:sz="0" w:space="0" w:color="auto"/>
            <w:right w:val="none" w:sz="0" w:space="0" w:color="auto"/>
          </w:divBdr>
        </w:div>
        <w:div w:id="1060979525">
          <w:marLeft w:val="0"/>
          <w:marRight w:val="0"/>
          <w:marTop w:val="0"/>
          <w:marBottom w:val="0"/>
          <w:divBdr>
            <w:top w:val="none" w:sz="0" w:space="0" w:color="auto"/>
            <w:left w:val="none" w:sz="0" w:space="0" w:color="auto"/>
            <w:bottom w:val="none" w:sz="0" w:space="0" w:color="auto"/>
            <w:right w:val="none" w:sz="0" w:space="0" w:color="auto"/>
          </w:divBdr>
        </w:div>
      </w:divsChild>
    </w:div>
    <w:div w:id="1177575296">
      <w:bodyDiv w:val="1"/>
      <w:marLeft w:val="0"/>
      <w:marRight w:val="0"/>
      <w:marTop w:val="0"/>
      <w:marBottom w:val="0"/>
      <w:divBdr>
        <w:top w:val="none" w:sz="0" w:space="0" w:color="auto"/>
        <w:left w:val="none" w:sz="0" w:space="0" w:color="auto"/>
        <w:bottom w:val="none" w:sz="0" w:space="0" w:color="auto"/>
        <w:right w:val="none" w:sz="0" w:space="0" w:color="auto"/>
      </w:divBdr>
    </w:div>
    <w:div w:id="1199126046">
      <w:bodyDiv w:val="1"/>
      <w:marLeft w:val="0"/>
      <w:marRight w:val="0"/>
      <w:marTop w:val="0"/>
      <w:marBottom w:val="0"/>
      <w:divBdr>
        <w:top w:val="none" w:sz="0" w:space="0" w:color="auto"/>
        <w:left w:val="none" w:sz="0" w:space="0" w:color="auto"/>
        <w:bottom w:val="none" w:sz="0" w:space="0" w:color="auto"/>
        <w:right w:val="none" w:sz="0" w:space="0" w:color="auto"/>
      </w:divBdr>
    </w:div>
    <w:div w:id="1203403168">
      <w:bodyDiv w:val="1"/>
      <w:marLeft w:val="0"/>
      <w:marRight w:val="0"/>
      <w:marTop w:val="0"/>
      <w:marBottom w:val="0"/>
      <w:divBdr>
        <w:top w:val="none" w:sz="0" w:space="0" w:color="auto"/>
        <w:left w:val="none" w:sz="0" w:space="0" w:color="auto"/>
        <w:bottom w:val="none" w:sz="0" w:space="0" w:color="auto"/>
        <w:right w:val="none" w:sz="0" w:space="0" w:color="auto"/>
      </w:divBdr>
      <w:divsChild>
        <w:div w:id="150874831">
          <w:marLeft w:val="0"/>
          <w:marRight w:val="0"/>
          <w:marTop w:val="0"/>
          <w:marBottom w:val="0"/>
          <w:divBdr>
            <w:top w:val="none" w:sz="0" w:space="0" w:color="auto"/>
            <w:left w:val="none" w:sz="0" w:space="0" w:color="auto"/>
            <w:bottom w:val="none" w:sz="0" w:space="0" w:color="auto"/>
            <w:right w:val="none" w:sz="0" w:space="0" w:color="auto"/>
          </w:divBdr>
        </w:div>
        <w:div w:id="1275558502">
          <w:marLeft w:val="0"/>
          <w:marRight w:val="0"/>
          <w:marTop w:val="0"/>
          <w:marBottom w:val="0"/>
          <w:divBdr>
            <w:top w:val="none" w:sz="0" w:space="0" w:color="auto"/>
            <w:left w:val="none" w:sz="0" w:space="0" w:color="auto"/>
            <w:bottom w:val="none" w:sz="0" w:space="0" w:color="auto"/>
            <w:right w:val="none" w:sz="0" w:space="0" w:color="auto"/>
          </w:divBdr>
        </w:div>
      </w:divsChild>
    </w:div>
    <w:div w:id="1274828859">
      <w:bodyDiv w:val="1"/>
      <w:marLeft w:val="0"/>
      <w:marRight w:val="0"/>
      <w:marTop w:val="0"/>
      <w:marBottom w:val="0"/>
      <w:divBdr>
        <w:top w:val="none" w:sz="0" w:space="0" w:color="auto"/>
        <w:left w:val="none" w:sz="0" w:space="0" w:color="auto"/>
        <w:bottom w:val="none" w:sz="0" w:space="0" w:color="auto"/>
        <w:right w:val="none" w:sz="0" w:space="0" w:color="auto"/>
      </w:divBdr>
      <w:divsChild>
        <w:div w:id="62261460">
          <w:marLeft w:val="0"/>
          <w:marRight w:val="0"/>
          <w:marTop w:val="0"/>
          <w:marBottom w:val="0"/>
          <w:divBdr>
            <w:top w:val="none" w:sz="0" w:space="0" w:color="auto"/>
            <w:left w:val="none" w:sz="0" w:space="0" w:color="auto"/>
            <w:bottom w:val="none" w:sz="0" w:space="0" w:color="auto"/>
            <w:right w:val="none" w:sz="0" w:space="0" w:color="auto"/>
          </w:divBdr>
        </w:div>
        <w:div w:id="732850892">
          <w:marLeft w:val="0"/>
          <w:marRight w:val="0"/>
          <w:marTop w:val="0"/>
          <w:marBottom w:val="0"/>
          <w:divBdr>
            <w:top w:val="none" w:sz="0" w:space="0" w:color="auto"/>
            <w:left w:val="none" w:sz="0" w:space="0" w:color="auto"/>
            <w:bottom w:val="none" w:sz="0" w:space="0" w:color="auto"/>
            <w:right w:val="none" w:sz="0" w:space="0" w:color="auto"/>
          </w:divBdr>
        </w:div>
        <w:div w:id="1646280632">
          <w:marLeft w:val="0"/>
          <w:marRight w:val="0"/>
          <w:marTop w:val="0"/>
          <w:marBottom w:val="0"/>
          <w:divBdr>
            <w:top w:val="none" w:sz="0" w:space="0" w:color="auto"/>
            <w:left w:val="none" w:sz="0" w:space="0" w:color="auto"/>
            <w:bottom w:val="none" w:sz="0" w:space="0" w:color="auto"/>
            <w:right w:val="none" w:sz="0" w:space="0" w:color="auto"/>
          </w:divBdr>
          <w:divsChild>
            <w:div w:id="77000430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63735864">
          <w:marLeft w:val="0"/>
          <w:marRight w:val="0"/>
          <w:marTop w:val="0"/>
          <w:marBottom w:val="0"/>
          <w:divBdr>
            <w:top w:val="none" w:sz="0" w:space="0" w:color="auto"/>
            <w:left w:val="none" w:sz="0" w:space="0" w:color="auto"/>
            <w:bottom w:val="none" w:sz="0" w:space="0" w:color="auto"/>
            <w:right w:val="none" w:sz="0" w:space="0" w:color="auto"/>
          </w:divBdr>
        </w:div>
        <w:div w:id="1732576555">
          <w:marLeft w:val="0"/>
          <w:marRight w:val="0"/>
          <w:marTop w:val="0"/>
          <w:marBottom w:val="0"/>
          <w:divBdr>
            <w:top w:val="none" w:sz="0" w:space="0" w:color="auto"/>
            <w:left w:val="none" w:sz="0" w:space="0" w:color="auto"/>
            <w:bottom w:val="none" w:sz="0" w:space="0" w:color="auto"/>
            <w:right w:val="none" w:sz="0" w:space="0" w:color="auto"/>
          </w:divBdr>
        </w:div>
      </w:divsChild>
    </w:div>
    <w:div w:id="1292203071">
      <w:bodyDiv w:val="1"/>
      <w:marLeft w:val="0"/>
      <w:marRight w:val="0"/>
      <w:marTop w:val="0"/>
      <w:marBottom w:val="0"/>
      <w:divBdr>
        <w:top w:val="none" w:sz="0" w:space="0" w:color="auto"/>
        <w:left w:val="none" w:sz="0" w:space="0" w:color="auto"/>
        <w:bottom w:val="none" w:sz="0" w:space="0" w:color="auto"/>
        <w:right w:val="none" w:sz="0" w:space="0" w:color="auto"/>
      </w:divBdr>
    </w:div>
    <w:div w:id="1477146078">
      <w:bodyDiv w:val="1"/>
      <w:marLeft w:val="0"/>
      <w:marRight w:val="0"/>
      <w:marTop w:val="0"/>
      <w:marBottom w:val="0"/>
      <w:divBdr>
        <w:top w:val="none" w:sz="0" w:space="0" w:color="auto"/>
        <w:left w:val="none" w:sz="0" w:space="0" w:color="auto"/>
        <w:bottom w:val="none" w:sz="0" w:space="0" w:color="auto"/>
        <w:right w:val="none" w:sz="0" w:space="0" w:color="auto"/>
      </w:divBdr>
    </w:div>
    <w:div w:id="1594779447">
      <w:bodyDiv w:val="1"/>
      <w:marLeft w:val="0"/>
      <w:marRight w:val="0"/>
      <w:marTop w:val="0"/>
      <w:marBottom w:val="0"/>
      <w:divBdr>
        <w:top w:val="none" w:sz="0" w:space="0" w:color="auto"/>
        <w:left w:val="none" w:sz="0" w:space="0" w:color="auto"/>
        <w:bottom w:val="none" w:sz="0" w:space="0" w:color="auto"/>
        <w:right w:val="none" w:sz="0" w:space="0" w:color="auto"/>
      </w:divBdr>
    </w:div>
    <w:div w:id="1631351559">
      <w:bodyDiv w:val="1"/>
      <w:marLeft w:val="0"/>
      <w:marRight w:val="0"/>
      <w:marTop w:val="0"/>
      <w:marBottom w:val="0"/>
      <w:divBdr>
        <w:top w:val="none" w:sz="0" w:space="0" w:color="auto"/>
        <w:left w:val="none" w:sz="0" w:space="0" w:color="auto"/>
        <w:bottom w:val="none" w:sz="0" w:space="0" w:color="auto"/>
        <w:right w:val="none" w:sz="0" w:space="0" w:color="auto"/>
      </w:divBdr>
    </w:div>
    <w:div w:id="1650943556">
      <w:bodyDiv w:val="1"/>
      <w:marLeft w:val="0"/>
      <w:marRight w:val="0"/>
      <w:marTop w:val="0"/>
      <w:marBottom w:val="0"/>
      <w:divBdr>
        <w:top w:val="none" w:sz="0" w:space="0" w:color="auto"/>
        <w:left w:val="none" w:sz="0" w:space="0" w:color="auto"/>
        <w:bottom w:val="none" w:sz="0" w:space="0" w:color="auto"/>
        <w:right w:val="none" w:sz="0" w:space="0" w:color="auto"/>
      </w:divBdr>
    </w:div>
    <w:div w:id="1661731238">
      <w:bodyDiv w:val="1"/>
      <w:marLeft w:val="0"/>
      <w:marRight w:val="0"/>
      <w:marTop w:val="0"/>
      <w:marBottom w:val="0"/>
      <w:divBdr>
        <w:top w:val="none" w:sz="0" w:space="0" w:color="auto"/>
        <w:left w:val="none" w:sz="0" w:space="0" w:color="auto"/>
        <w:bottom w:val="none" w:sz="0" w:space="0" w:color="auto"/>
        <w:right w:val="none" w:sz="0" w:space="0" w:color="auto"/>
      </w:divBdr>
    </w:div>
    <w:div w:id="1703482292">
      <w:bodyDiv w:val="1"/>
      <w:marLeft w:val="0"/>
      <w:marRight w:val="0"/>
      <w:marTop w:val="0"/>
      <w:marBottom w:val="0"/>
      <w:divBdr>
        <w:top w:val="none" w:sz="0" w:space="0" w:color="auto"/>
        <w:left w:val="none" w:sz="0" w:space="0" w:color="auto"/>
        <w:bottom w:val="none" w:sz="0" w:space="0" w:color="auto"/>
        <w:right w:val="none" w:sz="0" w:space="0" w:color="auto"/>
      </w:divBdr>
    </w:div>
    <w:div w:id="1893811485">
      <w:bodyDiv w:val="1"/>
      <w:marLeft w:val="0"/>
      <w:marRight w:val="0"/>
      <w:marTop w:val="0"/>
      <w:marBottom w:val="0"/>
      <w:divBdr>
        <w:top w:val="none" w:sz="0" w:space="0" w:color="auto"/>
        <w:left w:val="none" w:sz="0" w:space="0" w:color="auto"/>
        <w:bottom w:val="none" w:sz="0" w:space="0" w:color="auto"/>
        <w:right w:val="none" w:sz="0" w:space="0" w:color="auto"/>
      </w:divBdr>
      <w:divsChild>
        <w:div w:id="847644639">
          <w:marLeft w:val="0"/>
          <w:marRight w:val="0"/>
          <w:marTop w:val="0"/>
          <w:marBottom w:val="0"/>
          <w:divBdr>
            <w:top w:val="none" w:sz="0" w:space="0" w:color="auto"/>
            <w:left w:val="none" w:sz="0" w:space="0" w:color="auto"/>
            <w:bottom w:val="none" w:sz="0" w:space="0" w:color="auto"/>
            <w:right w:val="none" w:sz="0" w:space="0" w:color="auto"/>
          </w:divBdr>
        </w:div>
      </w:divsChild>
    </w:div>
    <w:div w:id="1917812423">
      <w:bodyDiv w:val="1"/>
      <w:marLeft w:val="0"/>
      <w:marRight w:val="0"/>
      <w:marTop w:val="0"/>
      <w:marBottom w:val="0"/>
      <w:divBdr>
        <w:top w:val="none" w:sz="0" w:space="0" w:color="auto"/>
        <w:left w:val="none" w:sz="0" w:space="0" w:color="auto"/>
        <w:bottom w:val="none" w:sz="0" w:space="0" w:color="auto"/>
        <w:right w:val="none" w:sz="0" w:space="0" w:color="auto"/>
      </w:divBdr>
      <w:divsChild>
        <w:div w:id="1283196858">
          <w:marLeft w:val="0"/>
          <w:marRight w:val="0"/>
          <w:marTop w:val="0"/>
          <w:marBottom w:val="0"/>
          <w:divBdr>
            <w:top w:val="none" w:sz="0" w:space="0" w:color="auto"/>
            <w:left w:val="none" w:sz="0" w:space="0" w:color="auto"/>
            <w:bottom w:val="none" w:sz="0" w:space="0" w:color="auto"/>
            <w:right w:val="none" w:sz="0" w:space="0" w:color="auto"/>
          </w:divBdr>
        </w:div>
      </w:divsChild>
    </w:div>
    <w:div w:id="2023895125">
      <w:bodyDiv w:val="1"/>
      <w:marLeft w:val="0"/>
      <w:marRight w:val="0"/>
      <w:marTop w:val="0"/>
      <w:marBottom w:val="0"/>
      <w:divBdr>
        <w:top w:val="none" w:sz="0" w:space="0" w:color="auto"/>
        <w:left w:val="none" w:sz="0" w:space="0" w:color="auto"/>
        <w:bottom w:val="none" w:sz="0" w:space="0" w:color="auto"/>
        <w:right w:val="none" w:sz="0" w:space="0" w:color="auto"/>
      </w:divBdr>
    </w:div>
    <w:div w:id="20873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6CE9B3DB36DF439AD9F7D2AAB7A1C4" ma:contentTypeVersion="0" ma:contentTypeDescription="Crear nuevo documento." ma:contentTypeScope="" ma:versionID="0ca845c3ad7506e922dbb7360f53e0d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AB81-C4CB-4E02-BCD8-E5B464FB2995}">
  <ds:schemaRefs>
    <ds:schemaRef ds:uri="http://schemas.microsoft.com/sharepoint/v3/contenttype/forms"/>
  </ds:schemaRefs>
</ds:datastoreItem>
</file>

<file path=customXml/itemProps2.xml><?xml version="1.0" encoding="utf-8"?>
<ds:datastoreItem xmlns:ds="http://schemas.openxmlformats.org/officeDocument/2006/customXml" ds:itemID="{F45A4E1F-1546-4BD9-85E3-BF56158307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93485-7F75-4F6E-8436-0BBA54EA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F6631-153A-424E-992B-83930E6B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5152</Words>
  <Characters>28336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12101</vt:lpstr>
    </vt:vector>
  </TitlesOfParts>
  <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12101</dc:title>
  <dc:creator>Rafael Ruz</dc:creator>
  <cp:keywords>extranjeros;deportistas</cp:keywords>
  <cp:lastModifiedBy>Apoyo Comisiones-02</cp:lastModifiedBy>
  <cp:revision>2</cp:revision>
  <cp:lastPrinted>2019-10-09T15:14:00Z</cp:lastPrinted>
  <dcterms:created xsi:type="dcterms:W3CDTF">2019-10-09T16:18:00Z</dcterms:created>
  <dcterms:modified xsi:type="dcterms:W3CDTF">2019-10-09T16:18:00Z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ies>
</file>