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7939"/>
        <w:gridCol w:w="7939"/>
      </w:tblGrid>
      <w:tr w:rsidR="00804002" w:rsidRPr="00312393" w14:paraId="754B3E51" w14:textId="77777777" w:rsidTr="009E7CD3">
        <w:trPr>
          <w:tblHeader/>
        </w:trPr>
        <w:tc>
          <w:tcPr>
            <w:tcW w:w="7939" w:type="dxa"/>
            <w:tcBorders>
              <w:bottom w:val="single" w:sz="4" w:space="0" w:color="auto"/>
            </w:tcBorders>
            <w:shd w:val="pct10" w:color="auto" w:fill="auto"/>
          </w:tcPr>
          <w:p w14:paraId="26428964" w14:textId="77777777" w:rsidR="00804002" w:rsidRPr="00312393" w:rsidRDefault="3B7B5A4E" w:rsidP="00312393">
            <w:pPr>
              <w:jc w:val="center"/>
              <w:rPr>
                <w:b/>
                <w:bCs/>
                <w:sz w:val="20"/>
                <w:szCs w:val="20"/>
              </w:rPr>
            </w:pPr>
            <w:bookmarkStart w:id="0" w:name="_GoBack"/>
            <w:bookmarkEnd w:id="0"/>
            <w:r w:rsidRPr="00312393">
              <w:rPr>
                <w:b/>
                <w:bCs/>
                <w:sz w:val="20"/>
                <w:szCs w:val="20"/>
              </w:rPr>
              <w:t>Proyecto de ley</w:t>
            </w:r>
          </w:p>
        </w:tc>
        <w:tc>
          <w:tcPr>
            <w:tcW w:w="7939" w:type="dxa"/>
            <w:tcBorders>
              <w:bottom w:val="single" w:sz="4" w:space="0" w:color="auto"/>
            </w:tcBorders>
            <w:shd w:val="pct10" w:color="auto" w:fill="auto"/>
          </w:tcPr>
          <w:p w14:paraId="619D9432" w14:textId="77777777" w:rsidR="00804002" w:rsidRPr="00312393" w:rsidRDefault="3B7B5A4E" w:rsidP="00312393">
            <w:pPr>
              <w:jc w:val="center"/>
              <w:rPr>
                <w:rFonts w:eastAsia="Arial"/>
                <w:b/>
                <w:bCs/>
                <w:sz w:val="20"/>
                <w:szCs w:val="20"/>
              </w:rPr>
            </w:pPr>
            <w:r w:rsidRPr="00312393">
              <w:rPr>
                <w:rFonts w:eastAsia="Arial"/>
                <w:b/>
                <w:bCs/>
                <w:sz w:val="20"/>
                <w:szCs w:val="20"/>
              </w:rPr>
              <w:t>Indicaciones</w:t>
            </w:r>
          </w:p>
        </w:tc>
      </w:tr>
      <w:tr w:rsidR="00804002" w:rsidRPr="00312393" w14:paraId="40C84743" w14:textId="77777777" w:rsidTr="009E7CD3">
        <w:tc>
          <w:tcPr>
            <w:tcW w:w="7939" w:type="dxa"/>
            <w:tcBorders>
              <w:bottom w:val="nil"/>
            </w:tcBorders>
          </w:tcPr>
          <w:p w14:paraId="62A2A8CD" w14:textId="77777777" w:rsidR="00804002" w:rsidRPr="00312393" w:rsidRDefault="3B7B5A4E" w:rsidP="00312393">
            <w:pPr>
              <w:rPr>
                <w:sz w:val="20"/>
                <w:szCs w:val="20"/>
              </w:rPr>
            </w:pPr>
            <w:r w:rsidRPr="00312393">
              <w:rPr>
                <w:sz w:val="20"/>
                <w:szCs w:val="20"/>
              </w:rPr>
              <w:t xml:space="preserve">Artículo Único.- </w:t>
            </w:r>
            <w:r w:rsidRPr="00312393">
              <w:rPr>
                <w:sz w:val="20"/>
                <w:szCs w:val="20"/>
                <w:u w:val="single"/>
              </w:rPr>
              <w:t>Incorpórase el siguiente artículo 70 bis, nuevo</w:t>
            </w:r>
            <w:r w:rsidRPr="00312393">
              <w:rPr>
                <w:sz w:val="20"/>
                <w:szCs w:val="20"/>
              </w:rPr>
              <w:t>, al decreto con fuerza de ley Nº 1, de 2005, del Ministerio de Salud que fija texto refundido, coordinado y sistematizado del decreto ley N° 2.763, de 1979 y de las leyes N° 18.933 y N° 18.469:</w:t>
            </w:r>
          </w:p>
          <w:p w14:paraId="1532B896" w14:textId="77777777" w:rsidR="00804002" w:rsidRDefault="00804002" w:rsidP="00312393">
            <w:pPr>
              <w:rPr>
                <w:sz w:val="20"/>
                <w:szCs w:val="20"/>
              </w:rPr>
            </w:pPr>
          </w:p>
          <w:p w14:paraId="55E00C7C" w14:textId="77777777" w:rsidR="00A4230B" w:rsidRPr="00312393" w:rsidRDefault="00A4230B" w:rsidP="00312393">
            <w:pPr>
              <w:rPr>
                <w:sz w:val="20"/>
                <w:szCs w:val="20"/>
              </w:rPr>
            </w:pPr>
          </w:p>
          <w:p w14:paraId="0F4BE184" w14:textId="77777777" w:rsidR="00804002" w:rsidRPr="00312393" w:rsidRDefault="3B7B5A4E" w:rsidP="00312393">
            <w:pPr>
              <w:rPr>
                <w:sz w:val="20"/>
                <w:szCs w:val="20"/>
              </w:rPr>
            </w:pPr>
            <w:r w:rsidRPr="00312393">
              <w:rPr>
                <w:sz w:val="20"/>
                <w:szCs w:val="20"/>
              </w:rPr>
              <w:t>“Artículo 70 bis.- La Central podrá ejercer las funciones del artículo 70 letra a) respecto de las farmacias y almacenes farmacéuticos privados, en cualquiera de las siguientes circunstancias:</w:t>
            </w:r>
          </w:p>
          <w:p w14:paraId="6D175114" w14:textId="77777777" w:rsidR="00804002" w:rsidRPr="00312393" w:rsidRDefault="00804002" w:rsidP="00312393">
            <w:pPr>
              <w:rPr>
                <w:sz w:val="20"/>
                <w:szCs w:val="20"/>
              </w:rPr>
            </w:pPr>
          </w:p>
          <w:p w14:paraId="328E5B16" w14:textId="77777777" w:rsidR="00804002" w:rsidRPr="00312393" w:rsidRDefault="00804002" w:rsidP="00312393">
            <w:pPr>
              <w:rPr>
                <w:sz w:val="20"/>
                <w:szCs w:val="20"/>
              </w:rPr>
            </w:pPr>
          </w:p>
          <w:p w14:paraId="1A492759" w14:textId="77777777" w:rsidR="00804002" w:rsidRPr="00312393" w:rsidRDefault="00804002" w:rsidP="00312393">
            <w:pPr>
              <w:rPr>
                <w:sz w:val="20"/>
                <w:szCs w:val="20"/>
              </w:rPr>
            </w:pPr>
          </w:p>
        </w:tc>
        <w:tc>
          <w:tcPr>
            <w:tcW w:w="7939" w:type="dxa"/>
            <w:tcBorders>
              <w:bottom w:val="nil"/>
            </w:tcBorders>
          </w:tcPr>
          <w:p w14:paraId="03773855" w14:textId="77777777" w:rsidR="00804002" w:rsidRPr="00C45A0F" w:rsidRDefault="67DFDDE4" w:rsidP="00C45A0F">
            <w:pPr>
              <w:pStyle w:val="Prrafodelista"/>
              <w:numPr>
                <w:ilvl w:val="0"/>
                <w:numId w:val="1"/>
              </w:numPr>
              <w:contextualSpacing w:val="0"/>
              <w:rPr>
                <w:b/>
                <w:bCs/>
                <w:sz w:val="20"/>
                <w:szCs w:val="20"/>
              </w:rPr>
            </w:pPr>
            <w:r w:rsidRPr="00C45A0F">
              <w:rPr>
                <w:rFonts w:eastAsia="Arial"/>
                <w:b/>
                <w:bCs/>
                <w:sz w:val="20"/>
                <w:szCs w:val="20"/>
              </w:rPr>
              <w:t>Ejecutivo.</w:t>
            </w:r>
            <w:r w:rsidRPr="00C45A0F">
              <w:rPr>
                <w:rFonts w:eastAsia="Arial"/>
                <w:sz w:val="20"/>
                <w:szCs w:val="20"/>
              </w:rPr>
              <w:t xml:space="preserve"> Reemplázase, en el encabezado del artículo único, la frase “Incorpórase el siguiente artículo 70 bis, nuevo” por “Incorpóranse los siguientes artículos 70 bis, 70 ter y 70 quáter, nuevos”.</w:t>
            </w:r>
          </w:p>
          <w:p w14:paraId="0FB8D4CC" w14:textId="77777777" w:rsidR="00804002" w:rsidRPr="00312393" w:rsidRDefault="00804002" w:rsidP="00312393">
            <w:pPr>
              <w:rPr>
                <w:rFonts w:eastAsia="Arial"/>
                <w:sz w:val="20"/>
                <w:szCs w:val="20"/>
              </w:rPr>
            </w:pPr>
          </w:p>
        </w:tc>
      </w:tr>
      <w:tr w:rsidR="00804002" w:rsidRPr="00312393" w14:paraId="64C47F10" w14:textId="77777777" w:rsidTr="009E7CD3">
        <w:tc>
          <w:tcPr>
            <w:tcW w:w="7939" w:type="dxa"/>
            <w:tcBorders>
              <w:top w:val="nil"/>
              <w:bottom w:val="nil"/>
            </w:tcBorders>
          </w:tcPr>
          <w:p w14:paraId="5E62B52C" w14:textId="77777777" w:rsidR="00312393" w:rsidRDefault="00804002" w:rsidP="00312393">
            <w:pPr>
              <w:rPr>
                <w:sz w:val="20"/>
                <w:szCs w:val="20"/>
              </w:rPr>
            </w:pPr>
            <w:r w:rsidRPr="00312393">
              <w:rPr>
                <w:sz w:val="20"/>
                <w:szCs w:val="20"/>
              </w:rPr>
              <w:tab/>
            </w:r>
          </w:p>
          <w:p w14:paraId="0BCD3F0A" w14:textId="77777777" w:rsidR="00804002" w:rsidRPr="00312393" w:rsidRDefault="00312393" w:rsidP="00312393">
            <w:pPr>
              <w:rPr>
                <w:sz w:val="20"/>
                <w:szCs w:val="20"/>
              </w:rPr>
            </w:pPr>
            <w:r>
              <w:rPr>
                <w:sz w:val="20"/>
                <w:szCs w:val="20"/>
              </w:rPr>
              <w:t xml:space="preserve">a. </w:t>
            </w:r>
            <w:r w:rsidR="00804002" w:rsidRPr="00312393">
              <w:rPr>
                <w:sz w:val="20"/>
                <w:szCs w:val="20"/>
              </w:rPr>
              <w:t>Cuando se trate de farmacias o almacenes farmacéuticos que sean calificados como empresas de menor tamaño conforme a lo dispuesto en el artículo segundo de la ley N° 20.416;</w:t>
            </w:r>
          </w:p>
          <w:p w14:paraId="5BF8253E" w14:textId="77777777" w:rsidR="00804002" w:rsidRPr="00312393" w:rsidRDefault="00804002" w:rsidP="00312393">
            <w:pPr>
              <w:rPr>
                <w:sz w:val="20"/>
                <w:szCs w:val="20"/>
              </w:rPr>
            </w:pPr>
          </w:p>
        </w:tc>
        <w:tc>
          <w:tcPr>
            <w:tcW w:w="7939" w:type="dxa"/>
            <w:tcBorders>
              <w:top w:val="nil"/>
              <w:bottom w:val="nil"/>
            </w:tcBorders>
          </w:tcPr>
          <w:p w14:paraId="59B9A7B8"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 xml:space="preserve">Castro. </w:t>
            </w:r>
            <w:r w:rsidRPr="00312393">
              <w:rPr>
                <w:rFonts w:eastAsia="Arial"/>
                <w:sz w:val="20"/>
                <w:szCs w:val="20"/>
              </w:rPr>
              <w:t xml:space="preserve">Para modificar la letra a) del artículo 70 bis, por el siguiente: </w:t>
            </w:r>
          </w:p>
          <w:p w14:paraId="426422C6" w14:textId="77777777" w:rsidR="00804002" w:rsidRPr="00312393" w:rsidRDefault="00014A34" w:rsidP="00312393">
            <w:pPr>
              <w:rPr>
                <w:rFonts w:eastAsia="Arial"/>
                <w:sz w:val="20"/>
                <w:szCs w:val="20"/>
              </w:rPr>
            </w:pPr>
            <w:r>
              <w:rPr>
                <w:rFonts w:eastAsia="Arial"/>
                <w:sz w:val="20"/>
                <w:szCs w:val="20"/>
              </w:rPr>
              <w:t>‘a.</w:t>
            </w:r>
            <w:r w:rsidR="3B7B5A4E" w:rsidRPr="00312393">
              <w:rPr>
                <w:rFonts w:eastAsia="Arial"/>
                <w:sz w:val="20"/>
                <w:szCs w:val="20"/>
              </w:rPr>
              <w:t xml:space="preserve"> Cuando se trate de farmacias o almacenes farmacéuticos que expendan productos sanitarios necesarios para la población.’.</w:t>
            </w:r>
          </w:p>
          <w:p w14:paraId="1696D31C" w14:textId="77777777" w:rsidR="00804002" w:rsidRDefault="00804002" w:rsidP="00312393">
            <w:pPr>
              <w:rPr>
                <w:rFonts w:eastAsia="Arial"/>
                <w:sz w:val="20"/>
                <w:szCs w:val="20"/>
              </w:rPr>
            </w:pPr>
          </w:p>
          <w:p w14:paraId="332D9018" w14:textId="77777777" w:rsidR="00072466" w:rsidRDefault="00072466" w:rsidP="00072466">
            <w:pPr>
              <w:pStyle w:val="Prrafodelista"/>
              <w:numPr>
                <w:ilvl w:val="0"/>
                <w:numId w:val="1"/>
              </w:numPr>
              <w:rPr>
                <w:rFonts w:eastAsia="Arial"/>
                <w:sz w:val="20"/>
                <w:szCs w:val="20"/>
              </w:rPr>
            </w:pPr>
            <w:r w:rsidRPr="00072466">
              <w:rPr>
                <w:rFonts w:eastAsia="Arial"/>
                <w:b/>
                <w:sz w:val="20"/>
                <w:szCs w:val="20"/>
              </w:rPr>
              <w:t>JM Castro.</w:t>
            </w:r>
            <w:r w:rsidRPr="00072466">
              <w:rPr>
                <w:rFonts w:eastAsia="Arial"/>
                <w:sz w:val="20"/>
                <w:szCs w:val="20"/>
              </w:rPr>
              <w:t xml:space="preserve"> </w:t>
            </w:r>
            <w:r w:rsidRPr="00312393">
              <w:rPr>
                <w:rFonts w:eastAsia="Arial"/>
                <w:sz w:val="20"/>
                <w:szCs w:val="20"/>
              </w:rPr>
              <w:t>Para modificar la letra a) del artículo 70 bis, por el siguiente:</w:t>
            </w:r>
          </w:p>
          <w:p w14:paraId="75FDC806" w14:textId="77777777" w:rsidR="00072466" w:rsidRDefault="00072466" w:rsidP="00072466">
            <w:pPr>
              <w:pStyle w:val="Prrafodelista"/>
              <w:ind w:left="0"/>
              <w:rPr>
                <w:rFonts w:eastAsia="Arial"/>
                <w:sz w:val="20"/>
                <w:szCs w:val="20"/>
              </w:rPr>
            </w:pPr>
            <w:r w:rsidRPr="00014A34">
              <w:rPr>
                <w:rFonts w:eastAsia="Arial"/>
                <w:sz w:val="20"/>
                <w:szCs w:val="20"/>
              </w:rPr>
              <w:t xml:space="preserve">‘a. </w:t>
            </w:r>
            <w:r>
              <w:rPr>
                <w:rFonts w:eastAsia="Arial"/>
                <w:sz w:val="20"/>
                <w:szCs w:val="20"/>
              </w:rPr>
              <w:t xml:space="preserve">Cuando se trate de farmacias o almacenes farmacéuticos cualquiera sea la calificación de la empresa </w:t>
            </w:r>
            <w:r w:rsidR="00C408FD">
              <w:rPr>
                <w:rFonts w:eastAsia="Arial"/>
                <w:sz w:val="20"/>
                <w:szCs w:val="20"/>
              </w:rPr>
              <w:t>en cuanto al tamaño.’.</w:t>
            </w:r>
          </w:p>
          <w:p w14:paraId="23EF902F" w14:textId="77777777" w:rsidR="00C408FD" w:rsidRDefault="00C408FD" w:rsidP="00072466">
            <w:pPr>
              <w:pStyle w:val="Prrafodelista"/>
              <w:ind w:left="0"/>
              <w:rPr>
                <w:rFonts w:eastAsia="Arial"/>
                <w:sz w:val="20"/>
                <w:szCs w:val="20"/>
              </w:rPr>
            </w:pPr>
          </w:p>
          <w:p w14:paraId="387B143F" w14:textId="77777777" w:rsidR="00C408FD" w:rsidRPr="00072466" w:rsidRDefault="00C408FD" w:rsidP="00072466">
            <w:pPr>
              <w:pStyle w:val="Prrafodelista"/>
              <w:ind w:left="0"/>
              <w:rPr>
                <w:rFonts w:eastAsia="Arial"/>
                <w:sz w:val="20"/>
                <w:szCs w:val="20"/>
              </w:rPr>
            </w:pPr>
          </w:p>
        </w:tc>
      </w:tr>
      <w:tr w:rsidR="00804002" w:rsidRPr="00312393" w14:paraId="3529D66E" w14:textId="77777777" w:rsidTr="009E7CD3">
        <w:tc>
          <w:tcPr>
            <w:tcW w:w="7939" w:type="dxa"/>
            <w:tcBorders>
              <w:top w:val="nil"/>
              <w:bottom w:val="nil"/>
            </w:tcBorders>
          </w:tcPr>
          <w:p w14:paraId="614B8245" w14:textId="77777777" w:rsidR="00804002" w:rsidRPr="00312393" w:rsidRDefault="00804002" w:rsidP="00312393">
            <w:pPr>
              <w:rPr>
                <w:sz w:val="20"/>
                <w:szCs w:val="20"/>
              </w:rPr>
            </w:pPr>
            <w:r w:rsidRPr="00312393">
              <w:rPr>
                <w:sz w:val="20"/>
                <w:szCs w:val="20"/>
              </w:rPr>
              <w:t>b.</w:t>
            </w:r>
            <w:r w:rsidR="00312393">
              <w:rPr>
                <w:sz w:val="20"/>
                <w:szCs w:val="20"/>
              </w:rPr>
              <w:t xml:space="preserve"> </w:t>
            </w:r>
            <w:r w:rsidRPr="00312393">
              <w:rPr>
                <w:sz w:val="20"/>
                <w:szCs w:val="20"/>
              </w:rPr>
              <w:t xml:space="preserve">Cuando se trate de la única farmacia o almacén farmacéutico que exista en una comuna; </w:t>
            </w:r>
            <w:r w:rsidRPr="00391F70">
              <w:rPr>
                <w:strike/>
                <w:sz w:val="20"/>
                <w:szCs w:val="20"/>
              </w:rPr>
              <w:t>o</w:t>
            </w:r>
          </w:p>
          <w:p w14:paraId="28D17BC4" w14:textId="77777777" w:rsidR="00804002" w:rsidRPr="00312393" w:rsidRDefault="00804002" w:rsidP="00312393">
            <w:pPr>
              <w:rPr>
                <w:sz w:val="20"/>
                <w:szCs w:val="20"/>
              </w:rPr>
            </w:pPr>
          </w:p>
        </w:tc>
        <w:tc>
          <w:tcPr>
            <w:tcW w:w="7939" w:type="dxa"/>
            <w:tcBorders>
              <w:top w:val="nil"/>
              <w:bottom w:val="nil"/>
            </w:tcBorders>
          </w:tcPr>
          <w:p w14:paraId="0785DADC"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Del Ejecutivo. También Gahona y Macaya.</w:t>
            </w:r>
            <w:r w:rsidRPr="00312393">
              <w:rPr>
                <w:rFonts w:eastAsia="Arial"/>
                <w:sz w:val="20"/>
                <w:szCs w:val="20"/>
              </w:rPr>
              <w:t xml:space="preserve"> Elimínase el </w:t>
            </w:r>
            <w:r w:rsidR="00312393">
              <w:rPr>
                <w:rFonts w:eastAsia="Arial"/>
                <w:sz w:val="20"/>
                <w:szCs w:val="20"/>
              </w:rPr>
              <w:t>vocablo</w:t>
            </w:r>
            <w:r w:rsidRPr="00312393">
              <w:rPr>
                <w:rFonts w:eastAsia="Arial"/>
                <w:sz w:val="20"/>
                <w:szCs w:val="20"/>
              </w:rPr>
              <w:t xml:space="preserve"> ‘o’.</w:t>
            </w:r>
          </w:p>
        </w:tc>
      </w:tr>
      <w:tr w:rsidR="00804002" w:rsidRPr="00312393" w14:paraId="7725FFFD" w14:textId="77777777" w:rsidTr="009E7CD3">
        <w:tc>
          <w:tcPr>
            <w:tcW w:w="7939" w:type="dxa"/>
            <w:tcBorders>
              <w:top w:val="nil"/>
              <w:bottom w:val="nil"/>
            </w:tcBorders>
          </w:tcPr>
          <w:p w14:paraId="21140FC2" w14:textId="77777777" w:rsidR="00804002" w:rsidRPr="00312393" w:rsidRDefault="00804002" w:rsidP="00312393">
            <w:pPr>
              <w:rPr>
                <w:sz w:val="20"/>
                <w:szCs w:val="20"/>
              </w:rPr>
            </w:pPr>
            <w:r w:rsidRPr="00312393">
              <w:rPr>
                <w:sz w:val="20"/>
                <w:szCs w:val="20"/>
              </w:rPr>
              <w:t>c.</w:t>
            </w:r>
            <w:r w:rsidR="00312393">
              <w:rPr>
                <w:sz w:val="20"/>
                <w:szCs w:val="20"/>
              </w:rPr>
              <w:t xml:space="preserve"> </w:t>
            </w:r>
            <w:r w:rsidRPr="00312393">
              <w:rPr>
                <w:sz w:val="20"/>
                <w:szCs w:val="20"/>
              </w:rPr>
              <w:t>Cuando existan barreras económicas, financieras, geográficas o de oportunidad que impidan la adecuada provisión de medicamentos para la población y esto sea declarado así por resolución del Ministro de Salud, la que será suscrita además por el Ministro de Hacienda.</w:t>
            </w:r>
          </w:p>
          <w:p w14:paraId="19AD3821" w14:textId="77777777" w:rsidR="00804002" w:rsidRPr="00312393" w:rsidRDefault="00804002" w:rsidP="00312393">
            <w:pPr>
              <w:rPr>
                <w:sz w:val="20"/>
                <w:szCs w:val="20"/>
              </w:rPr>
            </w:pPr>
          </w:p>
        </w:tc>
        <w:tc>
          <w:tcPr>
            <w:tcW w:w="7939" w:type="dxa"/>
            <w:tcBorders>
              <w:top w:val="nil"/>
              <w:bottom w:val="nil"/>
            </w:tcBorders>
          </w:tcPr>
          <w:p w14:paraId="254F1BBD"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 xml:space="preserve">Castro. </w:t>
            </w:r>
            <w:r w:rsidRPr="00312393">
              <w:rPr>
                <w:rFonts w:eastAsia="Arial"/>
                <w:sz w:val="20"/>
                <w:szCs w:val="20"/>
              </w:rPr>
              <w:t xml:space="preserve">Para modificar la letra c) del artículo 70 bis, por el siguiente: </w:t>
            </w:r>
          </w:p>
          <w:p w14:paraId="66E7DBA7" w14:textId="77777777" w:rsidR="00804002" w:rsidRDefault="3B7B5A4E" w:rsidP="00312393">
            <w:pPr>
              <w:rPr>
                <w:rFonts w:eastAsia="Arial"/>
                <w:sz w:val="20"/>
                <w:szCs w:val="20"/>
              </w:rPr>
            </w:pPr>
            <w:r w:rsidRPr="00312393">
              <w:rPr>
                <w:rFonts w:eastAsia="Arial"/>
                <w:sz w:val="20"/>
                <w:szCs w:val="20"/>
              </w:rPr>
              <w:t>‘c) Cuando exista inaccesibilidad a medicamentos según las definiciones contenidas en el código sanitario.’.</w:t>
            </w:r>
          </w:p>
          <w:p w14:paraId="67E28622" w14:textId="77777777" w:rsidR="00312393" w:rsidRPr="00312393" w:rsidRDefault="00312393" w:rsidP="00312393">
            <w:pPr>
              <w:rPr>
                <w:rFonts w:eastAsia="Arial"/>
                <w:sz w:val="20"/>
                <w:szCs w:val="20"/>
              </w:rPr>
            </w:pPr>
          </w:p>
          <w:p w14:paraId="7840B8D7" w14:textId="77777777" w:rsidR="00804002" w:rsidRDefault="3B7B5A4E" w:rsidP="00312393">
            <w:pPr>
              <w:pStyle w:val="Prrafodelista"/>
              <w:numPr>
                <w:ilvl w:val="0"/>
                <w:numId w:val="1"/>
              </w:numPr>
              <w:rPr>
                <w:rFonts w:eastAsia="Arial"/>
                <w:sz w:val="20"/>
                <w:szCs w:val="20"/>
              </w:rPr>
            </w:pPr>
            <w:r w:rsidRPr="00312393">
              <w:rPr>
                <w:rFonts w:eastAsia="Arial"/>
                <w:b/>
                <w:bCs/>
                <w:sz w:val="20"/>
                <w:szCs w:val="20"/>
              </w:rPr>
              <w:t>Gahona y Macaya.</w:t>
            </w:r>
            <w:r w:rsidRPr="00312393">
              <w:rPr>
                <w:rFonts w:eastAsia="Arial"/>
                <w:sz w:val="20"/>
                <w:szCs w:val="20"/>
              </w:rPr>
              <w:t xml:space="preserve"> Reemplázase el punto y aparte por un punto y coma (;) </w:t>
            </w:r>
          </w:p>
          <w:p w14:paraId="65FFFEEC" w14:textId="77777777" w:rsidR="00312393" w:rsidRPr="00312393" w:rsidRDefault="00312393" w:rsidP="00312393">
            <w:pPr>
              <w:pStyle w:val="Prrafodelista"/>
              <w:ind w:left="0"/>
              <w:rPr>
                <w:rFonts w:eastAsia="Arial"/>
                <w:sz w:val="20"/>
                <w:szCs w:val="20"/>
              </w:rPr>
            </w:pPr>
          </w:p>
          <w:p w14:paraId="28E39674"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Ejecutivo.</w:t>
            </w:r>
            <w:r w:rsidRPr="00312393">
              <w:rPr>
                <w:rFonts w:eastAsia="Arial"/>
                <w:sz w:val="20"/>
                <w:szCs w:val="20"/>
              </w:rPr>
              <w:t xml:space="preserve"> </w:t>
            </w:r>
            <w:r w:rsidRPr="00312393">
              <w:rPr>
                <w:rFonts w:eastAsia="Arial"/>
                <w:sz w:val="20"/>
                <w:szCs w:val="20"/>
                <w:lang w:val="es-ES"/>
              </w:rPr>
              <w:t>Reemplázase el punto aparte del literal c. por un punto y coma e incorpórase la expresión “o” a continuación.</w:t>
            </w:r>
          </w:p>
          <w:p w14:paraId="3E0F9723" w14:textId="77777777" w:rsidR="00804002" w:rsidRPr="00312393" w:rsidRDefault="00804002" w:rsidP="00312393">
            <w:pPr>
              <w:rPr>
                <w:rFonts w:eastAsia="Arial"/>
                <w:sz w:val="20"/>
                <w:szCs w:val="20"/>
              </w:rPr>
            </w:pPr>
          </w:p>
        </w:tc>
      </w:tr>
      <w:tr w:rsidR="3B7B5A4E" w:rsidRPr="00312393" w14:paraId="152E19F0" w14:textId="77777777" w:rsidTr="009E7CD3">
        <w:tc>
          <w:tcPr>
            <w:tcW w:w="7939" w:type="dxa"/>
            <w:tcBorders>
              <w:top w:val="nil"/>
              <w:bottom w:val="single" w:sz="4" w:space="0" w:color="auto"/>
            </w:tcBorders>
          </w:tcPr>
          <w:p w14:paraId="07DA8ACB" w14:textId="77777777" w:rsidR="3B7B5A4E" w:rsidRPr="00312393" w:rsidRDefault="3B7B5A4E" w:rsidP="00312393">
            <w:pPr>
              <w:rPr>
                <w:sz w:val="20"/>
                <w:szCs w:val="20"/>
              </w:rPr>
            </w:pPr>
          </w:p>
        </w:tc>
        <w:tc>
          <w:tcPr>
            <w:tcW w:w="7939" w:type="dxa"/>
            <w:tcBorders>
              <w:top w:val="nil"/>
              <w:bottom w:val="single" w:sz="4" w:space="0" w:color="auto"/>
            </w:tcBorders>
          </w:tcPr>
          <w:p w14:paraId="660B4737" w14:textId="77777777" w:rsidR="3B7B5A4E" w:rsidRPr="00312393" w:rsidRDefault="3B7B5A4E" w:rsidP="00312393">
            <w:pPr>
              <w:pStyle w:val="Prrafodelista"/>
              <w:numPr>
                <w:ilvl w:val="0"/>
                <w:numId w:val="1"/>
              </w:numPr>
              <w:rPr>
                <w:rFonts w:eastAsia="Arial"/>
                <w:sz w:val="20"/>
                <w:szCs w:val="20"/>
              </w:rPr>
            </w:pPr>
            <w:r w:rsidRPr="00312393">
              <w:rPr>
                <w:rFonts w:eastAsia="Arial"/>
                <w:b/>
                <w:bCs/>
                <w:sz w:val="20"/>
                <w:szCs w:val="20"/>
              </w:rPr>
              <w:t>Ejecutivo.</w:t>
            </w:r>
            <w:r w:rsidRPr="00312393">
              <w:rPr>
                <w:rFonts w:eastAsia="Arial"/>
                <w:sz w:val="20"/>
                <w:szCs w:val="20"/>
              </w:rPr>
              <w:t xml:space="preserve"> </w:t>
            </w:r>
            <w:r w:rsidRPr="00312393">
              <w:rPr>
                <w:rFonts w:eastAsia="Arial"/>
                <w:sz w:val="20"/>
                <w:szCs w:val="20"/>
                <w:lang w:val="es-ES"/>
              </w:rPr>
              <w:t xml:space="preserve">Incorpórase, en el inciso primero un literal d., nuevo, del siguiente tenor: </w:t>
            </w:r>
          </w:p>
          <w:p w14:paraId="59B7EF08" w14:textId="77777777" w:rsidR="3B7B5A4E" w:rsidRPr="00312393" w:rsidRDefault="3B7B5A4E" w:rsidP="00312393">
            <w:pPr>
              <w:rPr>
                <w:rFonts w:eastAsia="Arial"/>
                <w:sz w:val="20"/>
                <w:szCs w:val="20"/>
              </w:rPr>
            </w:pPr>
            <w:r w:rsidRPr="00312393">
              <w:rPr>
                <w:rFonts w:eastAsia="Arial"/>
                <w:sz w:val="20"/>
                <w:szCs w:val="20"/>
                <w:lang w:val="es-ES"/>
              </w:rPr>
              <w:t>“d. Cuando exista una diferencia sustancial entre el precio en que el medicamento se vende en Chile y el precio de referencia externo equivalente, según lo establecido en el reglamento.”.</w:t>
            </w:r>
          </w:p>
          <w:p w14:paraId="0059EEE3" w14:textId="77777777" w:rsidR="3B7B5A4E" w:rsidRPr="00312393" w:rsidRDefault="3B7B5A4E" w:rsidP="00312393">
            <w:pPr>
              <w:rPr>
                <w:rFonts w:eastAsia="Arial"/>
                <w:sz w:val="20"/>
                <w:szCs w:val="20"/>
              </w:rPr>
            </w:pPr>
            <w:r w:rsidRPr="00312393">
              <w:rPr>
                <w:rFonts w:eastAsia="Arial"/>
                <w:sz w:val="20"/>
                <w:szCs w:val="20"/>
              </w:rPr>
              <w:t>.</w:t>
            </w:r>
          </w:p>
        </w:tc>
      </w:tr>
      <w:tr w:rsidR="009E7CD3" w:rsidRPr="00312393" w14:paraId="78A2D350" w14:textId="77777777" w:rsidTr="009E7CD3">
        <w:tc>
          <w:tcPr>
            <w:tcW w:w="7939" w:type="dxa"/>
            <w:tcBorders>
              <w:bottom w:val="nil"/>
            </w:tcBorders>
          </w:tcPr>
          <w:p w14:paraId="24A5CAC2" w14:textId="77777777" w:rsidR="009E7CD3" w:rsidRDefault="009E7CD3" w:rsidP="00312393">
            <w:pPr>
              <w:rPr>
                <w:sz w:val="20"/>
                <w:szCs w:val="20"/>
              </w:rPr>
            </w:pPr>
          </w:p>
        </w:tc>
        <w:tc>
          <w:tcPr>
            <w:tcW w:w="7939" w:type="dxa"/>
            <w:tcBorders>
              <w:top w:val="single" w:sz="4" w:space="0" w:color="auto"/>
              <w:bottom w:val="nil"/>
            </w:tcBorders>
          </w:tcPr>
          <w:p w14:paraId="076029A9" w14:textId="77777777" w:rsidR="009E7CD3" w:rsidRPr="00312393" w:rsidRDefault="009E7CD3" w:rsidP="009E7CD3">
            <w:pPr>
              <w:pStyle w:val="Prrafodelista"/>
              <w:numPr>
                <w:ilvl w:val="0"/>
                <w:numId w:val="1"/>
              </w:numPr>
              <w:rPr>
                <w:rFonts w:eastAsia="Arial"/>
                <w:sz w:val="20"/>
                <w:szCs w:val="20"/>
              </w:rPr>
            </w:pPr>
            <w:r w:rsidRPr="00312393">
              <w:rPr>
                <w:rFonts w:eastAsia="Arial"/>
                <w:b/>
                <w:bCs/>
                <w:sz w:val="20"/>
                <w:szCs w:val="20"/>
              </w:rPr>
              <w:t xml:space="preserve">Castro. </w:t>
            </w:r>
            <w:r w:rsidRPr="00312393">
              <w:rPr>
                <w:rFonts w:eastAsia="Arial"/>
                <w:sz w:val="20"/>
                <w:szCs w:val="20"/>
              </w:rPr>
              <w:t xml:space="preserve">Para incorporar una letra d) al artículo 70 bis: </w:t>
            </w:r>
          </w:p>
          <w:p w14:paraId="0F2AF264" w14:textId="77777777" w:rsidR="009E7CD3" w:rsidRDefault="009E7CD3" w:rsidP="009E7CD3">
            <w:pPr>
              <w:rPr>
                <w:rFonts w:eastAsia="Arial"/>
                <w:sz w:val="20"/>
                <w:szCs w:val="20"/>
              </w:rPr>
            </w:pPr>
            <w:r w:rsidRPr="00312393">
              <w:rPr>
                <w:rFonts w:eastAsia="Arial"/>
                <w:sz w:val="20"/>
                <w:szCs w:val="20"/>
              </w:rPr>
              <w:t>‘d) Cuando existan medicamentos del petitorio de farmacia o de almacenes farmacéuticos, que no se encuentren comercializados y que hayan sido considerados necesarios para el país.’.</w:t>
            </w:r>
          </w:p>
          <w:p w14:paraId="7DA1B06E" w14:textId="77777777" w:rsidR="009E7CD3" w:rsidRPr="00312393" w:rsidRDefault="009E7CD3" w:rsidP="009E7CD3">
            <w:pPr>
              <w:rPr>
                <w:rFonts w:eastAsia="Arial"/>
                <w:sz w:val="20"/>
                <w:szCs w:val="20"/>
              </w:rPr>
            </w:pPr>
          </w:p>
          <w:p w14:paraId="3EFA5E74" w14:textId="77777777" w:rsidR="009E7CD3" w:rsidRPr="00312393" w:rsidRDefault="009E7CD3" w:rsidP="009E7CD3">
            <w:pPr>
              <w:pStyle w:val="Prrafodelista"/>
              <w:numPr>
                <w:ilvl w:val="0"/>
                <w:numId w:val="1"/>
              </w:numPr>
              <w:rPr>
                <w:rFonts w:eastAsia="Arial"/>
                <w:sz w:val="20"/>
                <w:szCs w:val="20"/>
              </w:rPr>
            </w:pPr>
            <w:r w:rsidRPr="00312393">
              <w:rPr>
                <w:rFonts w:eastAsia="Arial"/>
                <w:b/>
                <w:bCs/>
                <w:sz w:val="20"/>
                <w:szCs w:val="20"/>
              </w:rPr>
              <w:t>Gahona y Macaya.</w:t>
            </w:r>
            <w:r w:rsidRPr="00312393">
              <w:rPr>
                <w:rFonts w:eastAsia="Arial"/>
                <w:sz w:val="20"/>
                <w:szCs w:val="20"/>
              </w:rPr>
              <w:t xml:space="preserve"> Para incorporar una letra d) del siguiente tenor:</w:t>
            </w:r>
          </w:p>
          <w:p w14:paraId="26065099" w14:textId="77777777" w:rsidR="009E7CD3" w:rsidRDefault="009E7CD3" w:rsidP="009E7CD3">
            <w:pPr>
              <w:rPr>
                <w:rFonts w:eastAsia="Arial"/>
                <w:sz w:val="20"/>
                <w:szCs w:val="20"/>
              </w:rPr>
            </w:pPr>
            <w:r w:rsidRPr="00312393">
              <w:rPr>
                <w:rFonts w:eastAsia="Arial"/>
                <w:sz w:val="20"/>
                <w:szCs w:val="20"/>
              </w:rPr>
              <w:t>‘d) Y en todos los demás casos en que una farmacia o almacén farmacéutico presente una solicitud de intermediación a la Central, según las disposiciones de la presente ley.’</w:t>
            </w:r>
          </w:p>
          <w:p w14:paraId="5B4EC9DC" w14:textId="77777777" w:rsidR="009E7CD3" w:rsidRPr="00312393" w:rsidRDefault="009E7CD3" w:rsidP="009E7CD3">
            <w:pPr>
              <w:pStyle w:val="Prrafodelista"/>
              <w:ind w:left="0"/>
              <w:rPr>
                <w:rFonts w:eastAsia="Arial"/>
                <w:b/>
                <w:bCs/>
                <w:sz w:val="20"/>
                <w:szCs w:val="20"/>
              </w:rPr>
            </w:pPr>
          </w:p>
        </w:tc>
      </w:tr>
      <w:tr w:rsidR="00804002" w:rsidRPr="00312393" w14:paraId="31F489BE" w14:textId="77777777" w:rsidTr="009E7CD3">
        <w:tc>
          <w:tcPr>
            <w:tcW w:w="7939" w:type="dxa"/>
            <w:tcBorders>
              <w:top w:val="nil"/>
              <w:bottom w:val="single" w:sz="4" w:space="0" w:color="auto"/>
            </w:tcBorders>
          </w:tcPr>
          <w:p w14:paraId="19918E77" w14:textId="77777777" w:rsidR="00147601" w:rsidRDefault="00147601" w:rsidP="00312393">
            <w:pPr>
              <w:rPr>
                <w:sz w:val="20"/>
                <w:szCs w:val="20"/>
              </w:rPr>
            </w:pPr>
          </w:p>
          <w:p w14:paraId="00131C03" w14:textId="77777777" w:rsidR="00804002" w:rsidRPr="00312393" w:rsidRDefault="3B7B5A4E" w:rsidP="009E7CD3">
            <w:pPr>
              <w:pBdr>
                <w:between w:val="single" w:sz="4" w:space="1" w:color="auto"/>
              </w:pBdr>
              <w:rPr>
                <w:sz w:val="20"/>
                <w:szCs w:val="20"/>
              </w:rPr>
            </w:pPr>
            <w:r w:rsidRPr="00312393">
              <w:rPr>
                <w:sz w:val="20"/>
                <w:szCs w:val="20"/>
              </w:rPr>
              <w:t xml:space="preserve">Encontrándose en alguna de las circunstancias anteriores, la farmacia o almacén farmacéutico que se trate deberá solicitar a la Central los medicamentos o dispositivos médicos que sean necesarios para el adecuado abastecimiento de la población. La Central evaluará la solicitud y, en caso de ser aprobada, procederá a la provisión del medicamento o dispositivo médico según las reglas generales. Para ello, podrá acumular la demanda a la de los establecimientos del Sistema. </w:t>
            </w:r>
          </w:p>
          <w:p w14:paraId="78265C14" w14:textId="77777777" w:rsidR="00804002" w:rsidRPr="00312393" w:rsidRDefault="00804002" w:rsidP="00312393">
            <w:pPr>
              <w:rPr>
                <w:sz w:val="20"/>
                <w:szCs w:val="20"/>
              </w:rPr>
            </w:pPr>
          </w:p>
        </w:tc>
        <w:tc>
          <w:tcPr>
            <w:tcW w:w="7939" w:type="dxa"/>
            <w:tcBorders>
              <w:top w:val="nil"/>
            </w:tcBorders>
          </w:tcPr>
          <w:p w14:paraId="72A765EC"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 xml:space="preserve">Castro. </w:t>
            </w:r>
            <w:r w:rsidRPr="00312393">
              <w:rPr>
                <w:rFonts w:eastAsia="Arial"/>
                <w:sz w:val="20"/>
                <w:szCs w:val="20"/>
              </w:rPr>
              <w:t>Para reemplazar el segundo inciso del artículo 70 bis por el siguiente:</w:t>
            </w:r>
          </w:p>
          <w:p w14:paraId="1AFE038D" w14:textId="77777777" w:rsidR="00804002" w:rsidRDefault="3B7B5A4E" w:rsidP="00312393">
            <w:pPr>
              <w:rPr>
                <w:rFonts w:eastAsia="Arial"/>
                <w:sz w:val="20"/>
                <w:szCs w:val="20"/>
              </w:rPr>
            </w:pPr>
            <w:r w:rsidRPr="00312393">
              <w:rPr>
                <w:rFonts w:eastAsia="Arial"/>
                <w:b/>
                <w:bCs/>
                <w:sz w:val="20"/>
                <w:szCs w:val="20"/>
              </w:rPr>
              <w:t>‘Encontrándose en las situaciones a), b) o d) mencionadas anteriormente</w:t>
            </w:r>
            <w:r w:rsidRPr="00312393">
              <w:rPr>
                <w:rFonts w:eastAsia="Arial"/>
                <w:sz w:val="20"/>
                <w:szCs w:val="20"/>
              </w:rPr>
              <w:t xml:space="preserve">, la farmacia o almacén farmacéutico que se trate </w:t>
            </w:r>
            <w:r w:rsidRPr="00312393">
              <w:rPr>
                <w:rFonts w:eastAsia="Arial"/>
                <w:b/>
                <w:bCs/>
                <w:sz w:val="20"/>
                <w:szCs w:val="20"/>
              </w:rPr>
              <w:t>podrá</w:t>
            </w:r>
            <w:r w:rsidRPr="00312393">
              <w:rPr>
                <w:rFonts w:eastAsia="Arial"/>
                <w:sz w:val="20"/>
                <w:szCs w:val="20"/>
              </w:rPr>
              <w:t xml:space="preserve"> solicitar a la Central los </w:t>
            </w:r>
            <w:r w:rsidRPr="00312393">
              <w:rPr>
                <w:rFonts w:eastAsia="Arial"/>
                <w:b/>
                <w:bCs/>
                <w:sz w:val="20"/>
                <w:szCs w:val="20"/>
              </w:rPr>
              <w:t>productos sanitarios</w:t>
            </w:r>
            <w:r w:rsidRPr="00312393">
              <w:rPr>
                <w:rFonts w:eastAsia="Arial"/>
                <w:sz w:val="20"/>
                <w:szCs w:val="20"/>
              </w:rPr>
              <w:t xml:space="preserve"> que sean necesarios para el adecuado abastecimiento de la población. La Central evaluará la solicitud y, en caso de ser aprobada, procederá a la provisión de los</w:t>
            </w:r>
            <w:r w:rsidRPr="00312393">
              <w:rPr>
                <w:rFonts w:eastAsia="Arial"/>
                <w:b/>
                <w:bCs/>
                <w:sz w:val="20"/>
                <w:szCs w:val="20"/>
              </w:rPr>
              <w:t xml:space="preserve"> productos sanitarios</w:t>
            </w:r>
            <w:r w:rsidRPr="00312393">
              <w:rPr>
                <w:rFonts w:eastAsia="Arial"/>
                <w:sz w:val="20"/>
                <w:szCs w:val="20"/>
              </w:rPr>
              <w:t xml:space="preserve"> según las reglas generales. Para ello, podrá acumular la demanda a la de los establecimientos del Sistema.’.</w:t>
            </w:r>
          </w:p>
          <w:p w14:paraId="1DDAF298" w14:textId="77777777" w:rsidR="00312393" w:rsidRDefault="00312393" w:rsidP="00312393">
            <w:pPr>
              <w:rPr>
                <w:rFonts w:eastAsia="Arial"/>
                <w:sz w:val="20"/>
                <w:szCs w:val="20"/>
              </w:rPr>
            </w:pPr>
          </w:p>
          <w:p w14:paraId="739977CC" w14:textId="77777777" w:rsidR="00147601" w:rsidRPr="00312393" w:rsidRDefault="00147601" w:rsidP="00312393">
            <w:pPr>
              <w:rPr>
                <w:rFonts w:eastAsia="Arial"/>
                <w:sz w:val="20"/>
                <w:szCs w:val="20"/>
              </w:rPr>
            </w:pPr>
          </w:p>
          <w:p w14:paraId="6195D15B"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 xml:space="preserve">Ricardo Celis, Crispi, Labra y Mix. </w:t>
            </w:r>
            <w:r w:rsidRPr="00312393">
              <w:rPr>
                <w:rFonts w:eastAsia="Arial"/>
                <w:sz w:val="20"/>
                <w:szCs w:val="20"/>
              </w:rPr>
              <w:t>Para intercalar en el inciso segundo del artículo 70 bis a continuación del segundo punto seguido, la siguiente oración: </w:t>
            </w:r>
          </w:p>
          <w:p w14:paraId="4B8D80D3" w14:textId="77777777" w:rsidR="00804002" w:rsidRPr="00312393" w:rsidRDefault="3B7B5A4E" w:rsidP="00312393">
            <w:pPr>
              <w:rPr>
                <w:rFonts w:eastAsia="Arial"/>
                <w:sz w:val="20"/>
                <w:szCs w:val="20"/>
              </w:rPr>
            </w:pPr>
            <w:r w:rsidRPr="00312393">
              <w:rPr>
                <w:rFonts w:eastAsia="Arial"/>
                <w:sz w:val="20"/>
                <w:szCs w:val="20"/>
              </w:rPr>
              <w:t>“En contra de la resolución que rechaza la solicitud procederá el recurso de reposición”</w:t>
            </w:r>
          </w:p>
          <w:p w14:paraId="0E9406A8" w14:textId="77777777" w:rsidR="00804002" w:rsidRDefault="00804002" w:rsidP="00312393">
            <w:pPr>
              <w:rPr>
                <w:rFonts w:eastAsia="Arial"/>
                <w:sz w:val="20"/>
                <w:szCs w:val="20"/>
              </w:rPr>
            </w:pPr>
          </w:p>
          <w:p w14:paraId="5FD01300" w14:textId="77777777" w:rsidR="00147601" w:rsidRPr="00312393" w:rsidRDefault="00147601" w:rsidP="00312393">
            <w:pPr>
              <w:rPr>
                <w:rFonts w:eastAsia="Arial"/>
                <w:sz w:val="20"/>
                <w:szCs w:val="20"/>
              </w:rPr>
            </w:pPr>
          </w:p>
          <w:p w14:paraId="4C75DB23"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 xml:space="preserve">Ricardo Celis, Crispi, Labra y Mix. </w:t>
            </w:r>
            <w:r w:rsidRPr="00312393">
              <w:rPr>
                <w:rFonts w:eastAsia="Arial"/>
                <w:sz w:val="20"/>
                <w:szCs w:val="20"/>
              </w:rPr>
              <w:t>Para incorporar en el inciso segundo del artículo 70 bis los siguientes párrafos finales, del siguiente tenor:</w:t>
            </w:r>
          </w:p>
          <w:p w14:paraId="6064BC62" w14:textId="77777777" w:rsidR="00804002" w:rsidRPr="00312393" w:rsidRDefault="3B7B5A4E" w:rsidP="00312393">
            <w:pPr>
              <w:rPr>
                <w:rFonts w:eastAsia="Arial"/>
                <w:sz w:val="20"/>
                <w:szCs w:val="20"/>
              </w:rPr>
            </w:pPr>
            <w:r w:rsidRPr="00312393">
              <w:rPr>
                <w:rFonts w:eastAsia="Arial"/>
                <w:sz w:val="20"/>
                <w:szCs w:val="20"/>
              </w:rPr>
              <w:t>“En ningún caso la Central podrá realizar algún tipo de distinción arbitraria entre las farmacias o almacenes farmacéuticas en el marco de las funciones descritas anteriormente. </w:t>
            </w:r>
          </w:p>
          <w:p w14:paraId="139BE04F" w14:textId="77777777" w:rsidR="00804002" w:rsidRDefault="3B7B5A4E" w:rsidP="00FB72B0">
            <w:pPr>
              <w:rPr>
                <w:rFonts w:eastAsia="Arial"/>
                <w:sz w:val="20"/>
                <w:szCs w:val="20"/>
              </w:rPr>
            </w:pPr>
            <w:r w:rsidRPr="00312393">
              <w:rPr>
                <w:rFonts w:eastAsia="Arial"/>
                <w:sz w:val="20"/>
                <w:szCs w:val="20"/>
              </w:rPr>
              <w:t>Mismas funciones podrá ejercer La Central para el caso de Instituciones u organizaciones sin fines de lucro vinculadas con prestaciones de salud; personas naturales con tratamientos de alto o mediano costo acreditado, sin cobertura nacional y no incluidos en la Ley N° 20. 850 (Ricarte Soto), instituciones sociales acreditadas y sin fines de lucro, que soliciten la intermediación para un tercero con tratamiento acreditado.”.</w:t>
            </w:r>
          </w:p>
          <w:p w14:paraId="43198F94" w14:textId="77777777" w:rsidR="00014A34" w:rsidRDefault="00014A34" w:rsidP="00FB72B0">
            <w:pPr>
              <w:rPr>
                <w:rFonts w:eastAsia="Arial"/>
                <w:sz w:val="20"/>
                <w:szCs w:val="20"/>
              </w:rPr>
            </w:pPr>
          </w:p>
          <w:p w14:paraId="5DF8EEF8" w14:textId="77777777" w:rsidR="007F01CA" w:rsidRPr="00312393" w:rsidRDefault="007F01CA" w:rsidP="00FB72B0">
            <w:pPr>
              <w:rPr>
                <w:rFonts w:eastAsia="Arial"/>
                <w:sz w:val="20"/>
                <w:szCs w:val="20"/>
              </w:rPr>
            </w:pPr>
          </w:p>
        </w:tc>
      </w:tr>
      <w:tr w:rsidR="00FB72B0" w:rsidRPr="00312393" w14:paraId="6627FC8D" w14:textId="77777777" w:rsidTr="00FB72B0">
        <w:tc>
          <w:tcPr>
            <w:tcW w:w="7939" w:type="dxa"/>
            <w:tcBorders>
              <w:top w:val="nil"/>
              <w:bottom w:val="nil"/>
            </w:tcBorders>
          </w:tcPr>
          <w:p w14:paraId="0D551C36" w14:textId="77777777" w:rsidR="00FB72B0" w:rsidRPr="00312393" w:rsidRDefault="00FB72B0" w:rsidP="00312393">
            <w:pPr>
              <w:rPr>
                <w:sz w:val="20"/>
                <w:szCs w:val="20"/>
              </w:rPr>
            </w:pPr>
          </w:p>
        </w:tc>
        <w:tc>
          <w:tcPr>
            <w:tcW w:w="7939" w:type="dxa"/>
            <w:tcBorders>
              <w:bottom w:val="nil"/>
            </w:tcBorders>
          </w:tcPr>
          <w:p w14:paraId="15280376" w14:textId="77777777" w:rsidR="00FB72B0" w:rsidRPr="00312393" w:rsidRDefault="00FB72B0" w:rsidP="00FB72B0">
            <w:pPr>
              <w:pStyle w:val="Prrafodelista"/>
              <w:numPr>
                <w:ilvl w:val="0"/>
                <w:numId w:val="1"/>
              </w:numPr>
              <w:rPr>
                <w:rFonts w:eastAsia="Arial"/>
                <w:sz w:val="20"/>
                <w:szCs w:val="20"/>
              </w:rPr>
            </w:pPr>
            <w:r w:rsidRPr="00312393">
              <w:rPr>
                <w:rFonts w:eastAsia="Arial"/>
                <w:b/>
                <w:bCs/>
                <w:sz w:val="20"/>
                <w:szCs w:val="20"/>
              </w:rPr>
              <w:t xml:space="preserve">Castro. </w:t>
            </w:r>
            <w:r w:rsidRPr="00312393">
              <w:rPr>
                <w:rFonts w:eastAsia="Arial"/>
                <w:sz w:val="20"/>
                <w:szCs w:val="20"/>
              </w:rPr>
              <w:t>Incorpórese un nuevo inciso tercero, pasando el actual a ser el cuarto y así sucesivamente:</w:t>
            </w:r>
          </w:p>
          <w:p w14:paraId="3B19700D" w14:textId="77777777" w:rsidR="00FB72B0" w:rsidRDefault="00FB72B0" w:rsidP="00FB72B0">
            <w:pPr>
              <w:rPr>
                <w:rFonts w:eastAsia="Arial"/>
                <w:sz w:val="20"/>
                <w:szCs w:val="20"/>
              </w:rPr>
            </w:pPr>
            <w:r w:rsidRPr="00312393">
              <w:rPr>
                <w:rFonts w:eastAsia="Arial"/>
                <w:sz w:val="20"/>
                <w:szCs w:val="20"/>
              </w:rPr>
              <w:t>‘Encontrándose en la situación c), posterior a la determinación de inaccesibilidad de determinado producto sanitario por parte de la subsecretaria de salud pública; la farmacia o almacén farmacéutico que se trate podrá solicitar a la Central los productos sanitarios que sean necesarios para el adecuado abastecimiento de la población. La Central evaluará la solicitud y, en caso de ser aprobada, procederá a la provisión de los productos sanitarios según las reglas generales. Para ello, podrá acumular la demanda a la de los establecimientos del Sistema.’.</w:t>
            </w:r>
          </w:p>
          <w:p w14:paraId="59EC86AD" w14:textId="77777777" w:rsidR="00FB72B0" w:rsidRDefault="00FB72B0" w:rsidP="00FB72B0">
            <w:pPr>
              <w:rPr>
                <w:rFonts w:eastAsia="Arial"/>
                <w:sz w:val="20"/>
                <w:szCs w:val="20"/>
              </w:rPr>
            </w:pPr>
          </w:p>
          <w:p w14:paraId="61F78086" w14:textId="77777777" w:rsidR="00FB72B0" w:rsidRPr="00312393" w:rsidRDefault="00FB72B0" w:rsidP="00FB72B0">
            <w:pPr>
              <w:rPr>
                <w:rFonts w:eastAsia="Arial"/>
                <w:sz w:val="20"/>
                <w:szCs w:val="20"/>
              </w:rPr>
            </w:pPr>
          </w:p>
          <w:p w14:paraId="6F0A812C" w14:textId="77777777" w:rsidR="00FB72B0" w:rsidRPr="00312393" w:rsidRDefault="00FB72B0" w:rsidP="00FB72B0">
            <w:pPr>
              <w:pStyle w:val="Prrafodelista"/>
              <w:numPr>
                <w:ilvl w:val="0"/>
                <w:numId w:val="1"/>
              </w:numPr>
              <w:rPr>
                <w:rFonts w:eastAsia="Arial"/>
                <w:sz w:val="20"/>
                <w:szCs w:val="20"/>
              </w:rPr>
            </w:pPr>
            <w:r w:rsidRPr="00312393">
              <w:rPr>
                <w:rFonts w:eastAsia="Arial"/>
                <w:b/>
                <w:bCs/>
                <w:sz w:val="20"/>
                <w:szCs w:val="20"/>
              </w:rPr>
              <w:t>Ricardo Celis, Crispi, Labra y Mix.</w:t>
            </w:r>
            <w:r w:rsidRPr="00312393">
              <w:rPr>
                <w:rFonts w:eastAsia="Arial"/>
                <w:sz w:val="20"/>
                <w:szCs w:val="20"/>
              </w:rPr>
              <w:t xml:space="preserve"> P</w:t>
            </w:r>
            <w:r>
              <w:rPr>
                <w:rFonts w:eastAsia="Arial"/>
                <w:sz w:val="20"/>
                <w:szCs w:val="20"/>
              </w:rPr>
              <w:t>ara incorporar un nuevo inciso tercero y cuarto,</w:t>
            </w:r>
            <w:r w:rsidRPr="00312393">
              <w:rPr>
                <w:rFonts w:eastAsia="Arial"/>
                <w:sz w:val="20"/>
                <w:szCs w:val="20"/>
              </w:rPr>
              <w:t xml:space="preserve"> pasando los actuales en orden correlativo, del siguiente tenor:</w:t>
            </w:r>
          </w:p>
          <w:p w14:paraId="010A75CA" w14:textId="77777777" w:rsidR="00FB72B0" w:rsidRPr="00312393" w:rsidRDefault="00FB72B0" w:rsidP="00FB72B0">
            <w:pPr>
              <w:rPr>
                <w:rFonts w:eastAsia="Arial"/>
                <w:sz w:val="20"/>
                <w:szCs w:val="20"/>
              </w:rPr>
            </w:pPr>
            <w:r>
              <w:rPr>
                <w:rFonts w:eastAsia="Arial"/>
                <w:sz w:val="20"/>
                <w:szCs w:val="20"/>
              </w:rPr>
              <w:lastRenderedPageBreak/>
              <w:t>“</w:t>
            </w:r>
            <w:r w:rsidRPr="00312393">
              <w:rPr>
                <w:rFonts w:eastAsia="Arial"/>
                <w:sz w:val="20"/>
                <w:szCs w:val="20"/>
              </w:rPr>
              <w:t>En el caso de utilizar mecanismos de compras internacionales o importaciones, la Central de Abastecimiento del Sistema Nacional de Servicios de Salud, por resolución fundada y por razones de práctica o regulación comercial internacional, podrá exceptuarse de algunas de las obligaciones contenidas en la ley N° 19.886 y su reglamento, tales como la suscripción de contrato o garantías de fiel cumplimiento de contrato.</w:t>
            </w:r>
          </w:p>
          <w:p w14:paraId="09558327" w14:textId="77777777" w:rsidR="00FB72B0" w:rsidRPr="00312393" w:rsidRDefault="00FB72B0" w:rsidP="00FB72B0">
            <w:pPr>
              <w:rPr>
                <w:rFonts w:eastAsia="Arial"/>
                <w:sz w:val="20"/>
                <w:szCs w:val="20"/>
              </w:rPr>
            </w:pPr>
            <w:r>
              <w:rPr>
                <w:rFonts w:eastAsia="Arial"/>
                <w:sz w:val="20"/>
                <w:szCs w:val="20"/>
              </w:rPr>
              <w:t xml:space="preserve">  </w:t>
            </w:r>
            <w:r w:rsidRPr="00312393">
              <w:rPr>
                <w:rFonts w:eastAsia="Arial"/>
                <w:sz w:val="20"/>
                <w:szCs w:val="20"/>
              </w:rPr>
              <w:t>Asimismo, respecto de las farmacias, almacenes farmacéuticos privados y demás instituciones sin fines de lucro y/o personas señaladas en este artículo, La Central realizará las intermediaciones y proveerá los productos sanitarios, sin previo pago del anticipo de los gastos que irrogue su importación y/o registro.”.</w:t>
            </w:r>
          </w:p>
          <w:p w14:paraId="30952E8F" w14:textId="77777777" w:rsidR="00FB72B0" w:rsidRPr="00312393" w:rsidRDefault="00FB72B0" w:rsidP="00FB72B0">
            <w:pPr>
              <w:pStyle w:val="Prrafodelista"/>
              <w:ind w:left="0"/>
              <w:rPr>
                <w:rFonts w:eastAsia="Arial"/>
                <w:b/>
                <w:bCs/>
                <w:sz w:val="20"/>
                <w:szCs w:val="20"/>
              </w:rPr>
            </w:pPr>
          </w:p>
        </w:tc>
      </w:tr>
      <w:tr w:rsidR="00804002" w:rsidRPr="00312393" w14:paraId="16D38E4B" w14:textId="77777777" w:rsidTr="00FB72B0">
        <w:tc>
          <w:tcPr>
            <w:tcW w:w="7939" w:type="dxa"/>
            <w:tcBorders>
              <w:top w:val="nil"/>
              <w:bottom w:val="nil"/>
            </w:tcBorders>
          </w:tcPr>
          <w:p w14:paraId="27109231" w14:textId="77777777" w:rsidR="00804002" w:rsidRPr="00312393" w:rsidRDefault="3B7B5A4E" w:rsidP="00312393">
            <w:pPr>
              <w:rPr>
                <w:sz w:val="20"/>
                <w:szCs w:val="20"/>
              </w:rPr>
            </w:pPr>
            <w:r w:rsidRPr="00312393">
              <w:rPr>
                <w:sz w:val="20"/>
                <w:szCs w:val="20"/>
              </w:rPr>
              <w:lastRenderedPageBreak/>
              <w:t xml:space="preserve">La Central determinará, en el acto de la venta a la farmacia o almacén farmacéutico, el precio máximo de venta al público que podrá cobrar la farmacia o almacén farmacéutico respecto del medicamento adquirido mediante el mecanismo establecido en el presente artículo.  </w:t>
            </w:r>
          </w:p>
          <w:p w14:paraId="41C51F3E" w14:textId="77777777" w:rsidR="00804002" w:rsidRPr="00312393" w:rsidRDefault="00804002" w:rsidP="00312393">
            <w:pPr>
              <w:rPr>
                <w:sz w:val="20"/>
                <w:szCs w:val="20"/>
              </w:rPr>
            </w:pPr>
          </w:p>
        </w:tc>
        <w:tc>
          <w:tcPr>
            <w:tcW w:w="7939" w:type="dxa"/>
            <w:tcBorders>
              <w:top w:val="nil"/>
              <w:bottom w:val="nil"/>
            </w:tcBorders>
          </w:tcPr>
          <w:p w14:paraId="424C6544" w14:textId="77777777" w:rsidR="00804002" w:rsidRDefault="3B7B5A4E" w:rsidP="00312393">
            <w:pPr>
              <w:pStyle w:val="Prrafodelista"/>
              <w:numPr>
                <w:ilvl w:val="0"/>
                <w:numId w:val="1"/>
              </w:numPr>
              <w:rPr>
                <w:rFonts w:eastAsia="Arial"/>
                <w:sz w:val="20"/>
                <w:szCs w:val="20"/>
              </w:rPr>
            </w:pPr>
            <w:r w:rsidRPr="00312393">
              <w:rPr>
                <w:rFonts w:eastAsia="Arial"/>
                <w:b/>
                <w:bCs/>
                <w:sz w:val="20"/>
                <w:szCs w:val="20"/>
              </w:rPr>
              <w:t xml:space="preserve">Ricardo Celis, Crispi, Labra y Mix. </w:t>
            </w:r>
            <w:r w:rsidRPr="00312393">
              <w:rPr>
                <w:rFonts w:eastAsia="Arial"/>
                <w:sz w:val="20"/>
                <w:szCs w:val="20"/>
              </w:rPr>
              <w:t xml:space="preserve">Para incorporar en el inciso tercero (que ha pasado a ser el </w:t>
            </w:r>
            <w:r w:rsidR="0091617E">
              <w:rPr>
                <w:rFonts w:eastAsia="Arial"/>
                <w:sz w:val="20"/>
                <w:szCs w:val="20"/>
              </w:rPr>
              <w:t>quinto)</w:t>
            </w:r>
            <w:r w:rsidRPr="00312393">
              <w:rPr>
                <w:rFonts w:eastAsia="Arial"/>
                <w:sz w:val="20"/>
                <w:szCs w:val="20"/>
              </w:rPr>
              <w:t xml:space="preserve"> del artículo 70 bis un nuevo párrafo final del siguiente tenor:</w:t>
            </w:r>
          </w:p>
          <w:p w14:paraId="07D5B015" w14:textId="77777777" w:rsidR="00147601" w:rsidRDefault="00147601" w:rsidP="00391F70">
            <w:pPr>
              <w:rPr>
                <w:rFonts w:eastAsia="Arial"/>
                <w:sz w:val="20"/>
                <w:szCs w:val="20"/>
              </w:rPr>
            </w:pPr>
          </w:p>
          <w:p w14:paraId="2BD0C8F5" w14:textId="77777777" w:rsidR="00804002" w:rsidRPr="00312393" w:rsidRDefault="3B7B5A4E" w:rsidP="00312393">
            <w:pPr>
              <w:rPr>
                <w:rFonts w:eastAsia="Arial"/>
                <w:sz w:val="20"/>
                <w:szCs w:val="20"/>
              </w:rPr>
            </w:pPr>
            <w:r w:rsidRPr="00312393">
              <w:rPr>
                <w:rFonts w:eastAsia="Arial"/>
                <w:sz w:val="20"/>
                <w:szCs w:val="20"/>
              </w:rPr>
              <w:t>“La autoridad sanitaria respectiva será la encargada de fiscalizar el cumplimiento del precio máximo de venta por parte de la farmacia o almacén farmacéutico”.</w:t>
            </w:r>
          </w:p>
          <w:p w14:paraId="03BA22BE" w14:textId="77777777" w:rsidR="00804002" w:rsidRPr="00312393" w:rsidRDefault="00804002" w:rsidP="00312393">
            <w:pPr>
              <w:rPr>
                <w:rFonts w:eastAsia="Arial"/>
                <w:sz w:val="20"/>
                <w:szCs w:val="20"/>
              </w:rPr>
            </w:pPr>
          </w:p>
        </w:tc>
      </w:tr>
      <w:tr w:rsidR="00804002" w:rsidRPr="00312393" w14:paraId="4AED1E20" w14:textId="77777777" w:rsidTr="00112773">
        <w:tc>
          <w:tcPr>
            <w:tcW w:w="7939" w:type="dxa"/>
            <w:tcBorders>
              <w:top w:val="nil"/>
              <w:bottom w:val="single" w:sz="4" w:space="0" w:color="auto"/>
            </w:tcBorders>
          </w:tcPr>
          <w:p w14:paraId="4D06A0B9" w14:textId="77777777" w:rsidR="00804002" w:rsidRPr="00312393" w:rsidRDefault="3B7B5A4E" w:rsidP="00312393">
            <w:pPr>
              <w:rPr>
                <w:sz w:val="20"/>
                <w:szCs w:val="20"/>
              </w:rPr>
            </w:pPr>
            <w:r w:rsidRPr="00312393">
              <w:rPr>
                <w:sz w:val="20"/>
                <w:szCs w:val="20"/>
              </w:rPr>
              <w:t>Todas las ventas que efectúe la Central en virtud de este artículo deberán ser publicadas en su sitio web institucional.”.</w:t>
            </w:r>
          </w:p>
          <w:p w14:paraId="1250AC02" w14:textId="77777777" w:rsidR="00804002" w:rsidRPr="00312393" w:rsidRDefault="00804002" w:rsidP="00312393">
            <w:pPr>
              <w:rPr>
                <w:sz w:val="20"/>
                <w:szCs w:val="20"/>
              </w:rPr>
            </w:pPr>
          </w:p>
        </w:tc>
        <w:tc>
          <w:tcPr>
            <w:tcW w:w="7939" w:type="dxa"/>
            <w:tcBorders>
              <w:top w:val="nil"/>
              <w:bottom w:val="single" w:sz="4" w:space="0" w:color="auto"/>
            </w:tcBorders>
          </w:tcPr>
          <w:p w14:paraId="3BE37130" w14:textId="77777777" w:rsidR="00804002" w:rsidRPr="00312393" w:rsidRDefault="3B7B5A4E" w:rsidP="00312393">
            <w:pPr>
              <w:pStyle w:val="Prrafodelista"/>
              <w:numPr>
                <w:ilvl w:val="0"/>
                <w:numId w:val="1"/>
              </w:numPr>
              <w:rPr>
                <w:rFonts w:eastAsia="Arial"/>
                <w:sz w:val="20"/>
                <w:szCs w:val="20"/>
              </w:rPr>
            </w:pPr>
            <w:r w:rsidRPr="00312393">
              <w:rPr>
                <w:rFonts w:eastAsia="Arial"/>
                <w:b/>
                <w:bCs/>
                <w:sz w:val="20"/>
                <w:szCs w:val="20"/>
              </w:rPr>
              <w:t xml:space="preserve">Castro. </w:t>
            </w:r>
            <w:r w:rsidRPr="00312393">
              <w:rPr>
                <w:rFonts w:eastAsia="Arial"/>
                <w:sz w:val="20"/>
                <w:szCs w:val="20"/>
              </w:rPr>
              <w:t>Reemplácese el inciso cuarto del artículo 70 bis, por el siguiente:</w:t>
            </w:r>
          </w:p>
          <w:p w14:paraId="1F7A1B93" w14:textId="77777777" w:rsidR="00804002" w:rsidRPr="00312393" w:rsidRDefault="00804002" w:rsidP="00312393">
            <w:pPr>
              <w:rPr>
                <w:rFonts w:eastAsia="Arial"/>
                <w:sz w:val="20"/>
                <w:szCs w:val="20"/>
              </w:rPr>
            </w:pPr>
          </w:p>
          <w:p w14:paraId="2A80A7C7" w14:textId="77777777" w:rsidR="00804002" w:rsidRPr="00312393" w:rsidRDefault="3B7B5A4E" w:rsidP="00312393">
            <w:pPr>
              <w:rPr>
                <w:rFonts w:eastAsia="Arial"/>
                <w:sz w:val="20"/>
                <w:szCs w:val="20"/>
              </w:rPr>
            </w:pPr>
            <w:r w:rsidRPr="00312393">
              <w:rPr>
                <w:rFonts w:eastAsia="Arial"/>
                <w:sz w:val="20"/>
                <w:szCs w:val="20"/>
              </w:rPr>
              <w:t>‘La Central deberá constituir un panel de expertos conformado por:</w:t>
            </w:r>
          </w:p>
          <w:p w14:paraId="24B13AD0" w14:textId="77777777" w:rsidR="00804002" w:rsidRPr="00312393" w:rsidRDefault="3B7B5A4E" w:rsidP="00312393">
            <w:pPr>
              <w:pStyle w:val="Prrafodelista"/>
              <w:numPr>
                <w:ilvl w:val="0"/>
                <w:numId w:val="6"/>
              </w:numPr>
              <w:contextualSpacing w:val="0"/>
              <w:rPr>
                <w:sz w:val="20"/>
                <w:szCs w:val="20"/>
              </w:rPr>
            </w:pPr>
            <w:r w:rsidRPr="00312393">
              <w:rPr>
                <w:rFonts w:eastAsia="Arial"/>
                <w:sz w:val="20"/>
                <w:szCs w:val="20"/>
              </w:rPr>
              <w:t xml:space="preserve">Director de CENABAST o quien este designe, </w:t>
            </w:r>
          </w:p>
          <w:p w14:paraId="3E29F5E9" w14:textId="77777777" w:rsidR="00804002" w:rsidRPr="00312393" w:rsidRDefault="3B7B5A4E" w:rsidP="00312393">
            <w:pPr>
              <w:pStyle w:val="Prrafodelista"/>
              <w:numPr>
                <w:ilvl w:val="0"/>
                <w:numId w:val="6"/>
              </w:numPr>
              <w:contextualSpacing w:val="0"/>
              <w:rPr>
                <w:sz w:val="20"/>
                <w:szCs w:val="20"/>
              </w:rPr>
            </w:pPr>
            <w:r w:rsidRPr="00312393">
              <w:rPr>
                <w:rFonts w:eastAsia="Arial"/>
                <w:sz w:val="20"/>
                <w:szCs w:val="20"/>
              </w:rPr>
              <w:t xml:space="preserve">Un representante del director de Fonasa, </w:t>
            </w:r>
          </w:p>
          <w:p w14:paraId="6ACBB5E5" w14:textId="77777777" w:rsidR="00804002" w:rsidRPr="00312393" w:rsidRDefault="3B7B5A4E" w:rsidP="00312393">
            <w:pPr>
              <w:pStyle w:val="Prrafodelista"/>
              <w:numPr>
                <w:ilvl w:val="0"/>
                <w:numId w:val="6"/>
              </w:numPr>
              <w:contextualSpacing w:val="0"/>
              <w:rPr>
                <w:sz w:val="20"/>
                <w:szCs w:val="20"/>
              </w:rPr>
            </w:pPr>
            <w:r w:rsidRPr="00312393">
              <w:rPr>
                <w:rFonts w:eastAsia="Arial"/>
                <w:sz w:val="20"/>
                <w:szCs w:val="20"/>
              </w:rPr>
              <w:t>Un representante del director del Instituto de Salud Pública,</w:t>
            </w:r>
          </w:p>
          <w:p w14:paraId="240E129F" w14:textId="77777777" w:rsidR="00804002" w:rsidRPr="00312393" w:rsidRDefault="3B7B5A4E" w:rsidP="00112773">
            <w:pPr>
              <w:pStyle w:val="Prrafodelista"/>
              <w:numPr>
                <w:ilvl w:val="0"/>
                <w:numId w:val="6"/>
              </w:numPr>
              <w:contextualSpacing w:val="0"/>
              <w:rPr>
                <w:rFonts w:eastAsia="Arial"/>
                <w:sz w:val="20"/>
                <w:szCs w:val="20"/>
              </w:rPr>
            </w:pPr>
            <w:r w:rsidRPr="00112773">
              <w:rPr>
                <w:rFonts w:eastAsia="Arial"/>
                <w:sz w:val="20"/>
                <w:szCs w:val="20"/>
              </w:rPr>
              <w:t>Un representante del Fiscal Nacional Económico, y</w:t>
            </w:r>
          </w:p>
        </w:tc>
      </w:tr>
      <w:tr w:rsidR="00FB72B0" w:rsidRPr="00312393" w14:paraId="534D7903" w14:textId="77777777" w:rsidTr="00112773">
        <w:tc>
          <w:tcPr>
            <w:tcW w:w="7939" w:type="dxa"/>
            <w:tcBorders>
              <w:bottom w:val="nil"/>
            </w:tcBorders>
          </w:tcPr>
          <w:p w14:paraId="05A98C98" w14:textId="77777777" w:rsidR="00FB72B0" w:rsidRPr="00312393" w:rsidRDefault="00FB72B0" w:rsidP="00312393">
            <w:pPr>
              <w:rPr>
                <w:sz w:val="20"/>
                <w:szCs w:val="20"/>
              </w:rPr>
            </w:pPr>
          </w:p>
        </w:tc>
        <w:tc>
          <w:tcPr>
            <w:tcW w:w="7939" w:type="dxa"/>
            <w:tcBorders>
              <w:bottom w:val="nil"/>
            </w:tcBorders>
          </w:tcPr>
          <w:p w14:paraId="548343F6" w14:textId="77777777" w:rsidR="00112773" w:rsidRPr="00112773" w:rsidRDefault="00112773" w:rsidP="00112773">
            <w:pPr>
              <w:pStyle w:val="Prrafodelista"/>
              <w:numPr>
                <w:ilvl w:val="0"/>
                <w:numId w:val="6"/>
              </w:numPr>
              <w:rPr>
                <w:rFonts w:eastAsia="Arial"/>
                <w:bCs/>
                <w:sz w:val="20"/>
                <w:szCs w:val="20"/>
              </w:rPr>
            </w:pPr>
            <w:r w:rsidRPr="00112773">
              <w:rPr>
                <w:rFonts w:eastAsia="Arial"/>
                <w:bCs/>
                <w:sz w:val="20"/>
                <w:szCs w:val="20"/>
              </w:rPr>
              <w:t>Tres Economistas con experiencia demostrada en mercado regulados y uno al menos con conocimientos en economía de la salud.</w:t>
            </w:r>
          </w:p>
          <w:p w14:paraId="4AD31CAB" w14:textId="77777777" w:rsidR="00112773" w:rsidRPr="00112773" w:rsidRDefault="00112773" w:rsidP="00112773">
            <w:pPr>
              <w:rPr>
                <w:rFonts w:eastAsia="Arial"/>
                <w:bCs/>
                <w:sz w:val="20"/>
                <w:szCs w:val="20"/>
              </w:rPr>
            </w:pPr>
            <w:r w:rsidRPr="00112773">
              <w:rPr>
                <w:rFonts w:eastAsia="Arial"/>
                <w:bCs/>
                <w:sz w:val="20"/>
                <w:szCs w:val="20"/>
              </w:rPr>
              <w:t>Quienes fijarán, de acuerdo con la duración de las licitaciones que realice CENABAST, el precio máximo de venta al público que podrán cobrar la farmacia o almacén farmacéutico respecto de los medicamentos adquiridos mediante el mecanismo establecido en el presente artículo.’.</w:t>
            </w:r>
          </w:p>
          <w:p w14:paraId="1FFF9FF8" w14:textId="77777777" w:rsidR="00112773" w:rsidRPr="00112773" w:rsidRDefault="00112773" w:rsidP="00112773">
            <w:pPr>
              <w:pStyle w:val="Prrafodelista"/>
              <w:rPr>
                <w:rFonts w:eastAsia="Arial"/>
                <w:bCs/>
                <w:sz w:val="20"/>
                <w:szCs w:val="20"/>
              </w:rPr>
            </w:pPr>
          </w:p>
          <w:p w14:paraId="2CA8AA63" w14:textId="77777777" w:rsidR="00112773" w:rsidRPr="00112773" w:rsidRDefault="00112773" w:rsidP="00112773">
            <w:pPr>
              <w:pStyle w:val="Prrafodelista"/>
              <w:numPr>
                <w:ilvl w:val="0"/>
                <w:numId w:val="1"/>
              </w:numPr>
              <w:rPr>
                <w:rFonts w:eastAsia="Arial"/>
                <w:bCs/>
                <w:sz w:val="20"/>
                <w:szCs w:val="20"/>
              </w:rPr>
            </w:pPr>
            <w:r w:rsidRPr="00112773">
              <w:rPr>
                <w:rFonts w:eastAsia="Arial"/>
                <w:bCs/>
                <w:sz w:val="20"/>
                <w:szCs w:val="20"/>
              </w:rPr>
              <w:t>Ricardo Celis, Crispi, Labra y Mix. Para incorporar en el inciso cuarto (que ha pasado a ser el sexto) del artículo 70 bis un nuevo párrafo final del siguiente tenor:</w:t>
            </w:r>
          </w:p>
          <w:p w14:paraId="5D9D61C5" w14:textId="77777777" w:rsidR="00112773" w:rsidRPr="00112773" w:rsidRDefault="00112773" w:rsidP="00112773">
            <w:pPr>
              <w:rPr>
                <w:rFonts w:eastAsia="Arial"/>
                <w:bCs/>
                <w:sz w:val="20"/>
                <w:szCs w:val="20"/>
              </w:rPr>
            </w:pPr>
            <w:r w:rsidRPr="00112773">
              <w:rPr>
                <w:rFonts w:eastAsia="Arial"/>
                <w:bCs/>
                <w:sz w:val="20"/>
                <w:szCs w:val="20"/>
              </w:rPr>
              <w:t>“Anualmente la Central deberá publicar un informe en el cual se detalle las ventas, con las respectivas circunstancias, realizadas en el marco de este artículo”.</w:t>
            </w:r>
          </w:p>
          <w:p w14:paraId="79BC992E" w14:textId="77777777" w:rsidR="00FB72B0" w:rsidRPr="00312393" w:rsidRDefault="00FB72B0" w:rsidP="00FB72B0">
            <w:pPr>
              <w:pStyle w:val="Prrafodelista"/>
              <w:ind w:left="0"/>
              <w:rPr>
                <w:rFonts w:eastAsia="Arial"/>
                <w:b/>
                <w:bCs/>
                <w:sz w:val="20"/>
                <w:szCs w:val="20"/>
              </w:rPr>
            </w:pPr>
          </w:p>
        </w:tc>
      </w:tr>
      <w:tr w:rsidR="3B7B5A4E" w:rsidRPr="00312393" w14:paraId="00FC54CE" w14:textId="77777777" w:rsidTr="00112773">
        <w:tc>
          <w:tcPr>
            <w:tcW w:w="7939" w:type="dxa"/>
            <w:tcBorders>
              <w:top w:val="nil"/>
              <w:bottom w:val="nil"/>
            </w:tcBorders>
          </w:tcPr>
          <w:p w14:paraId="5E28594E" w14:textId="77777777" w:rsidR="3B7B5A4E" w:rsidRPr="00312393" w:rsidRDefault="3B7B5A4E" w:rsidP="00312393">
            <w:pPr>
              <w:rPr>
                <w:sz w:val="20"/>
                <w:szCs w:val="20"/>
              </w:rPr>
            </w:pPr>
          </w:p>
        </w:tc>
        <w:tc>
          <w:tcPr>
            <w:tcW w:w="7939" w:type="dxa"/>
            <w:tcBorders>
              <w:top w:val="nil"/>
              <w:bottom w:val="nil"/>
            </w:tcBorders>
          </w:tcPr>
          <w:p w14:paraId="4CF6F0C8" w14:textId="77777777" w:rsidR="3B7B5A4E" w:rsidRPr="00312393" w:rsidRDefault="3B7B5A4E" w:rsidP="00312393">
            <w:pPr>
              <w:pStyle w:val="Prrafodelista"/>
              <w:numPr>
                <w:ilvl w:val="0"/>
                <w:numId w:val="1"/>
              </w:numPr>
              <w:rPr>
                <w:rFonts w:eastAsia="Arial"/>
                <w:sz w:val="20"/>
                <w:szCs w:val="20"/>
              </w:rPr>
            </w:pPr>
            <w:r w:rsidRPr="00312393">
              <w:rPr>
                <w:rFonts w:eastAsia="Arial"/>
                <w:b/>
                <w:bCs/>
                <w:sz w:val="20"/>
                <w:szCs w:val="20"/>
              </w:rPr>
              <w:t>Castro.</w:t>
            </w:r>
            <w:r w:rsidRPr="00312393">
              <w:rPr>
                <w:rFonts w:eastAsia="Arial"/>
                <w:sz w:val="20"/>
                <w:szCs w:val="20"/>
              </w:rPr>
              <w:t xml:space="preserve"> </w:t>
            </w:r>
            <w:r w:rsidR="00B20696">
              <w:rPr>
                <w:rFonts w:eastAsia="Arial"/>
                <w:sz w:val="20"/>
                <w:szCs w:val="20"/>
              </w:rPr>
              <w:t xml:space="preserve">Incorpórase </w:t>
            </w:r>
            <w:r w:rsidRPr="00312393">
              <w:rPr>
                <w:rFonts w:eastAsia="Arial"/>
                <w:sz w:val="20"/>
                <w:szCs w:val="20"/>
              </w:rPr>
              <w:t>un nuevo inciso quinto pasando el actual a ser el sexto:</w:t>
            </w:r>
          </w:p>
          <w:p w14:paraId="388014A1" w14:textId="77777777" w:rsidR="3B7B5A4E" w:rsidRPr="00312393" w:rsidRDefault="3B7B5A4E" w:rsidP="00312393">
            <w:pPr>
              <w:rPr>
                <w:rFonts w:eastAsia="Arial"/>
                <w:sz w:val="20"/>
                <w:szCs w:val="20"/>
                <w:lang w:val="es-ES"/>
              </w:rPr>
            </w:pPr>
          </w:p>
          <w:p w14:paraId="24A43484" w14:textId="77777777" w:rsidR="3B7B5A4E" w:rsidRPr="00312393" w:rsidRDefault="3B7B5A4E" w:rsidP="00312393">
            <w:pPr>
              <w:rPr>
                <w:rFonts w:eastAsia="Arial"/>
                <w:sz w:val="20"/>
                <w:szCs w:val="20"/>
              </w:rPr>
            </w:pPr>
            <w:r w:rsidRPr="00312393">
              <w:rPr>
                <w:rFonts w:eastAsia="Arial"/>
                <w:sz w:val="20"/>
                <w:szCs w:val="20"/>
              </w:rPr>
              <w:t>‘La Central deberá conformar un Consejo Publico Privado que garantice la adecuada participación ciudadana, integrado por:</w:t>
            </w:r>
          </w:p>
          <w:p w14:paraId="4A7F5F21" w14:textId="77777777" w:rsidR="3B7B5A4E" w:rsidRPr="00312393" w:rsidRDefault="3B7B5A4E" w:rsidP="00312393">
            <w:pPr>
              <w:pStyle w:val="Prrafodelista"/>
              <w:numPr>
                <w:ilvl w:val="0"/>
                <w:numId w:val="5"/>
              </w:numPr>
              <w:contextualSpacing w:val="0"/>
              <w:rPr>
                <w:sz w:val="20"/>
                <w:szCs w:val="20"/>
              </w:rPr>
            </w:pPr>
            <w:r w:rsidRPr="00312393">
              <w:rPr>
                <w:rFonts w:eastAsia="Arial"/>
                <w:sz w:val="20"/>
                <w:szCs w:val="20"/>
              </w:rPr>
              <w:t xml:space="preserve">Director de CENABAST o quien este designe, </w:t>
            </w:r>
          </w:p>
          <w:p w14:paraId="13715127" w14:textId="77777777" w:rsidR="3B7B5A4E" w:rsidRPr="00312393" w:rsidRDefault="3B7B5A4E" w:rsidP="00312393">
            <w:pPr>
              <w:pStyle w:val="Prrafodelista"/>
              <w:numPr>
                <w:ilvl w:val="0"/>
                <w:numId w:val="5"/>
              </w:numPr>
              <w:contextualSpacing w:val="0"/>
              <w:rPr>
                <w:sz w:val="20"/>
                <w:szCs w:val="20"/>
              </w:rPr>
            </w:pPr>
            <w:r w:rsidRPr="00312393">
              <w:rPr>
                <w:rFonts w:eastAsia="Arial"/>
                <w:sz w:val="20"/>
                <w:szCs w:val="20"/>
              </w:rPr>
              <w:t xml:space="preserve">Un representante del director de Fonasa, </w:t>
            </w:r>
          </w:p>
          <w:p w14:paraId="7D4308AD" w14:textId="77777777" w:rsidR="3B7B5A4E" w:rsidRPr="00312393" w:rsidRDefault="3B7B5A4E" w:rsidP="00312393">
            <w:pPr>
              <w:pStyle w:val="Prrafodelista"/>
              <w:numPr>
                <w:ilvl w:val="0"/>
                <w:numId w:val="5"/>
              </w:numPr>
              <w:contextualSpacing w:val="0"/>
              <w:rPr>
                <w:sz w:val="20"/>
                <w:szCs w:val="20"/>
              </w:rPr>
            </w:pPr>
            <w:r w:rsidRPr="00312393">
              <w:rPr>
                <w:rFonts w:eastAsia="Arial"/>
                <w:sz w:val="20"/>
                <w:szCs w:val="20"/>
              </w:rPr>
              <w:t>Un representante del director del Instituto de Salud Pública,</w:t>
            </w:r>
          </w:p>
          <w:p w14:paraId="0FB0C7F1" w14:textId="77777777" w:rsidR="3B7B5A4E" w:rsidRPr="00312393" w:rsidRDefault="3B7B5A4E" w:rsidP="00312393">
            <w:pPr>
              <w:pStyle w:val="Prrafodelista"/>
              <w:numPr>
                <w:ilvl w:val="0"/>
                <w:numId w:val="5"/>
              </w:numPr>
              <w:contextualSpacing w:val="0"/>
              <w:rPr>
                <w:sz w:val="20"/>
                <w:szCs w:val="20"/>
              </w:rPr>
            </w:pPr>
            <w:r w:rsidRPr="00312393">
              <w:rPr>
                <w:rFonts w:eastAsia="Arial"/>
                <w:sz w:val="20"/>
                <w:szCs w:val="20"/>
              </w:rPr>
              <w:t xml:space="preserve">Un representante de cada colegio profesional con capacidad de prescribir y dispensar medicamentos. </w:t>
            </w:r>
          </w:p>
          <w:p w14:paraId="0BF31C08" w14:textId="77777777" w:rsidR="3B7B5A4E" w:rsidRPr="00312393" w:rsidRDefault="3B7B5A4E" w:rsidP="00312393">
            <w:pPr>
              <w:pStyle w:val="Prrafodelista"/>
              <w:numPr>
                <w:ilvl w:val="0"/>
                <w:numId w:val="5"/>
              </w:numPr>
              <w:contextualSpacing w:val="0"/>
              <w:rPr>
                <w:sz w:val="20"/>
                <w:szCs w:val="20"/>
              </w:rPr>
            </w:pPr>
            <w:r w:rsidRPr="00312393">
              <w:rPr>
                <w:rFonts w:eastAsia="Arial"/>
                <w:sz w:val="20"/>
                <w:szCs w:val="20"/>
              </w:rPr>
              <w:t xml:space="preserve">Representantes de al menos dos asociaciones de Farmacias, </w:t>
            </w:r>
          </w:p>
          <w:p w14:paraId="08870A38" w14:textId="77777777" w:rsidR="3B7B5A4E" w:rsidRPr="00312393" w:rsidRDefault="3B7B5A4E" w:rsidP="00312393">
            <w:pPr>
              <w:pStyle w:val="Prrafodelista"/>
              <w:numPr>
                <w:ilvl w:val="0"/>
                <w:numId w:val="5"/>
              </w:numPr>
              <w:contextualSpacing w:val="0"/>
              <w:rPr>
                <w:sz w:val="20"/>
                <w:szCs w:val="20"/>
              </w:rPr>
            </w:pPr>
            <w:r w:rsidRPr="00312393">
              <w:rPr>
                <w:rFonts w:eastAsia="Arial"/>
                <w:sz w:val="20"/>
                <w:szCs w:val="20"/>
              </w:rPr>
              <w:t>Representantes de al menos dos asociaciones de consumidores,</w:t>
            </w:r>
          </w:p>
          <w:p w14:paraId="3F9FB95F" w14:textId="77777777" w:rsidR="3B7B5A4E" w:rsidRPr="00312393" w:rsidRDefault="3B7B5A4E" w:rsidP="00312393">
            <w:pPr>
              <w:rPr>
                <w:rFonts w:eastAsia="Arial"/>
                <w:sz w:val="20"/>
                <w:szCs w:val="20"/>
              </w:rPr>
            </w:pPr>
          </w:p>
          <w:p w14:paraId="6D973FBC" w14:textId="4F4F16D7" w:rsidR="3B7B5A4E" w:rsidRDefault="3B7B5A4E" w:rsidP="00312393">
            <w:pPr>
              <w:rPr>
                <w:rFonts w:eastAsia="Arial"/>
                <w:sz w:val="20"/>
                <w:szCs w:val="20"/>
              </w:rPr>
            </w:pPr>
            <w:r w:rsidRPr="00312393">
              <w:rPr>
                <w:rFonts w:eastAsia="Arial"/>
                <w:sz w:val="20"/>
                <w:szCs w:val="20"/>
              </w:rPr>
              <w:t>Este consejo sesionará semestralmente, para hacer seguimiento y evaluación de la aplicación de esta normativa, para lo cual la Central deberá de entregar antes de cada sesión un informe detallado del total de unidades adquiridas bajo este sistema, así como el total de farmacias y almacenes farmacéuticos que han adquirido productos en el último periodo. Las conclusiones a las que llegue el consejo serán informadas a la Comisión de Salud de la Cámara de Diputados mediante oficio.’.</w:t>
            </w:r>
          </w:p>
          <w:p w14:paraId="5E750169" w14:textId="77777777" w:rsidR="00147601" w:rsidRPr="00312393" w:rsidRDefault="00147601" w:rsidP="00312393">
            <w:pPr>
              <w:rPr>
                <w:rFonts w:eastAsia="Arial"/>
                <w:sz w:val="20"/>
                <w:szCs w:val="20"/>
              </w:rPr>
            </w:pPr>
          </w:p>
          <w:p w14:paraId="49C40B8F" w14:textId="77777777" w:rsidR="3B7B5A4E" w:rsidRPr="00312393" w:rsidRDefault="3B7B5A4E" w:rsidP="00312393">
            <w:pPr>
              <w:rPr>
                <w:rFonts w:eastAsia="Arial"/>
                <w:b/>
                <w:bCs/>
                <w:sz w:val="20"/>
                <w:szCs w:val="20"/>
              </w:rPr>
            </w:pPr>
          </w:p>
        </w:tc>
      </w:tr>
      <w:tr w:rsidR="3B7B5A4E" w:rsidRPr="00312393" w14:paraId="2B4068AE" w14:textId="77777777" w:rsidTr="00112773">
        <w:tc>
          <w:tcPr>
            <w:tcW w:w="7939" w:type="dxa"/>
            <w:tcBorders>
              <w:top w:val="nil"/>
            </w:tcBorders>
          </w:tcPr>
          <w:p w14:paraId="6B4E0CDE" w14:textId="77777777" w:rsidR="3B7B5A4E" w:rsidRPr="00312393" w:rsidRDefault="3B7B5A4E" w:rsidP="00312393">
            <w:pPr>
              <w:rPr>
                <w:sz w:val="20"/>
                <w:szCs w:val="20"/>
              </w:rPr>
            </w:pPr>
          </w:p>
        </w:tc>
        <w:tc>
          <w:tcPr>
            <w:tcW w:w="7939" w:type="dxa"/>
            <w:tcBorders>
              <w:top w:val="nil"/>
            </w:tcBorders>
          </w:tcPr>
          <w:p w14:paraId="2C509D08" w14:textId="77777777" w:rsidR="3B7B5A4E" w:rsidRPr="00312393" w:rsidRDefault="3B7B5A4E" w:rsidP="00312393">
            <w:pPr>
              <w:pStyle w:val="Prrafodelista"/>
              <w:numPr>
                <w:ilvl w:val="0"/>
                <w:numId w:val="1"/>
              </w:numPr>
              <w:rPr>
                <w:rFonts w:eastAsia="Arial"/>
                <w:sz w:val="20"/>
                <w:szCs w:val="20"/>
              </w:rPr>
            </w:pPr>
            <w:r w:rsidRPr="00312393">
              <w:rPr>
                <w:rFonts w:eastAsia="Arial"/>
                <w:b/>
                <w:bCs/>
                <w:sz w:val="20"/>
                <w:szCs w:val="20"/>
              </w:rPr>
              <w:t>Ejecutivo.</w:t>
            </w:r>
            <w:r w:rsidRPr="00312393">
              <w:rPr>
                <w:rFonts w:eastAsia="Arial"/>
                <w:sz w:val="20"/>
                <w:szCs w:val="20"/>
              </w:rPr>
              <w:t xml:space="preserve"> </w:t>
            </w:r>
            <w:r w:rsidRPr="00312393">
              <w:rPr>
                <w:rFonts w:eastAsia="Arial"/>
                <w:sz w:val="20"/>
                <w:szCs w:val="20"/>
                <w:lang w:val="es-ES"/>
              </w:rPr>
              <w:t xml:space="preserve">Agrégase el siguiente inciso final, nuevo: </w:t>
            </w:r>
          </w:p>
          <w:p w14:paraId="2BA50F01" w14:textId="77777777" w:rsidR="00312393" w:rsidRDefault="0091617E" w:rsidP="00B20696">
            <w:pPr>
              <w:rPr>
                <w:rFonts w:eastAsia="Arial"/>
                <w:sz w:val="20"/>
                <w:szCs w:val="20"/>
                <w:lang w:val="es-ES"/>
              </w:rPr>
            </w:pPr>
            <w:r>
              <w:rPr>
                <w:rFonts w:eastAsia="Arial"/>
                <w:sz w:val="20"/>
                <w:szCs w:val="20"/>
                <w:lang w:val="es-ES"/>
              </w:rPr>
              <w:t>“</w:t>
            </w:r>
            <w:r w:rsidR="3B7B5A4E" w:rsidRPr="00312393">
              <w:rPr>
                <w:rFonts w:eastAsia="Arial"/>
                <w:sz w:val="20"/>
                <w:szCs w:val="20"/>
                <w:lang w:val="es-ES"/>
              </w:rPr>
              <w:t>La fiscalización y sanción del incumplimiento a lo dispuesto en el inciso tercero, por parte de farmacias y almacenes farmacéuticos, será efectuada por el Instituto de Salud Pública, conforme a lo dispuesto en el Libro X del Código Sanitario.”.</w:t>
            </w:r>
          </w:p>
          <w:p w14:paraId="763D5DB2" w14:textId="77777777" w:rsidR="00112773" w:rsidRPr="00312393" w:rsidRDefault="00112773" w:rsidP="00B20696">
            <w:pPr>
              <w:rPr>
                <w:rFonts w:eastAsia="Arial"/>
                <w:b/>
                <w:bCs/>
                <w:sz w:val="20"/>
                <w:szCs w:val="20"/>
              </w:rPr>
            </w:pPr>
          </w:p>
        </w:tc>
      </w:tr>
      <w:tr w:rsidR="3B7B5A4E" w:rsidRPr="00312393" w14:paraId="4683A6CE" w14:textId="77777777" w:rsidTr="00072466">
        <w:tc>
          <w:tcPr>
            <w:tcW w:w="7939" w:type="dxa"/>
          </w:tcPr>
          <w:p w14:paraId="60FCAE28" w14:textId="77777777" w:rsidR="3B7B5A4E" w:rsidRPr="00312393" w:rsidRDefault="3B7B5A4E" w:rsidP="00312393">
            <w:pPr>
              <w:rPr>
                <w:sz w:val="20"/>
                <w:szCs w:val="20"/>
              </w:rPr>
            </w:pPr>
          </w:p>
        </w:tc>
        <w:tc>
          <w:tcPr>
            <w:tcW w:w="7939" w:type="dxa"/>
          </w:tcPr>
          <w:p w14:paraId="58B2114B" w14:textId="77777777" w:rsidR="3B7B5A4E" w:rsidRPr="00312393" w:rsidRDefault="3B7B5A4E" w:rsidP="00312393">
            <w:pPr>
              <w:pStyle w:val="Prrafodelista"/>
              <w:numPr>
                <w:ilvl w:val="0"/>
                <w:numId w:val="1"/>
              </w:numPr>
              <w:rPr>
                <w:rFonts w:eastAsia="Arial"/>
                <w:sz w:val="20"/>
                <w:szCs w:val="20"/>
              </w:rPr>
            </w:pPr>
            <w:r w:rsidRPr="00312393">
              <w:rPr>
                <w:rFonts w:eastAsia="Arial"/>
                <w:b/>
                <w:bCs/>
                <w:sz w:val="20"/>
                <w:szCs w:val="20"/>
              </w:rPr>
              <w:t>Ejecutivo.</w:t>
            </w:r>
            <w:r w:rsidRPr="00312393">
              <w:rPr>
                <w:rFonts w:eastAsia="Arial"/>
                <w:sz w:val="20"/>
                <w:szCs w:val="20"/>
              </w:rPr>
              <w:t xml:space="preserve"> Para incorporar un artículo 70 ter, nuevo, del siguiente tenor: </w:t>
            </w:r>
          </w:p>
          <w:p w14:paraId="424E3F24" w14:textId="77777777" w:rsidR="3B7B5A4E" w:rsidRPr="00312393" w:rsidRDefault="3B7B5A4E" w:rsidP="00312393">
            <w:pPr>
              <w:rPr>
                <w:rFonts w:eastAsia="Arial"/>
                <w:sz w:val="20"/>
                <w:szCs w:val="20"/>
              </w:rPr>
            </w:pPr>
            <w:r w:rsidRPr="00312393">
              <w:rPr>
                <w:rFonts w:eastAsia="Arial"/>
                <w:sz w:val="20"/>
                <w:szCs w:val="20"/>
              </w:rPr>
              <w:t>“Artículo 70 ter.- Un reglamento, dictado a través del Ministerio de Salud, el que será suscrito además por el Ministro de Economía, Fomento y Turismo, contendrá las disposiciones complementarias que sean necesarias para la ejecución de lo dispuesto en el artículo precedente.</w:t>
            </w:r>
          </w:p>
          <w:p w14:paraId="4ED91A33" w14:textId="77777777" w:rsidR="00B20696" w:rsidRDefault="00B20696" w:rsidP="00312393">
            <w:pPr>
              <w:rPr>
                <w:rFonts w:eastAsia="Arial"/>
                <w:sz w:val="20"/>
                <w:szCs w:val="20"/>
              </w:rPr>
            </w:pPr>
          </w:p>
          <w:p w14:paraId="79CEF35C" w14:textId="77777777" w:rsidR="3B7B5A4E" w:rsidRPr="00312393" w:rsidRDefault="3B7B5A4E" w:rsidP="00312393">
            <w:pPr>
              <w:rPr>
                <w:rFonts w:eastAsia="Arial"/>
                <w:sz w:val="20"/>
                <w:szCs w:val="20"/>
              </w:rPr>
            </w:pPr>
            <w:r w:rsidRPr="00312393">
              <w:rPr>
                <w:rFonts w:eastAsia="Arial"/>
                <w:sz w:val="20"/>
                <w:szCs w:val="20"/>
              </w:rPr>
              <w:t>Dicho reglamento contendrá, a lo menos, lo siguiente:</w:t>
            </w:r>
          </w:p>
          <w:p w14:paraId="135B12A6" w14:textId="77777777" w:rsidR="3B7B5A4E" w:rsidRPr="00312393" w:rsidRDefault="00B20696" w:rsidP="00312393">
            <w:pPr>
              <w:pStyle w:val="Prrafodelista"/>
              <w:ind w:left="0"/>
              <w:contextualSpacing w:val="0"/>
              <w:rPr>
                <w:sz w:val="20"/>
                <w:szCs w:val="20"/>
              </w:rPr>
            </w:pPr>
            <w:r>
              <w:rPr>
                <w:rFonts w:eastAsia="Arial"/>
                <w:sz w:val="20"/>
                <w:szCs w:val="20"/>
              </w:rPr>
              <w:t xml:space="preserve">  </w:t>
            </w:r>
            <w:r w:rsidR="00312393">
              <w:rPr>
                <w:rFonts w:eastAsia="Arial"/>
                <w:sz w:val="20"/>
                <w:szCs w:val="20"/>
              </w:rPr>
              <w:t xml:space="preserve">a. </w:t>
            </w:r>
            <w:r w:rsidR="3B7B5A4E" w:rsidRPr="00312393">
              <w:rPr>
                <w:rFonts w:eastAsia="Arial"/>
                <w:sz w:val="20"/>
                <w:szCs w:val="20"/>
              </w:rPr>
              <w:t>La forma, condiciones y variables que la Central considerará para efectos de determinar el precio máximo de venta al público, que podrán cobrar las farmacias o almacenes farmacéuticos, según lo dispuesto en el artículo 70 bis.</w:t>
            </w:r>
          </w:p>
          <w:p w14:paraId="27E73875" w14:textId="77777777" w:rsidR="3B7B5A4E" w:rsidRPr="00312393" w:rsidRDefault="00B20696" w:rsidP="00312393">
            <w:pPr>
              <w:rPr>
                <w:rFonts w:eastAsia="Arial"/>
                <w:sz w:val="20"/>
                <w:szCs w:val="20"/>
              </w:rPr>
            </w:pPr>
            <w:r>
              <w:rPr>
                <w:rFonts w:eastAsia="Arial"/>
                <w:sz w:val="20"/>
                <w:szCs w:val="20"/>
              </w:rPr>
              <w:t xml:space="preserve">  </w:t>
            </w:r>
            <w:r w:rsidR="3B7B5A4E" w:rsidRPr="00312393">
              <w:rPr>
                <w:rFonts w:eastAsia="Arial"/>
                <w:sz w:val="20"/>
                <w:szCs w:val="20"/>
              </w:rPr>
              <w:t xml:space="preserve">b. Las condiciones y circunstancias que harán aplicable lo dispuesto en el literal c. del inciso primero del artículo 70 bis, debiendo considerar para estos efectos, a lo menos, el precio del medicamento en aquellos casos en que sea significativamente superior entre localidades equivalentes, y la situación de desabastecimiento, temporal o definitivo, de medicamentos o dispositivos médicos. </w:t>
            </w:r>
          </w:p>
          <w:p w14:paraId="6C6DA549" w14:textId="77777777" w:rsidR="3B7B5A4E" w:rsidRPr="00312393" w:rsidRDefault="00B20696" w:rsidP="00312393">
            <w:pPr>
              <w:rPr>
                <w:rFonts w:eastAsia="Arial"/>
                <w:sz w:val="20"/>
                <w:szCs w:val="20"/>
              </w:rPr>
            </w:pPr>
            <w:r>
              <w:rPr>
                <w:rFonts w:eastAsia="Arial"/>
                <w:sz w:val="20"/>
                <w:szCs w:val="20"/>
              </w:rPr>
              <w:t xml:space="preserve">  </w:t>
            </w:r>
            <w:r w:rsidR="3B7B5A4E" w:rsidRPr="00312393">
              <w:rPr>
                <w:rFonts w:eastAsia="Arial"/>
                <w:sz w:val="20"/>
                <w:szCs w:val="20"/>
              </w:rPr>
              <w:t>c. Las condiciones y circunstancias en que será aplicable lo dispuesto en el literal d. del artículo precedente. El reglamento considerará, a lo menos, lo siguiente:</w:t>
            </w:r>
          </w:p>
          <w:p w14:paraId="456AD7FB" w14:textId="77777777" w:rsidR="3B7B5A4E" w:rsidRPr="00312393" w:rsidRDefault="00B20696" w:rsidP="00312393">
            <w:pPr>
              <w:rPr>
                <w:rFonts w:eastAsia="Arial"/>
                <w:sz w:val="20"/>
                <w:szCs w:val="20"/>
              </w:rPr>
            </w:pPr>
            <w:r>
              <w:rPr>
                <w:rFonts w:eastAsia="Arial"/>
                <w:sz w:val="20"/>
                <w:szCs w:val="20"/>
              </w:rPr>
              <w:t xml:space="preserve">         </w:t>
            </w:r>
            <w:r w:rsidR="3B7B5A4E" w:rsidRPr="00312393">
              <w:rPr>
                <w:rFonts w:eastAsia="Arial"/>
                <w:sz w:val="20"/>
                <w:szCs w:val="20"/>
              </w:rPr>
              <w:t xml:space="preserve">i. Forma de cálculo del precio equivalente de referencia externo. </w:t>
            </w:r>
          </w:p>
          <w:p w14:paraId="2EEC98C4" w14:textId="77777777" w:rsidR="3B7B5A4E" w:rsidRPr="00312393" w:rsidRDefault="00B20696" w:rsidP="00312393">
            <w:pPr>
              <w:rPr>
                <w:rFonts w:eastAsia="Arial"/>
                <w:sz w:val="20"/>
                <w:szCs w:val="20"/>
              </w:rPr>
            </w:pPr>
            <w:r>
              <w:rPr>
                <w:rFonts w:eastAsia="Arial"/>
                <w:sz w:val="20"/>
                <w:szCs w:val="20"/>
              </w:rPr>
              <w:t xml:space="preserve">         </w:t>
            </w:r>
            <w:r w:rsidR="3B7B5A4E" w:rsidRPr="00312393">
              <w:rPr>
                <w:rFonts w:eastAsia="Arial"/>
                <w:sz w:val="20"/>
                <w:szCs w:val="20"/>
              </w:rPr>
              <w:t>ii. Forma en que se compone la canasta para el cálculo del precio equivalente de referencia externo.</w:t>
            </w:r>
          </w:p>
          <w:p w14:paraId="45AD7636" w14:textId="77777777" w:rsidR="3B7B5A4E" w:rsidRPr="00312393" w:rsidRDefault="00B20696" w:rsidP="00312393">
            <w:pPr>
              <w:rPr>
                <w:rFonts w:eastAsia="Arial"/>
                <w:sz w:val="20"/>
                <w:szCs w:val="20"/>
              </w:rPr>
            </w:pPr>
            <w:r>
              <w:rPr>
                <w:rFonts w:eastAsia="Arial"/>
                <w:sz w:val="20"/>
                <w:szCs w:val="20"/>
              </w:rPr>
              <w:t xml:space="preserve">        </w:t>
            </w:r>
            <w:r w:rsidR="3B7B5A4E" w:rsidRPr="00312393">
              <w:rPr>
                <w:rFonts w:eastAsia="Arial"/>
                <w:sz w:val="20"/>
                <w:szCs w:val="20"/>
              </w:rPr>
              <w:t>iii. Determinación de lo que significa una diferencia sustancial en el precio.</w:t>
            </w:r>
          </w:p>
          <w:p w14:paraId="2A9CDBBF" w14:textId="77777777" w:rsidR="3B7B5A4E" w:rsidRPr="00312393" w:rsidRDefault="00B20696" w:rsidP="00312393">
            <w:pPr>
              <w:rPr>
                <w:rFonts w:eastAsia="Arial"/>
                <w:sz w:val="20"/>
                <w:szCs w:val="20"/>
              </w:rPr>
            </w:pPr>
            <w:r>
              <w:rPr>
                <w:rFonts w:eastAsia="Arial"/>
                <w:sz w:val="20"/>
                <w:szCs w:val="20"/>
              </w:rPr>
              <w:t xml:space="preserve">        </w:t>
            </w:r>
            <w:r w:rsidR="3B7B5A4E" w:rsidRPr="00312393">
              <w:rPr>
                <w:rFonts w:eastAsia="Arial"/>
                <w:sz w:val="20"/>
                <w:szCs w:val="20"/>
              </w:rPr>
              <w:t>iv. Forma en la que Central determinará que se cumple con la causal invocada.”.</w:t>
            </w:r>
          </w:p>
          <w:p w14:paraId="5EA6F7F7" w14:textId="77777777" w:rsidR="3B7B5A4E" w:rsidRPr="00312393" w:rsidRDefault="3B7B5A4E" w:rsidP="00312393">
            <w:pPr>
              <w:rPr>
                <w:rFonts w:eastAsia="Arial"/>
                <w:b/>
                <w:bCs/>
                <w:sz w:val="20"/>
                <w:szCs w:val="20"/>
              </w:rPr>
            </w:pPr>
          </w:p>
        </w:tc>
      </w:tr>
      <w:tr w:rsidR="3B7B5A4E" w:rsidRPr="00312393" w14:paraId="6FE42BD9" w14:textId="77777777" w:rsidTr="00371BE6">
        <w:tc>
          <w:tcPr>
            <w:tcW w:w="7939" w:type="dxa"/>
          </w:tcPr>
          <w:p w14:paraId="43A31224" w14:textId="77777777" w:rsidR="3B7B5A4E" w:rsidRPr="00312393" w:rsidRDefault="3B7B5A4E" w:rsidP="00312393">
            <w:pPr>
              <w:rPr>
                <w:sz w:val="20"/>
                <w:szCs w:val="20"/>
              </w:rPr>
            </w:pPr>
          </w:p>
        </w:tc>
        <w:tc>
          <w:tcPr>
            <w:tcW w:w="7939" w:type="dxa"/>
          </w:tcPr>
          <w:p w14:paraId="61FBB8BB" w14:textId="77777777" w:rsidR="3B7B5A4E" w:rsidRPr="00312393" w:rsidRDefault="3B7B5A4E" w:rsidP="00312393">
            <w:pPr>
              <w:pStyle w:val="Prrafodelista"/>
              <w:numPr>
                <w:ilvl w:val="0"/>
                <w:numId w:val="1"/>
              </w:numPr>
              <w:rPr>
                <w:rFonts w:eastAsia="Arial"/>
                <w:sz w:val="20"/>
                <w:szCs w:val="20"/>
              </w:rPr>
            </w:pPr>
            <w:r w:rsidRPr="00312393">
              <w:rPr>
                <w:rFonts w:eastAsia="Arial"/>
                <w:b/>
                <w:bCs/>
                <w:sz w:val="20"/>
                <w:szCs w:val="20"/>
              </w:rPr>
              <w:t>Ejecutivo.</w:t>
            </w:r>
            <w:r w:rsidRPr="00312393">
              <w:rPr>
                <w:rFonts w:eastAsia="Arial"/>
                <w:sz w:val="20"/>
                <w:szCs w:val="20"/>
              </w:rPr>
              <w:t xml:space="preserve"> Para agregar un nuevo artículo 70 quater, del siguiente tenor: </w:t>
            </w:r>
          </w:p>
          <w:p w14:paraId="10EACCFB" w14:textId="77777777" w:rsidR="3B7B5A4E" w:rsidRPr="00312393" w:rsidRDefault="3B7B5A4E" w:rsidP="00312393">
            <w:pPr>
              <w:rPr>
                <w:rFonts w:eastAsia="Arial"/>
                <w:sz w:val="20"/>
                <w:szCs w:val="20"/>
              </w:rPr>
            </w:pPr>
            <w:r w:rsidRPr="00312393">
              <w:rPr>
                <w:rFonts w:eastAsia="Arial"/>
                <w:sz w:val="20"/>
                <w:szCs w:val="20"/>
              </w:rPr>
              <w:lastRenderedPageBreak/>
              <w:t>“Artículo 70 quater.- La Central podrá importar, adquirir, almacenar, distribuir, transportar, arrendar y vender los medicamentos, dispositivos médicos y demás productos necesarios para el cumplimiento de sus funciones y facultades.</w:t>
            </w:r>
          </w:p>
          <w:p w14:paraId="1AC67401" w14:textId="77777777" w:rsidR="3B7B5A4E" w:rsidRPr="00312393" w:rsidRDefault="3B7B5A4E" w:rsidP="00312393">
            <w:pPr>
              <w:rPr>
                <w:rFonts w:eastAsia="Arial"/>
                <w:sz w:val="20"/>
                <w:szCs w:val="20"/>
              </w:rPr>
            </w:pPr>
            <w:r w:rsidRPr="00312393">
              <w:rPr>
                <w:rFonts w:eastAsia="Arial"/>
                <w:sz w:val="20"/>
                <w:szCs w:val="20"/>
              </w:rPr>
              <w:t>Excepcionalmente, en casos calificados por la autoridad sanitaria, o en casos de desabastecimiento de la población, y por razones de práctica o regulación comercial internacional, la Central, mediante resolución fundada del Director, podrá exceptuarse de algunas de las obligaciones contenidas en la ley N° 19.886 y su reglamento, tales como la suscripción de contrato o garantías de fiel cumplimiento de contrato.”.</w:t>
            </w:r>
          </w:p>
          <w:p w14:paraId="4A5D1464" w14:textId="77777777" w:rsidR="3B7B5A4E" w:rsidRPr="00312393" w:rsidRDefault="3B7B5A4E" w:rsidP="00312393">
            <w:pPr>
              <w:rPr>
                <w:rFonts w:eastAsia="Arial"/>
                <w:b/>
                <w:bCs/>
                <w:sz w:val="20"/>
                <w:szCs w:val="20"/>
              </w:rPr>
            </w:pPr>
          </w:p>
        </w:tc>
      </w:tr>
    </w:tbl>
    <w:p w14:paraId="1F7316C6" w14:textId="77777777" w:rsidR="00312393" w:rsidRDefault="00312393">
      <w:pPr>
        <w:rPr>
          <w:sz w:val="20"/>
          <w:szCs w:val="20"/>
        </w:rPr>
      </w:pPr>
      <w:r>
        <w:rPr>
          <w:sz w:val="20"/>
          <w:szCs w:val="20"/>
        </w:rPr>
        <w:lastRenderedPageBreak/>
        <w:br w:type="page"/>
      </w:r>
    </w:p>
    <w:p w14:paraId="1D3D75FC" w14:textId="77777777" w:rsidR="007E3BC7" w:rsidRPr="00312393" w:rsidRDefault="00F20812" w:rsidP="00312393">
      <w:pPr>
        <w:spacing w:before="0" w:after="0"/>
        <w:rPr>
          <w:sz w:val="20"/>
          <w:szCs w:val="20"/>
        </w:rPr>
      </w:pPr>
    </w:p>
    <w:tbl>
      <w:tblPr>
        <w:tblStyle w:val="Tablaconcuadrcula"/>
        <w:tblW w:w="0" w:type="auto"/>
        <w:tblLayout w:type="fixed"/>
        <w:tblLook w:val="06A0" w:firstRow="1" w:lastRow="0" w:firstColumn="1" w:lastColumn="0" w:noHBand="1" w:noVBand="1"/>
      </w:tblPr>
      <w:tblGrid>
        <w:gridCol w:w="7944"/>
        <w:gridCol w:w="7944"/>
      </w:tblGrid>
      <w:tr w:rsidR="3B7B5A4E" w:rsidRPr="00312393" w14:paraId="6FD81123" w14:textId="77777777" w:rsidTr="00312393">
        <w:tc>
          <w:tcPr>
            <w:tcW w:w="7944" w:type="dxa"/>
            <w:shd w:val="pct10" w:color="auto" w:fill="auto"/>
          </w:tcPr>
          <w:p w14:paraId="59E40608" w14:textId="77777777" w:rsidR="3B7B5A4E" w:rsidRPr="00312393" w:rsidRDefault="00312393" w:rsidP="00312393">
            <w:pPr>
              <w:jc w:val="center"/>
              <w:rPr>
                <w:b/>
                <w:bCs/>
                <w:sz w:val="20"/>
                <w:szCs w:val="20"/>
              </w:rPr>
            </w:pPr>
            <w:r w:rsidRPr="00312393">
              <w:rPr>
                <w:b/>
                <w:bCs/>
                <w:sz w:val="20"/>
                <w:szCs w:val="20"/>
              </w:rPr>
              <w:t>Código Sanitario</w:t>
            </w:r>
          </w:p>
        </w:tc>
        <w:tc>
          <w:tcPr>
            <w:tcW w:w="7944" w:type="dxa"/>
            <w:shd w:val="pct10" w:color="auto" w:fill="auto"/>
          </w:tcPr>
          <w:p w14:paraId="1BC857AC" w14:textId="77777777" w:rsidR="3B7B5A4E" w:rsidRPr="00312393" w:rsidRDefault="00312393" w:rsidP="00312393">
            <w:pPr>
              <w:jc w:val="center"/>
              <w:rPr>
                <w:rFonts w:eastAsia="Arial"/>
                <w:b/>
                <w:bCs/>
                <w:sz w:val="20"/>
                <w:szCs w:val="20"/>
              </w:rPr>
            </w:pPr>
            <w:r w:rsidRPr="00312393">
              <w:rPr>
                <w:rFonts w:eastAsia="Arial"/>
                <w:b/>
                <w:bCs/>
                <w:sz w:val="20"/>
                <w:szCs w:val="20"/>
              </w:rPr>
              <w:t>Indicaciones</w:t>
            </w:r>
          </w:p>
        </w:tc>
      </w:tr>
      <w:tr w:rsidR="3B7B5A4E" w:rsidRPr="00312393" w14:paraId="7D8E819A" w14:textId="77777777" w:rsidTr="3B7B5A4E">
        <w:tc>
          <w:tcPr>
            <w:tcW w:w="7944" w:type="dxa"/>
          </w:tcPr>
          <w:p w14:paraId="4F1659A2" w14:textId="77777777" w:rsidR="00505D05" w:rsidRDefault="00505D05" w:rsidP="00312393">
            <w:pPr>
              <w:rPr>
                <w:sz w:val="20"/>
                <w:szCs w:val="20"/>
              </w:rPr>
            </w:pPr>
          </w:p>
          <w:p w14:paraId="277987AD" w14:textId="77777777" w:rsidR="00505D05" w:rsidRDefault="00505D05" w:rsidP="00312393">
            <w:pPr>
              <w:rPr>
                <w:sz w:val="20"/>
                <w:szCs w:val="20"/>
              </w:rPr>
            </w:pPr>
          </w:p>
          <w:p w14:paraId="7C56B9EE" w14:textId="77777777" w:rsidR="00505D05" w:rsidRDefault="00505D05" w:rsidP="00312393">
            <w:pPr>
              <w:rPr>
                <w:sz w:val="20"/>
                <w:szCs w:val="20"/>
              </w:rPr>
            </w:pPr>
          </w:p>
          <w:p w14:paraId="2627E79C" w14:textId="77777777" w:rsidR="3B7B5A4E" w:rsidRPr="00312393" w:rsidRDefault="3B7B5A4E" w:rsidP="00312393">
            <w:pPr>
              <w:rPr>
                <w:sz w:val="20"/>
                <w:szCs w:val="20"/>
              </w:rPr>
            </w:pPr>
            <w:r w:rsidRPr="00312393">
              <w:rPr>
                <w:sz w:val="20"/>
                <w:szCs w:val="20"/>
              </w:rPr>
              <w:t>Artículo 99.- Sin perjuicio de lo dispuesto en el artículo 97, el Instituto de Salud Pública de Chile podrá autorizar provisionalmente la distribución, venta o expendio y uso de productos farmacéuticos sin previo registro, para ensayos clínicos u otro tipo de investigaciones científicas, como asimismo para usos medicinales urgentes derivados de situaciones de desabastecimiento o inaccesibilidad que puedan afectar a las personas consideradas individual o colectivamente. Con todo, no se podrá desarrollar un protocolo de investigación en medicamentos no registrados o para nuevos usos en medicamentos registrados sin un informe favorable del Comité Ético Científico que corresponda.</w:t>
            </w:r>
            <w:r w:rsidRPr="00312393">
              <w:rPr>
                <w:sz w:val="20"/>
                <w:szCs w:val="20"/>
              </w:rPr>
              <w:br/>
            </w:r>
            <w:r w:rsidRPr="00312393">
              <w:rPr>
                <w:sz w:val="20"/>
                <w:szCs w:val="20"/>
              </w:rPr>
              <w:br/>
              <w:t xml:space="preserve">    Tratándose de situaciones como las descritas en el inciso anterior, relacionadas con medicamentos cuya disponibilidad sea esencial para el desarrollo de programas o planes de salud de interés público que se lleven a cabo en el Sistema Nacional de Servicios de Salud, la Central de Abastecimiento del Sistema Nacional de Servicios de Salud podrá solicitar ante el Instituto el registro sanitario provisional pertinente, el que no obstará a la libre comercialización del producto por parte de terceros.</w:t>
            </w:r>
          </w:p>
        </w:tc>
        <w:tc>
          <w:tcPr>
            <w:tcW w:w="7944" w:type="dxa"/>
          </w:tcPr>
          <w:p w14:paraId="63ED00CB" w14:textId="77777777" w:rsidR="3B7B5A4E" w:rsidRPr="00312393" w:rsidRDefault="3B7B5A4E" w:rsidP="00312393">
            <w:pPr>
              <w:pStyle w:val="Prrafodelista"/>
              <w:numPr>
                <w:ilvl w:val="0"/>
                <w:numId w:val="1"/>
              </w:numPr>
              <w:rPr>
                <w:rFonts w:eastAsia="Arial"/>
                <w:sz w:val="20"/>
                <w:szCs w:val="20"/>
              </w:rPr>
            </w:pPr>
            <w:r w:rsidRPr="00312393">
              <w:rPr>
                <w:rFonts w:eastAsia="Arial"/>
                <w:b/>
                <w:bCs/>
                <w:sz w:val="20"/>
                <w:szCs w:val="20"/>
              </w:rPr>
              <w:t>Ejecutivo.</w:t>
            </w:r>
            <w:r w:rsidRPr="00312393">
              <w:rPr>
                <w:rFonts w:eastAsia="Arial"/>
                <w:sz w:val="20"/>
                <w:szCs w:val="20"/>
              </w:rPr>
              <w:t xml:space="preserve"> Para agregar el siguiente artículo 2</w:t>
            </w:r>
            <w:r w:rsidR="00B20696">
              <w:rPr>
                <w:rFonts w:eastAsia="Arial"/>
                <w:sz w:val="20"/>
                <w:szCs w:val="20"/>
              </w:rPr>
              <w:t xml:space="preserve">, </w:t>
            </w:r>
            <w:r w:rsidRPr="00312393">
              <w:rPr>
                <w:rFonts w:eastAsia="Arial"/>
                <w:sz w:val="20"/>
                <w:szCs w:val="20"/>
              </w:rPr>
              <w:t xml:space="preserve"> nuevo:</w:t>
            </w:r>
          </w:p>
          <w:p w14:paraId="164463A2" w14:textId="77777777" w:rsidR="3B7B5A4E" w:rsidRDefault="3B7B5A4E" w:rsidP="00312393">
            <w:pPr>
              <w:rPr>
                <w:rFonts w:eastAsia="Arial"/>
                <w:sz w:val="20"/>
                <w:szCs w:val="20"/>
              </w:rPr>
            </w:pPr>
            <w:r w:rsidRPr="00312393">
              <w:rPr>
                <w:rFonts w:eastAsia="Arial"/>
                <w:sz w:val="20"/>
                <w:szCs w:val="20"/>
              </w:rPr>
              <w:t xml:space="preserve">“Artículo 2.- Reemplázase el inciso segundo del artículo 99 del Código Sanitario, por el siguiente: </w:t>
            </w:r>
          </w:p>
          <w:p w14:paraId="58AF094E" w14:textId="77777777" w:rsidR="00312393" w:rsidRDefault="00312393" w:rsidP="00312393">
            <w:pPr>
              <w:rPr>
                <w:rFonts w:eastAsia="Arial"/>
                <w:sz w:val="20"/>
                <w:szCs w:val="20"/>
              </w:rPr>
            </w:pPr>
          </w:p>
          <w:p w14:paraId="4E04CBCD" w14:textId="77777777" w:rsidR="00312393" w:rsidRDefault="00312393" w:rsidP="00312393">
            <w:pPr>
              <w:rPr>
                <w:rFonts w:eastAsia="Arial"/>
                <w:sz w:val="20"/>
                <w:szCs w:val="20"/>
              </w:rPr>
            </w:pPr>
          </w:p>
          <w:p w14:paraId="290B68D7" w14:textId="77777777" w:rsidR="00312393" w:rsidRDefault="00312393" w:rsidP="00312393">
            <w:pPr>
              <w:rPr>
                <w:rFonts w:eastAsia="Arial"/>
                <w:sz w:val="20"/>
                <w:szCs w:val="20"/>
              </w:rPr>
            </w:pPr>
          </w:p>
          <w:p w14:paraId="35C1D321" w14:textId="77777777" w:rsidR="00312393" w:rsidRDefault="00312393" w:rsidP="00312393">
            <w:pPr>
              <w:rPr>
                <w:rFonts w:eastAsia="Arial"/>
                <w:sz w:val="20"/>
                <w:szCs w:val="20"/>
              </w:rPr>
            </w:pPr>
          </w:p>
          <w:p w14:paraId="67CD565A" w14:textId="77777777" w:rsidR="00312393" w:rsidRDefault="00312393" w:rsidP="00312393">
            <w:pPr>
              <w:rPr>
                <w:rFonts w:eastAsia="Arial"/>
                <w:sz w:val="20"/>
                <w:szCs w:val="20"/>
              </w:rPr>
            </w:pPr>
          </w:p>
          <w:p w14:paraId="4B76B1D5" w14:textId="77777777" w:rsidR="00312393" w:rsidRDefault="00312393" w:rsidP="00312393">
            <w:pPr>
              <w:rPr>
                <w:rFonts w:eastAsia="Arial"/>
                <w:sz w:val="20"/>
                <w:szCs w:val="20"/>
              </w:rPr>
            </w:pPr>
          </w:p>
          <w:p w14:paraId="23910AE1" w14:textId="77777777" w:rsidR="00505D05" w:rsidRDefault="00505D05" w:rsidP="00312393">
            <w:pPr>
              <w:rPr>
                <w:rFonts w:eastAsia="Arial"/>
                <w:sz w:val="20"/>
                <w:szCs w:val="20"/>
              </w:rPr>
            </w:pPr>
          </w:p>
          <w:p w14:paraId="0E5B0CB1" w14:textId="77777777" w:rsidR="00505D05" w:rsidRDefault="00505D05" w:rsidP="00312393">
            <w:pPr>
              <w:rPr>
                <w:rFonts w:eastAsia="Arial"/>
                <w:sz w:val="20"/>
                <w:szCs w:val="20"/>
              </w:rPr>
            </w:pPr>
          </w:p>
          <w:p w14:paraId="5602A98E" w14:textId="77777777" w:rsidR="00505D05" w:rsidRDefault="00505D05" w:rsidP="00312393">
            <w:pPr>
              <w:rPr>
                <w:rFonts w:eastAsia="Arial"/>
                <w:sz w:val="20"/>
                <w:szCs w:val="20"/>
              </w:rPr>
            </w:pPr>
          </w:p>
          <w:p w14:paraId="3F2FA2D3" w14:textId="77777777" w:rsidR="00312393" w:rsidRPr="00312393" w:rsidRDefault="00312393" w:rsidP="00312393">
            <w:pPr>
              <w:rPr>
                <w:rFonts w:eastAsia="Arial"/>
                <w:sz w:val="20"/>
                <w:szCs w:val="20"/>
              </w:rPr>
            </w:pPr>
          </w:p>
          <w:p w14:paraId="21864442" w14:textId="77777777" w:rsidR="3B7B5A4E" w:rsidRPr="00312393" w:rsidRDefault="3B7B5A4E" w:rsidP="00312393">
            <w:pPr>
              <w:rPr>
                <w:rFonts w:eastAsia="Arial"/>
                <w:sz w:val="20"/>
                <w:szCs w:val="20"/>
              </w:rPr>
            </w:pPr>
            <w:r w:rsidRPr="00312393">
              <w:rPr>
                <w:rFonts w:eastAsia="Arial"/>
                <w:sz w:val="20"/>
                <w:szCs w:val="20"/>
              </w:rPr>
              <w:t>“La Central de Abastecimiento del Sistema Nacional de Servicios de Salud podrá solicitar ante el Instituto el registro sanitario de productos farmacéuticos contemplados en planes, programas o acciones de salud que se lleven a cabo en el Sistema Na</w:t>
            </w:r>
            <w:r w:rsidRPr="00312393">
              <w:rPr>
                <w:rFonts w:eastAsia="Arial"/>
                <w:sz w:val="20"/>
                <w:szCs w:val="20"/>
                <w:lang w:val="pt-PT"/>
              </w:rPr>
              <w:t>cional de Servicios de Salud, así como aquellos que sean necesarios para el cumplimiento de sus funciones y facultades. Dicho registro, autorizará la distribución de los productos y no obstará a la libre comercialización del producto por parte de terceros.”.”.</w:t>
            </w:r>
          </w:p>
          <w:p w14:paraId="36F55605" w14:textId="77777777" w:rsidR="3B7B5A4E" w:rsidRDefault="3B7B5A4E" w:rsidP="00312393">
            <w:pPr>
              <w:rPr>
                <w:rFonts w:eastAsia="Arial"/>
                <w:sz w:val="20"/>
                <w:szCs w:val="20"/>
              </w:rPr>
            </w:pPr>
          </w:p>
          <w:p w14:paraId="7CF1C093" w14:textId="77777777" w:rsidR="00505D05" w:rsidRDefault="00505D05" w:rsidP="00312393">
            <w:pPr>
              <w:rPr>
                <w:rFonts w:eastAsia="Arial"/>
                <w:sz w:val="20"/>
                <w:szCs w:val="20"/>
              </w:rPr>
            </w:pPr>
          </w:p>
          <w:p w14:paraId="6175C189" w14:textId="77777777" w:rsidR="00505D05" w:rsidRPr="00312393" w:rsidRDefault="00505D05" w:rsidP="00312393">
            <w:pPr>
              <w:rPr>
                <w:rFonts w:eastAsia="Arial"/>
                <w:sz w:val="20"/>
                <w:szCs w:val="20"/>
              </w:rPr>
            </w:pPr>
          </w:p>
        </w:tc>
      </w:tr>
      <w:tr w:rsidR="3B7B5A4E" w:rsidRPr="00312393" w14:paraId="1527DA66" w14:textId="77777777" w:rsidTr="3B7B5A4E">
        <w:tc>
          <w:tcPr>
            <w:tcW w:w="7944" w:type="dxa"/>
          </w:tcPr>
          <w:p w14:paraId="5F0EF32B" w14:textId="77777777" w:rsidR="3B7B5A4E" w:rsidRPr="00312393" w:rsidRDefault="3B7B5A4E" w:rsidP="00312393">
            <w:pPr>
              <w:rPr>
                <w:sz w:val="20"/>
                <w:szCs w:val="20"/>
              </w:rPr>
            </w:pPr>
          </w:p>
        </w:tc>
        <w:tc>
          <w:tcPr>
            <w:tcW w:w="7944" w:type="dxa"/>
          </w:tcPr>
          <w:p w14:paraId="5B93AD22" w14:textId="77777777" w:rsidR="3B7B5A4E" w:rsidRPr="00312393" w:rsidRDefault="3B7B5A4E" w:rsidP="00312393">
            <w:pPr>
              <w:pStyle w:val="Prrafodelista"/>
              <w:numPr>
                <w:ilvl w:val="0"/>
                <w:numId w:val="1"/>
              </w:numPr>
              <w:rPr>
                <w:rFonts w:eastAsia="Arial"/>
                <w:sz w:val="20"/>
                <w:szCs w:val="20"/>
              </w:rPr>
            </w:pPr>
            <w:r w:rsidRPr="00312393">
              <w:rPr>
                <w:rFonts w:eastAsia="Arial"/>
                <w:b/>
                <w:bCs/>
                <w:sz w:val="20"/>
                <w:szCs w:val="20"/>
              </w:rPr>
              <w:t>Ejecutivo.</w:t>
            </w:r>
            <w:r w:rsidRPr="00312393">
              <w:rPr>
                <w:rFonts w:eastAsia="Arial"/>
                <w:sz w:val="20"/>
                <w:szCs w:val="20"/>
              </w:rPr>
              <w:t xml:space="preserve"> </w:t>
            </w:r>
            <w:r w:rsidRPr="00312393">
              <w:rPr>
                <w:rFonts w:eastAsia="Arial"/>
                <w:sz w:val="20"/>
                <w:szCs w:val="20"/>
                <w:lang w:val="pt-PT"/>
              </w:rPr>
              <w:t xml:space="preserve">Para incorporar  un artículo transitorio nuevo del siguiente tenor: </w:t>
            </w:r>
          </w:p>
          <w:p w14:paraId="4B65DC80" w14:textId="77777777" w:rsidR="3B7B5A4E" w:rsidRPr="00312393" w:rsidRDefault="3B7B5A4E" w:rsidP="00312393">
            <w:pPr>
              <w:rPr>
                <w:rFonts w:eastAsia="Arial"/>
                <w:sz w:val="20"/>
                <w:szCs w:val="20"/>
              </w:rPr>
            </w:pPr>
            <w:r w:rsidRPr="00312393">
              <w:rPr>
                <w:rFonts w:eastAsia="Arial"/>
                <w:sz w:val="20"/>
                <w:szCs w:val="20"/>
                <w:lang w:val="pt-PT"/>
              </w:rPr>
              <w:t>“Artículo transitorio.- La presente ley entrará en vigencia al momento de su publicación en el Diario Oficial.</w:t>
            </w:r>
          </w:p>
          <w:p w14:paraId="1DC8EA9A" w14:textId="77777777" w:rsidR="3B7B5A4E" w:rsidRPr="00312393" w:rsidRDefault="3B7B5A4E" w:rsidP="00312393">
            <w:pPr>
              <w:rPr>
                <w:rFonts w:eastAsia="Arial"/>
                <w:sz w:val="20"/>
                <w:szCs w:val="20"/>
              </w:rPr>
            </w:pPr>
            <w:r w:rsidRPr="00312393">
              <w:rPr>
                <w:rFonts w:eastAsia="Arial"/>
                <w:sz w:val="20"/>
                <w:szCs w:val="20"/>
                <w:lang w:val="pt-PT"/>
              </w:rPr>
              <w:t>El reglamento a que se refiere el artículo 70 ter que se incorpora en el decreto con fuerza de ley N° 1, de 2005, del Ministerio de Salud, que fija el texto refundifo, coordinado y sistematizado del decreto ley N° 2.763, de 1979 y de las leyes N° 18.933 y N° 18.469, deberá dictarse en el plazo de seis meses contado desde la publicación de la presente ley.”.</w:t>
            </w:r>
          </w:p>
          <w:p w14:paraId="3FDCD017" w14:textId="77777777" w:rsidR="3B7B5A4E" w:rsidRPr="00312393" w:rsidRDefault="3B7B5A4E" w:rsidP="00312393">
            <w:pPr>
              <w:rPr>
                <w:rFonts w:eastAsia="Arial"/>
                <w:sz w:val="20"/>
                <w:szCs w:val="20"/>
              </w:rPr>
            </w:pPr>
          </w:p>
        </w:tc>
      </w:tr>
    </w:tbl>
    <w:p w14:paraId="34F23EF1" w14:textId="77777777" w:rsidR="3B7B5A4E" w:rsidRPr="00312393" w:rsidRDefault="3B7B5A4E" w:rsidP="00312393">
      <w:pPr>
        <w:spacing w:before="0" w:after="0"/>
        <w:rPr>
          <w:sz w:val="20"/>
          <w:szCs w:val="20"/>
        </w:rPr>
      </w:pPr>
    </w:p>
    <w:sectPr w:rsidR="3B7B5A4E" w:rsidRPr="00312393" w:rsidSect="00804002">
      <w:headerReference w:type="default" r:id="rId10"/>
      <w:footerReference w:type="default" r:id="rId11"/>
      <w:pgSz w:w="18722" w:h="12242" w:orient="landscape" w:code="134"/>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FD4F7" w14:textId="77777777" w:rsidR="00F20812" w:rsidRDefault="00F20812" w:rsidP="00804002">
      <w:pPr>
        <w:spacing w:before="0" w:after="0"/>
      </w:pPr>
      <w:r>
        <w:separator/>
      </w:r>
    </w:p>
  </w:endnote>
  <w:endnote w:type="continuationSeparator" w:id="0">
    <w:p w14:paraId="4DAEE4AE" w14:textId="77777777" w:rsidR="00F20812" w:rsidRDefault="00F20812" w:rsidP="008040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529688"/>
      <w:docPartObj>
        <w:docPartGallery w:val="Page Numbers (Bottom of Page)"/>
        <w:docPartUnique/>
      </w:docPartObj>
    </w:sdtPr>
    <w:sdtEndPr/>
    <w:sdtContent>
      <w:p w14:paraId="3B7D6F0A" w14:textId="77777777" w:rsidR="00804002" w:rsidRDefault="00C172F7">
        <w:pPr>
          <w:pStyle w:val="Piedepgina"/>
          <w:jc w:val="right"/>
        </w:pPr>
        <w:r>
          <w:fldChar w:fldCharType="begin"/>
        </w:r>
        <w:r w:rsidR="00804002">
          <w:instrText>PAGE   \* MERGEFORMAT</w:instrText>
        </w:r>
        <w:r>
          <w:fldChar w:fldCharType="separate"/>
        </w:r>
        <w:r w:rsidR="00B626F3" w:rsidRPr="00B626F3">
          <w:rPr>
            <w:noProof/>
            <w:lang w:val="es-ES"/>
          </w:rPr>
          <w:t>1</w:t>
        </w:r>
        <w:r>
          <w:fldChar w:fldCharType="end"/>
        </w:r>
      </w:p>
    </w:sdtContent>
  </w:sdt>
  <w:p w14:paraId="5619A25B" w14:textId="77777777" w:rsidR="00804002" w:rsidRPr="00804002" w:rsidRDefault="00804002" w:rsidP="00804002">
    <w:pPr>
      <w:pStyle w:val="Piedepgina"/>
      <w:jc w:val="center"/>
      <w:rPr>
        <w:rFonts w:ascii="Arial Black" w:hAnsi="Arial Black"/>
        <w:b/>
        <w:i/>
      </w:rPr>
    </w:pPr>
    <w:r>
      <w:rPr>
        <w:rFonts w:ascii="Arial Black" w:hAnsi="Arial Black"/>
        <w:b/>
        <w:i/>
      </w:rPr>
      <w:t>COMISION DE SALUD (19 de noviembre,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D282A" w14:textId="77777777" w:rsidR="00F20812" w:rsidRDefault="00F20812" w:rsidP="00804002">
      <w:pPr>
        <w:spacing w:before="0" w:after="0"/>
      </w:pPr>
      <w:r>
        <w:separator/>
      </w:r>
    </w:p>
  </w:footnote>
  <w:footnote w:type="continuationSeparator" w:id="0">
    <w:p w14:paraId="79A8E103" w14:textId="77777777" w:rsidR="00F20812" w:rsidRDefault="00F20812" w:rsidP="0080400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BF8E" w14:textId="77777777" w:rsidR="00576653" w:rsidRPr="00576653" w:rsidRDefault="00576653" w:rsidP="00576653">
    <w:pPr>
      <w:pStyle w:val="Encabezado"/>
      <w:jc w:val="center"/>
      <w:rPr>
        <w:b/>
      </w:rPr>
    </w:pPr>
    <w:r w:rsidRPr="00576653">
      <w:rPr>
        <w:b/>
      </w:rPr>
      <w:t>Proyecto de ley que autoriza la intermediación de medicamentos por parte de Cenabast a almacenes farmacéuticos y farmacias privadas</w:t>
    </w:r>
  </w:p>
  <w:p w14:paraId="435CAB17" w14:textId="77777777" w:rsidR="00804002" w:rsidRPr="00576653" w:rsidRDefault="00576653" w:rsidP="00576653">
    <w:pPr>
      <w:pStyle w:val="Encabezado"/>
      <w:jc w:val="center"/>
      <w:rPr>
        <w:b/>
      </w:rPr>
    </w:pPr>
    <w:r w:rsidRPr="00576653">
      <w:rPr>
        <w:b/>
      </w:rPr>
      <w:t>(boletín 13027)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65C2D"/>
    <w:multiLevelType w:val="hybridMultilevel"/>
    <w:tmpl w:val="F3C8C2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CBE3C83"/>
    <w:multiLevelType w:val="hybridMultilevel"/>
    <w:tmpl w:val="C3A057FE"/>
    <w:lvl w:ilvl="0" w:tplc="5556537A">
      <w:start w:val="1"/>
      <w:numFmt w:val="bullet"/>
      <w:suff w:val="space"/>
      <w:lvlText w:val="●"/>
      <w:lvlJc w:val="left"/>
      <w:pPr>
        <w:ind w:left="0" w:firstLine="0"/>
      </w:pPr>
      <w:rPr>
        <w:rFonts w:ascii="Arial" w:hAnsi="Arial" w:hint="default"/>
      </w:rPr>
    </w:lvl>
    <w:lvl w:ilvl="1" w:tplc="42FACDA0">
      <w:start w:val="1"/>
      <w:numFmt w:val="bullet"/>
      <w:lvlText w:val="o"/>
      <w:lvlJc w:val="left"/>
      <w:pPr>
        <w:ind w:left="1440" w:hanging="360"/>
      </w:pPr>
      <w:rPr>
        <w:rFonts w:ascii="Courier New" w:hAnsi="Courier New" w:hint="default"/>
      </w:rPr>
    </w:lvl>
    <w:lvl w:ilvl="2" w:tplc="16B0D2EA">
      <w:start w:val="1"/>
      <w:numFmt w:val="bullet"/>
      <w:lvlText w:val=""/>
      <w:lvlJc w:val="left"/>
      <w:pPr>
        <w:ind w:left="2160" w:hanging="360"/>
      </w:pPr>
      <w:rPr>
        <w:rFonts w:ascii="Wingdings" w:hAnsi="Wingdings" w:hint="default"/>
      </w:rPr>
    </w:lvl>
    <w:lvl w:ilvl="3" w:tplc="E98EADC2">
      <w:start w:val="1"/>
      <w:numFmt w:val="bullet"/>
      <w:lvlText w:val=""/>
      <w:lvlJc w:val="left"/>
      <w:pPr>
        <w:ind w:left="2880" w:hanging="360"/>
      </w:pPr>
      <w:rPr>
        <w:rFonts w:ascii="Symbol" w:hAnsi="Symbol" w:hint="default"/>
      </w:rPr>
    </w:lvl>
    <w:lvl w:ilvl="4" w:tplc="773821B2">
      <w:start w:val="1"/>
      <w:numFmt w:val="bullet"/>
      <w:lvlText w:val="o"/>
      <w:lvlJc w:val="left"/>
      <w:pPr>
        <w:ind w:left="3600" w:hanging="360"/>
      </w:pPr>
      <w:rPr>
        <w:rFonts w:ascii="Courier New" w:hAnsi="Courier New" w:hint="default"/>
      </w:rPr>
    </w:lvl>
    <w:lvl w:ilvl="5" w:tplc="1C229A54">
      <w:start w:val="1"/>
      <w:numFmt w:val="bullet"/>
      <w:lvlText w:val=""/>
      <w:lvlJc w:val="left"/>
      <w:pPr>
        <w:ind w:left="4320" w:hanging="360"/>
      </w:pPr>
      <w:rPr>
        <w:rFonts w:ascii="Wingdings" w:hAnsi="Wingdings" w:hint="default"/>
      </w:rPr>
    </w:lvl>
    <w:lvl w:ilvl="6" w:tplc="154E98D6">
      <w:start w:val="1"/>
      <w:numFmt w:val="bullet"/>
      <w:lvlText w:val=""/>
      <w:lvlJc w:val="left"/>
      <w:pPr>
        <w:ind w:left="5040" w:hanging="360"/>
      </w:pPr>
      <w:rPr>
        <w:rFonts w:ascii="Symbol" w:hAnsi="Symbol" w:hint="default"/>
      </w:rPr>
    </w:lvl>
    <w:lvl w:ilvl="7" w:tplc="E5AC730E">
      <w:start w:val="1"/>
      <w:numFmt w:val="bullet"/>
      <w:lvlText w:val="o"/>
      <w:lvlJc w:val="left"/>
      <w:pPr>
        <w:ind w:left="5760" w:hanging="360"/>
      </w:pPr>
      <w:rPr>
        <w:rFonts w:ascii="Courier New" w:hAnsi="Courier New" w:hint="default"/>
      </w:rPr>
    </w:lvl>
    <w:lvl w:ilvl="8" w:tplc="5D502946">
      <w:start w:val="1"/>
      <w:numFmt w:val="bullet"/>
      <w:lvlText w:val=""/>
      <w:lvlJc w:val="left"/>
      <w:pPr>
        <w:ind w:left="6480" w:hanging="360"/>
      </w:pPr>
      <w:rPr>
        <w:rFonts w:ascii="Wingdings" w:hAnsi="Wingdings" w:hint="default"/>
      </w:rPr>
    </w:lvl>
  </w:abstractNum>
  <w:abstractNum w:abstractNumId="2" w15:restartNumberingAfterBreak="0">
    <w:nsid w:val="355E274C"/>
    <w:multiLevelType w:val="hybridMultilevel"/>
    <w:tmpl w:val="BF861360"/>
    <w:lvl w:ilvl="0" w:tplc="C7B60A42">
      <w:start w:val="1"/>
      <w:numFmt w:val="decimal"/>
      <w:suff w:val="space"/>
      <w:lvlText w:val="%1."/>
      <w:lvlJc w:val="left"/>
      <w:pPr>
        <w:ind w:left="0" w:firstLine="0"/>
      </w:pPr>
      <w:rPr>
        <w:rFonts w:hint="default"/>
        <w:b/>
        <w:bCs/>
      </w:rPr>
    </w:lvl>
    <w:lvl w:ilvl="1" w:tplc="6C84A5B4">
      <w:start w:val="1"/>
      <w:numFmt w:val="lowerLetter"/>
      <w:lvlText w:val="%2."/>
      <w:lvlJc w:val="left"/>
      <w:pPr>
        <w:ind w:left="1440" w:hanging="360"/>
      </w:pPr>
    </w:lvl>
    <w:lvl w:ilvl="2" w:tplc="58CCF858">
      <w:start w:val="1"/>
      <w:numFmt w:val="lowerRoman"/>
      <w:lvlText w:val="%3."/>
      <w:lvlJc w:val="right"/>
      <w:pPr>
        <w:ind w:left="2160" w:hanging="180"/>
      </w:pPr>
    </w:lvl>
    <w:lvl w:ilvl="3" w:tplc="D29898A4">
      <w:start w:val="1"/>
      <w:numFmt w:val="decimal"/>
      <w:lvlText w:val="%4."/>
      <w:lvlJc w:val="left"/>
      <w:pPr>
        <w:ind w:left="2880" w:hanging="360"/>
      </w:pPr>
    </w:lvl>
    <w:lvl w:ilvl="4" w:tplc="4DA8BD70">
      <w:start w:val="1"/>
      <w:numFmt w:val="lowerLetter"/>
      <w:lvlText w:val="%5."/>
      <w:lvlJc w:val="left"/>
      <w:pPr>
        <w:ind w:left="3600" w:hanging="360"/>
      </w:pPr>
    </w:lvl>
    <w:lvl w:ilvl="5" w:tplc="F4120950">
      <w:start w:val="1"/>
      <w:numFmt w:val="lowerRoman"/>
      <w:lvlText w:val="%6."/>
      <w:lvlJc w:val="right"/>
      <w:pPr>
        <w:ind w:left="4320" w:hanging="180"/>
      </w:pPr>
    </w:lvl>
    <w:lvl w:ilvl="6" w:tplc="B6AEDC2E">
      <w:start w:val="1"/>
      <w:numFmt w:val="decimal"/>
      <w:lvlText w:val="%7."/>
      <w:lvlJc w:val="left"/>
      <w:pPr>
        <w:ind w:left="5040" w:hanging="360"/>
      </w:pPr>
    </w:lvl>
    <w:lvl w:ilvl="7" w:tplc="9260FDD4">
      <w:start w:val="1"/>
      <w:numFmt w:val="lowerLetter"/>
      <w:lvlText w:val="%8."/>
      <w:lvlJc w:val="left"/>
      <w:pPr>
        <w:ind w:left="5760" w:hanging="360"/>
      </w:pPr>
    </w:lvl>
    <w:lvl w:ilvl="8" w:tplc="4EACA838">
      <w:start w:val="1"/>
      <w:numFmt w:val="lowerRoman"/>
      <w:lvlText w:val="%9."/>
      <w:lvlJc w:val="right"/>
      <w:pPr>
        <w:ind w:left="6480" w:hanging="180"/>
      </w:pPr>
    </w:lvl>
  </w:abstractNum>
  <w:abstractNum w:abstractNumId="3" w15:restartNumberingAfterBreak="0">
    <w:nsid w:val="36DB3225"/>
    <w:multiLevelType w:val="hybridMultilevel"/>
    <w:tmpl w:val="C9126396"/>
    <w:lvl w:ilvl="0" w:tplc="D7BCF492">
      <w:start w:val="1"/>
      <w:numFmt w:val="lowerLetter"/>
      <w:lvlText w:val="%1."/>
      <w:lvlJc w:val="left"/>
      <w:pPr>
        <w:ind w:left="720" w:hanging="360"/>
      </w:pPr>
    </w:lvl>
    <w:lvl w:ilvl="1" w:tplc="48F8E56C">
      <w:start w:val="1"/>
      <w:numFmt w:val="lowerLetter"/>
      <w:lvlText w:val="%2."/>
      <w:lvlJc w:val="left"/>
      <w:pPr>
        <w:ind w:left="1440" w:hanging="360"/>
      </w:pPr>
    </w:lvl>
    <w:lvl w:ilvl="2" w:tplc="20303DFC">
      <w:start w:val="1"/>
      <w:numFmt w:val="lowerRoman"/>
      <w:lvlText w:val="%3."/>
      <w:lvlJc w:val="right"/>
      <w:pPr>
        <w:ind w:left="2160" w:hanging="180"/>
      </w:pPr>
    </w:lvl>
    <w:lvl w:ilvl="3" w:tplc="3BAEE572">
      <w:start w:val="1"/>
      <w:numFmt w:val="decimal"/>
      <w:lvlText w:val="%4."/>
      <w:lvlJc w:val="left"/>
      <w:pPr>
        <w:ind w:left="2880" w:hanging="360"/>
      </w:pPr>
    </w:lvl>
    <w:lvl w:ilvl="4" w:tplc="D3783EDE">
      <w:start w:val="1"/>
      <w:numFmt w:val="lowerLetter"/>
      <w:lvlText w:val="%5."/>
      <w:lvlJc w:val="left"/>
      <w:pPr>
        <w:ind w:left="3600" w:hanging="360"/>
      </w:pPr>
    </w:lvl>
    <w:lvl w:ilvl="5" w:tplc="1C7C3DE4">
      <w:start w:val="1"/>
      <w:numFmt w:val="lowerRoman"/>
      <w:lvlText w:val="%6."/>
      <w:lvlJc w:val="right"/>
      <w:pPr>
        <w:ind w:left="4320" w:hanging="180"/>
      </w:pPr>
    </w:lvl>
    <w:lvl w:ilvl="6" w:tplc="CC22DC70">
      <w:start w:val="1"/>
      <w:numFmt w:val="decimal"/>
      <w:lvlText w:val="%7."/>
      <w:lvlJc w:val="left"/>
      <w:pPr>
        <w:ind w:left="5040" w:hanging="360"/>
      </w:pPr>
    </w:lvl>
    <w:lvl w:ilvl="7" w:tplc="77E4F574">
      <w:start w:val="1"/>
      <w:numFmt w:val="lowerLetter"/>
      <w:lvlText w:val="%8."/>
      <w:lvlJc w:val="left"/>
      <w:pPr>
        <w:ind w:left="5760" w:hanging="360"/>
      </w:pPr>
    </w:lvl>
    <w:lvl w:ilvl="8" w:tplc="E7BA5A32">
      <w:start w:val="1"/>
      <w:numFmt w:val="lowerRoman"/>
      <w:lvlText w:val="%9."/>
      <w:lvlJc w:val="right"/>
      <w:pPr>
        <w:ind w:left="6480" w:hanging="180"/>
      </w:pPr>
    </w:lvl>
  </w:abstractNum>
  <w:abstractNum w:abstractNumId="4" w15:restartNumberingAfterBreak="0">
    <w:nsid w:val="418A0448"/>
    <w:multiLevelType w:val="hybridMultilevel"/>
    <w:tmpl w:val="C8807B9C"/>
    <w:lvl w:ilvl="0" w:tplc="90B62342">
      <w:start w:val="1"/>
      <w:numFmt w:val="decimal"/>
      <w:lvlText w:val="%1."/>
      <w:lvlJc w:val="left"/>
      <w:pPr>
        <w:ind w:left="720" w:hanging="360"/>
      </w:pPr>
    </w:lvl>
    <w:lvl w:ilvl="1" w:tplc="16B8E25C">
      <w:start w:val="1"/>
      <w:numFmt w:val="lowerLetter"/>
      <w:lvlText w:val="%2."/>
      <w:lvlJc w:val="left"/>
      <w:pPr>
        <w:ind w:left="1440" w:hanging="360"/>
      </w:pPr>
    </w:lvl>
    <w:lvl w:ilvl="2" w:tplc="77686F16">
      <w:start w:val="1"/>
      <w:numFmt w:val="lowerRoman"/>
      <w:lvlText w:val="%3."/>
      <w:lvlJc w:val="right"/>
      <w:pPr>
        <w:ind w:left="2160" w:hanging="180"/>
      </w:pPr>
    </w:lvl>
    <w:lvl w:ilvl="3" w:tplc="FA2AC2DA">
      <w:start w:val="1"/>
      <w:numFmt w:val="decimal"/>
      <w:lvlText w:val="%4."/>
      <w:lvlJc w:val="left"/>
      <w:pPr>
        <w:ind w:left="2880" w:hanging="360"/>
      </w:pPr>
    </w:lvl>
    <w:lvl w:ilvl="4" w:tplc="9EF485E2">
      <w:start w:val="1"/>
      <w:numFmt w:val="lowerLetter"/>
      <w:lvlText w:val="%5."/>
      <w:lvlJc w:val="left"/>
      <w:pPr>
        <w:ind w:left="3600" w:hanging="360"/>
      </w:pPr>
    </w:lvl>
    <w:lvl w:ilvl="5" w:tplc="9DD232B8">
      <w:start w:val="1"/>
      <w:numFmt w:val="lowerLetter"/>
      <w:lvlText w:val="%6."/>
      <w:lvlJc w:val="left"/>
      <w:pPr>
        <w:ind w:left="4320" w:hanging="180"/>
      </w:pPr>
    </w:lvl>
    <w:lvl w:ilvl="6" w:tplc="1D2C8EC4">
      <w:start w:val="1"/>
      <w:numFmt w:val="decimal"/>
      <w:lvlText w:val="%7."/>
      <w:lvlJc w:val="left"/>
      <w:pPr>
        <w:ind w:left="5040" w:hanging="360"/>
      </w:pPr>
    </w:lvl>
    <w:lvl w:ilvl="7" w:tplc="801E7AE8">
      <w:start w:val="1"/>
      <w:numFmt w:val="lowerLetter"/>
      <w:lvlText w:val="%8."/>
      <w:lvlJc w:val="left"/>
      <w:pPr>
        <w:ind w:left="5760" w:hanging="360"/>
      </w:pPr>
    </w:lvl>
    <w:lvl w:ilvl="8" w:tplc="A37447EA">
      <w:start w:val="1"/>
      <w:numFmt w:val="lowerRoman"/>
      <w:lvlText w:val="%9."/>
      <w:lvlJc w:val="right"/>
      <w:pPr>
        <w:ind w:left="6480" w:hanging="180"/>
      </w:pPr>
    </w:lvl>
  </w:abstractNum>
  <w:abstractNum w:abstractNumId="5" w15:restartNumberingAfterBreak="0">
    <w:nsid w:val="761E2A83"/>
    <w:multiLevelType w:val="hybridMultilevel"/>
    <w:tmpl w:val="452E4F48"/>
    <w:lvl w:ilvl="0" w:tplc="EB42D5D8">
      <w:start w:val="1"/>
      <w:numFmt w:val="lowerLetter"/>
      <w:lvlText w:val="%1."/>
      <w:lvlJc w:val="left"/>
      <w:pPr>
        <w:ind w:left="720" w:hanging="360"/>
      </w:pPr>
    </w:lvl>
    <w:lvl w:ilvl="1" w:tplc="6FAA5160">
      <w:start w:val="1"/>
      <w:numFmt w:val="lowerLetter"/>
      <w:lvlText w:val="%2."/>
      <w:lvlJc w:val="left"/>
      <w:pPr>
        <w:ind w:left="1440" w:hanging="360"/>
      </w:pPr>
    </w:lvl>
    <w:lvl w:ilvl="2" w:tplc="2BBADBD8">
      <w:start w:val="1"/>
      <w:numFmt w:val="lowerRoman"/>
      <w:lvlText w:val="%3."/>
      <w:lvlJc w:val="right"/>
      <w:pPr>
        <w:ind w:left="2160" w:hanging="180"/>
      </w:pPr>
    </w:lvl>
    <w:lvl w:ilvl="3" w:tplc="8AECFAAC">
      <w:start w:val="1"/>
      <w:numFmt w:val="decimal"/>
      <w:lvlText w:val="%4."/>
      <w:lvlJc w:val="left"/>
      <w:pPr>
        <w:ind w:left="2880" w:hanging="360"/>
      </w:pPr>
    </w:lvl>
    <w:lvl w:ilvl="4" w:tplc="2E467A10">
      <w:start w:val="1"/>
      <w:numFmt w:val="lowerLetter"/>
      <w:lvlText w:val="%5."/>
      <w:lvlJc w:val="left"/>
      <w:pPr>
        <w:ind w:left="3600" w:hanging="360"/>
      </w:pPr>
    </w:lvl>
    <w:lvl w:ilvl="5" w:tplc="5776CF2A">
      <w:start w:val="1"/>
      <w:numFmt w:val="lowerRoman"/>
      <w:lvlText w:val="%6."/>
      <w:lvlJc w:val="right"/>
      <w:pPr>
        <w:ind w:left="4320" w:hanging="180"/>
      </w:pPr>
    </w:lvl>
    <w:lvl w:ilvl="6" w:tplc="14FC7914">
      <w:start w:val="1"/>
      <w:numFmt w:val="decimal"/>
      <w:lvlText w:val="%7."/>
      <w:lvlJc w:val="left"/>
      <w:pPr>
        <w:ind w:left="5040" w:hanging="360"/>
      </w:pPr>
    </w:lvl>
    <w:lvl w:ilvl="7" w:tplc="53DC7DEA">
      <w:start w:val="1"/>
      <w:numFmt w:val="lowerLetter"/>
      <w:lvlText w:val="%8."/>
      <w:lvlJc w:val="left"/>
      <w:pPr>
        <w:ind w:left="5760" w:hanging="360"/>
      </w:pPr>
    </w:lvl>
    <w:lvl w:ilvl="8" w:tplc="0130D24C">
      <w:start w:val="1"/>
      <w:numFmt w:val="lowerRoman"/>
      <w:lvlText w:val="%9."/>
      <w:lvlJc w:val="right"/>
      <w:pPr>
        <w:ind w:left="6480" w:hanging="180"/>
      </w:pPr>
    </w:lvl>
  </w:abstractNum>
  <w:abstractNum w:abstractNumId="6" w15:restartNumberingAfterBreak="0">
    <w:nsid w:val="77DD293E"/>
    <w:multiLevelType w:val="hybridMultilevel"/>
    <w:tmpl w:val="379A850C"/>
    <w:lvl w:ilvl="0" w:tplc="FA94B94C">
      <w:start w:val="1"/>
      <w:numFmt w:val="bullet"/>
      <w:suff w:val="space"/>
      <w:lvlText w:val="●"/>
      <w:lvlJc w:val="left"/>
      <w:pPr>
        <w:ind w:left="0" w:firstLine="0"/>
      </w:pPr>
      <w:rPr>
        <w:rFonts w:ascii="Arial" w:hAnsi="Arial" w:hint="default"/>
      </w:rPr>
    </w:lvl>
    <w:lvl w:ilvl="1" w:tplc="B7F6C7A8">
      <w:start w:val="1"/>
      <w:numFmt w:val="bullet"/>
      <w:lvlText w:val="o"/>
      <w:lvlJc w:val="left"/>
      <w:pPr>
        <w:ind w:left="1440" w:hanging="360"/>
      </w:pPr>
      <w:rPr>
        <w:rFonts w:ascii="Courier New" w:hAnsi="Courier New" w:hint="default"/>
      </w:rPr>
    </w:lvl>
    <w:lvl w:ilvl="2" w:tplc="2B76C7B0">
      <w:start w:val="1"/>
      <w:numFmt w:val="bullet"/>
      <w:lvlText w:val=""/>
      <w:lvlJc w:val="left"/>
      <w:pPr>
        <w:ind w:left="2160" w:hanging="360"/>
      </w:pPr>
      <w:rPr>
        <w:rFonts w:ascii="Wingdings" w:hAnsi="Wingdings" w:hint="default"/>
      </w:rPr>
    </w:lvl>
    <w:lvl w:ilvl="3" w:tplc="3AFE94BC">
      <w:start w:val="1"/>
      <w:numFmt w:val="bullet"/>
      <w:lvlText w:val=""/>
      <w:lvlJc w:val="left"/>
      <w:pPr>
        <w:ind w:left="2880" w:hanging="360"/>
      </w:pPr>
      <w:rPr>
        <w:rFonts w:ascii="Symbol" w:hAnsi="Symbol" w:hint="default"/>
      </w:rPr>
    </w:lvl>
    <w:lvl w:ilvl="4" w:tplc="9168C8BA">
      <w:start w:val="1"/>
      <w:numFmt w:val="bullet"/>
      <w:lvlText w:val="o"/>
      <w:lvlJc w:val="left"/>
      <w:pPr>
        <w:ind w:left="3600" w:hanging="360"/>
      </w:pPr>
      <w:rPr>
        <w:rFonts w:ascii="Courier New" w:hAnsi="Courier New" w:hint="default"/>
      </w:rPr>
    </w:lvl>
    <w:lvl w:ilvl="5" w:tplc="FF8E73D0">
      <w:start w:val="1"/>
      <w:numFmt w:val="bullet"/>
      <w:lvlText w:val=""/>
      <w:lvlJc w:val="left"/>
      <w:pPr>
        <w:ind w:left="4320" w:hanging="360"/>
      </w:pPr>
      <w:rPr>
        <w:rFonts w:ascii="Wingdings" w:hAnsi="Wingdings" w:hint="default"/>
      </w:rPr>
    </w:lvl>
    <w:lvl w:ilvl="6" w:tplc="82C09F08">
      <w:start w:val="1"/>
      <w:numFmt w:val="bullet"/>
      <w:lvlText w:val=""/>
      <w:lvlJc w:val="left"/>
      <w:pPr>
        <w:ind w:left="5040" w:hanging="360"/>
      </w:pPr>
      <w:rPr>
        <w:rFonts w:ascii="Symbol" w:hAnsi="Symbol" w:hint="default"/>
      </w:rPr>
    </w:lvl>
    <w:lvl w:ilvl="7" w:tplc="8F542D36">
      <w:start w:val="1"/>
      <w:numFmt w:val="bullet"/>
      <w:lvlText w:val="o"/>
      <w:lvlJc w:val="left"/>
      <w:pPr>
        <w:ind w:left="5760" w:hanging="360"/>
      </w:pPr>
      <w:rPr>
        <w:rFonts w:ascii="Courier New" w:hAnsi="Courier New" w:hint="default"/>
      </w:rPr>
    </w:lvl>
    <w:lvl w:ilvl="8" w:tplc="E58AA044">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02"/>
    <w:rsid w:val="000066A0"/>
    <w:rsid w:val="00014A34"/>
    <w:rsid w:val="00072466"/>
    <w:rsid w:val="00112773"/>
    <w:rsid w:val="00147601"/>
    <w:rsid w:val="00147AA1"/>
    <w:rsid w:val="001B6EB9"/>
    <w:rsid w:val="00206679"/>
    <w:rsid w:val="00312393"/>
    <w:rsid w:val="00371BE6"/>
    <w:rsid w:val="00391F70"/>
    <w:rsid w:val="00465C56"/>
    <w:rsid w:val="004A4779"/>
    <w:rsid w:val="00505D05"/>
    <w:rsid w:val="00576653"/>
    <w:rsid w:val="005959CC"/>
    <w:rsid w:val="0063536B"/>
    <w:rsid w:val="00767427"/>
    <w:rsid w:val="007B10B9"/>
    <w:rsid w:val="007F01CA"/>
    <w:rsid w:val="00804002"/>
    <w:rsid w:val="0091617E"/>
    <w:rsid w:val="00946DAC"/>
    <w:rsid w:val="009775F1"/>
    <w:rsid w:val="009E7CD3"/>
    <w:rsid w:val="00A20A60"/>
    <w:rsid w:val="00A4230B"/>
    <w:rsid w:val="00B20696"/>
    <w:rsid w:val="00B626F3"/>
    <w:rsid w:val="00C172F7"/>
    <w:rsid w:val="00C27D33"/>
    <w:rsid w:val="00C408FD"/>
    <w:rsid w:val="00C45A0F"/>
    <w:rsid w:val="00C92271"/>
    <w:rsid w:val="00D541BD"/>
    <w:rsid w:val="00D61AC1"/>
    <w:rsid w:val="00EC7628"/>
    <w:rsid w:val="00F20812"/>
    <w:rsid w:val="00F673F3"/>
    <w:rsid w:val="00FB72B0"/>
    <w:rsid w:val="00FE7F2B"/>
    <w:rsid w:val="3B7B5A4E"/>
    <w:rsid w:val="67DFDD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39AB"/>
  <w15:docId w15:val="{B14F20AE-B2EB-4AAD-AD13-37DCB400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L"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F7"/>
  </w:style>
  <w:style w:type="paragraph" w:styleId="Ttulo1">
    <w:name w:val="heading 1"/>
    <w:basedOn w:val="Normal"/>
    <w:next w:val="Normal"/>
    <w:link w:val="Ttulo1Car"/>
    <w:autoRedefine/>
    <w:qFormat/>
    <w:rsid w:val="0063536B"/>
    <w:pPr>
      <w:keepNext/>
      <w:spacing w:before="0" w:after="0" w:line="360" w:lineRule="auto"/>
      <w:outlineLvl w:val="0"/>
    </w:pPr>
    <w:rPr>
      <w:rFonts w:eastAsia="Times New Roman"/>
      <w:b/>
      <w:bCs/>
      <w:sz w:val="22"/>
      <w:u w:val="single"/>
      <w:lang w:val="es-ES" w:eastAsia="es-ES"/>
    </w:rPr>
  </w:style>
  <w:style w:type="paragraph" w:styleId="Ttulo2">
    <w:name w:val="heading 2"/>
    <w:basedOn w:val="Normal"/>
    <w:next w:val="Normal"/>
    <w:link w:val="Ttulo2Car"/>
    <w:autoRedefine/>
    <w:qFormat/>
    <w:rsid w:val="0063536B"/>
    <w:pPr>
      <w:keepNext/>
      <w:spacing w:before="0" w:after="0" w:line="360" w:lineRule="auto"/>
      <w:outlineLvl w:val="1"/>
    </w:pPr>
    <w:rPr>
      <w:rFonts w:eastAsia="Times New Roman" w:cs="Times New Roman"/>
      <w:b/>
      <w:sz w:val="22"/>
      <w:szCs w:val="20"/>
      <w:lang w:val="es-ES" w:eastAsia="es-ES"/>
    </w:rPr>
  </w:style>
  <w:style w:type="paragraph" w:styleId="Ttulo3">
    <w:name w:val="heading 3"/>
    <w:basedOn w:val="Normal"/>
    <w:next w:val="Normal"/>
    <w:link w:val="Ttulo3Car"/>
    <w:autoRedefine/>
    <w:qFormat/>
    <w:rsid w:val="0063536B"/>
    <w:pPr>
      <w:keepNext/>
      <w:spacing w:before="0" w:after="0" w:line="360" w:lineRule="auto"/>
      <w:outlineLvl w:val="2"/>
    </w:pPr>
    <w:rPr>
      <w:rFonts w:eastAsia="Times New Roman"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536B"/>
    <w:rPr>
      <w:rFonts w:eastAsia="Times New Roman"/>
      <w:b/>
      <w:bCs/>
      <w:sz w:val="22"/>
      <w:u w:val="single"/>
      <w:lang w:val="es-ES" w:eastAsia="es-ES"/>
    </w:rPr>
  </w:style>
  <w:style w:type="character" w:customStyle="1" w:styleId="Ttulo2Car">
    <w:name w:val="Título 2 Car"/>
    <w:basedOn w:val="Fuentedeprrafopredeter"/>
    <w:link w:val="Ttulo2"/>
    <w:rsid w:val="0063536B"/>
    <w:rPr>
      <w:rFonts w:eastAsia="Times New Roman" w:cs="Times New Roman"/>
      <w:b/>
      <w:sz w:val="22"/>
      <w:szCs w:val="20"/>
      <w:lang w:val="es-ES" w:eastAsia="es-ES"/>
    </w:rPr>
  </w:style>
  <w:style w:type="character" w:customStyle="1" w:styleId="Ttulo3Car">
    <w:name w:val="Título 3 Car"/>
    <w:basedOn w:val="Fuentedeprrafopredeter"/>
    <w:link w:val="Ttulo3"/>
    <w:rsid w:val="0063536B"/>
    <w:rPr>
      <w:rFonts w:eastAsia="Times New Roman" w:cs="Times New Roman"/>
      <w:b/>
      <w:sz w:val="22"/>
      <w:szCs w:val="20"/>
      <w:lang w:val="es-ES" w:eastAsia="es-ES"/>
    </w:rPr>
  </w:style>
  <w:style w:type="table" w:styleId="Tablaconcuadrcula">
    <w:name w:val="Table Grid"/>
    <w:basedOn w:val="Tablanormal"/>
    <w:uiPriority w:val="39"/>
    <w:rsid w:val="008040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4002"/>
    <w:pPr>
      <w:tabs>
        <w:tab w:val="center" w:pos="4419"/>
        <w:tab w:val="right" w:pos="8838"/>
      </w:tabs>
      <w:spacing w:before="0" w:after="0"/>
    </w:pPr>
  </w:style>
  <w:style w:type="character" w:customStyle="1" w:styleId="EncabezadoCar">
    <w:name w:val="Encabezado Car"/>
    <w:basedOn w:val="Fuentedeprrafopredeter"/>
    <w:link w:val="Encabezado"/>
    <w:uiPriority w:val="99"/>
    <w:rsid w:val="00804002"/>
  </w:style>
  <w:style w:type="paragraph" w:styleId="Piedepgina">
    <w:name w:val="footer"/>
    <w:basedOn w:val="Normal"/>
    <w:link w:val="PiedepginaCar"/>
    <w:uiPriority w:val="99"/>
    <w:unhideWhenUsed/>
    <w:rsid w:val="0080400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04002"/>
  </w:style>
  <w:style w:type="paragraph" w:styleId="Prrafodelista">
    <w:name w:val="List Paragraph"/>
    <w:basedOn w:val="Normal"/>
    <w:uiPriority w:val="34"/>
    <w:qFormat/>
    <w:rsid w:val="00C172F7"/>
    <w:pPr>
      <w:ind w:left="720"/>
      <w:contextualSpacing/>
    </w:pPr>
  </w:style>
  <w:style w:type="paragraph" w:styleId="Textodeglobo">
    <w:name w:val="Balloon Text"/>
    <w:basedOn w:val="Normal"/>
    <w:link w:val="TextodegloboCar"/>
    <w:uiPriority w:val="99"/>
    <w:semiHidden/>
    <w:unhideWhenUsed/>
    <w:rsid w:val="00206679"/>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6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8B833C2BAE3840928FFD80902118BC" ma:contentTypeVersion="0" ma:contentTypeDescription="Crear nuevo documento." ma:contentTypeScope="" ma:versionID="8a2f72dca808225b1fdc09b7d32766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DFA7D-D9A5-4DD3-B09C-C1FBE5BBE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6993AB-C9FF-4FB1-8A5A-F9C54200B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C17B5C-9E7B-498B-A19B-EB12C9C4F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2209</Words>
  <Characters>12155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 Moreno</dc:creator>
  <cp:lastModifiedBy>Silvia Rivas Mena</cp:lastModifiedBy>
  <cp:revision>2</cp:revision>
  <cp:lastPrinted>2019-11-19T13:23:00Z</cp:lastPrinted>
  <dcterms:created xsi:type="dcterms:W3CDTF">2019-11-19T14:00:00Z</dcterms:created>
  <dcterms:modified xsi:type="dcterms:W3CDTF">2019-11-19T14:00:00Z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0x010100BA8B833C2BAE3840928FFD80902118BC</vt:lpwstr>
  </property>
</Properties>
</file>