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220"/>
        <w:gridCol w:w="8220"/>
      </w:tblGrid>
      <w:tr w:rsidR="006E4724" w:rsidRPr="00E5454C" w:rsidTr="006E4724">
        <w:trPr>
          <w:trHeight w:val="111"/>
        </w:trPr>
        <w:tc>
          <w:tcPr>
            <w:tcW w:w="8220" w:type="dxa"/>
          </w:tcPr>
          <w:p w:rsidR="00DD484A" w:rsidRPr="00E5454C" w:rsidRDefault="00D444A9" w:rsidP="006E4724">
            <w:pPr>
              <w:spacing w:before="60" w:after="60"/>
              <w:jc w:val="center"/>
              <w:rPr>
                <w:rFonts w:cstheme="minorHAnsi"/>
              </w:rPr>
            </w:pPr>
            <w:r w:rsidRPr="00E5454C">
              <w:rPr>
                <w:rFonts w:cstheme="minorHAnsi"/>
                <w:b/>
              </w:rPr>
              <w:t>Legislación vigente</w:t>
            </w:r>
          </w:p>
        </w:tc>
        <w:tc>
          <w:tcPr>
            <w:tcW w:w="8220" w:type="dxa"/>
          </w:tcPr>
          <w:p w:rsidR="00DD484A" w:rsidRPr="00E5454C" w:rsidRDefault="00D444A9" w:rsidP="006E4724">
            <w:pPr>
              <w:spacing w:before="60" w:after="60"/>
              <w:jc w:val="center"/>
              <w:rPr>
                <w:rFonts w:cstheme="minorHAnsi"/>
              </w:rPr>
            </w:pPr>
            <w:r w:rsidRPr="00E5454C">
              <w:rPr>
                <w:rFonts w:cstheme="minorHAnsi"/>
                <w:b/>
              </w:rPr>
              <w:t>Proyecto de ley</w:t>
            </w:r>
          </w:p>
        </w:tc>
      </w:tr>
      <w:tr w:rsidR="006E4724" w:rsidRPr="00E5454C" w:rsidTr="006E4724">
        <w:tc>
          <w:tcPr>
            <w:tcW w:w="8220" w:type="dxa"/>
          </w:tcPr>
          <w:p w:rsidR="00380207" w:rsidRPr="00380207" w:rsidRDefault="00380207" w:rsidP="00A558B5">
            <w:pPr>
              <w:jc w:val="both"/>
              <w:rPr>
                <w:rFonts w:cstheme="minorHAnsi"/>
                <w:b/>
              </w:rPr>
            </w:pPr>
            <w:r w:rsidRPr="00380207">
              <w:rPr>
                <w:rFonts w:cstheme="minorHAnsi"/>
                <w:b/>
                <w:szCs w:val="24"/>
              </w:rPr>
              <w:t>LEY N° 19.628, SOBRE PROTECCIÓN DE LA VIDA PRIVADA</w:t>
            </w:r>
          </w:p>
          <w:p w:rsidR="00380207" w:rsidRDefault="00380207" w:rsidP="00A558B5">
            <w:pPr>
              <w:jc w:val="both"/>
              <w:rPr>
                <w:rFonts w:cstheme="minorHAnsi"/>
                <w:b/>
              </w:rPr>
            </w:pPr>
          </w:p>
          <w:p w:rsidR="00A558B5" w:rsidRDefault="00A558B5" w:rsidP="00A558B5">
            <w:pPr>
              <w:jc w:val="both"/>
              <w:rPr>
                <w:rFonts w:cstheme="minorHAnsi"/>
              </w:rPr>
            </w:pPr>
            <w:r w:rsidRPr="00E5454C">
              <w:rPr>
                <w:rFonts w:cstheme="minorHAnsi"/>
                <w:b/>
              </w:rPr>
              <w:t>Artículo 17.-</w:t>
            </w:r>
            <w:r w:rsidRPr="00E5454C">
              <w:rPr>
                <w:rFonts w:cstheme="minorHAnsi"/>
              </w:rPr>
              <w:t xml:space="preserve"> Los responsables de los registros o bancos de datos personales sólo podrán comunicar información que verse sobre obligaciones de carácter económico, financiero, bancario o comercial, cuando éstas consten en letras de cambio y pagarés protestados; cheques protestados por falta de fondos, por haber sido girados contra cuenta corriente cerrada o por otra</w:t>
            </w:r>
            <w:r w:rsidR="006E4724">
              <w:rPr>
                <w:rFonts w:cstheme="minorHAnsi"/>
              </w:rPr>
              <w:t xml:space="preserve"> </w:t>
            </w:r>
            <w:r w:rsidRPr="00E5454C">
              <w:rPr>
                <w:rFonts w:cstheme="minorHAnsi"/>
              </w:rPr>
              <w:t xml:space="preserve">causa; como asimismo el incumplimiento de obligaciones derivadas de mutuos hipotecarios y de préstamos o créditos de bancos, sociedades financieras, administradoras de mutuos hipotecarios, cooperativas de ahorros y créditos, organismos públicos y empresas del Estado sometidas a la legislación común, y de sociedades administradoras de créditos otorgados para compras en casas comerciales. Se exceptúa la información relacionada con los créditos concedidos por el Instituto Nacional de Desarrollo Agropecuario a sus usuarios, y la información relacionada con obligaciones de carácter económico, financiero, bancario o comercial en cuanto hayan sido </w:t>
            </w:r>
            <w:proofErr w:type="spellStart"/>
            <w:r w:rsidRPr="00E5454C">
              <w:rPr>
                <w:rFonts w:cstheme="minorHAnsi"/>
              </w:rPr>
              <w:t>repactadas</w:t>
            </w:r>
            <w:proofErr w:type="spellEnd"/>
            <w:r w:rsidRPr="00E5454C">
              <w:rPr>
                <w:rFonts w:cstheme="minorHAnsi"/>
              </w:rPr>
              <w:t>, renegociadas o novadas, o éstas se encuentren con alguna modalidad pendiente.</w:t>
            </w:r>
          </w:p>
          <w:p w:rsidR="006E4724" w:rsidRPr="00E5454C" w:rsidRDefault="006E4724" w:rsidP="00A558B5">
            <w:pPr>
              <w:jc w:val="both"/>
              <w:rPr>
                <w:rFonts w:cstheme="minorHAnsi"/>
              </w:rPr>
            </w:pPr>
          </w:p>
          <w:p w:rsidR="00674E96" w:rsidRDefault="00A558B5"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sidRPr="003B6553">
              <w:rPr>
                <w:rFonts w:eastAsia="Times New Roman" w:cstheme="minorHAnsi"/>
                <w:color w:val="000000" w:themeColor="text1"/>
                <w:lang w:eastAsia="es-ES"/>
              </w:rPr>
              <w:t>También pod</w:t>
            </w:r>
            <w:r w:rsidRPr="00E5454C">
              <w:rPr>
                <w:rFonts w:eastAsia="Times New Roman" w:cstheme="minorHAnsi"/>
                <w:color w:val="000000" w:themeColor="text1"/>
                <w:lang w:eastAsia="es-ES"/>
              </w:rPr>
              <w:t xml:space="preserve">rán comunicarse aquellas otras </w:t>
            </w:r>
            <w:r w:rsidRPr="003B6553">
              <w:rPr>
                <w:rFonts w:eastAsia="Times New Roman" w:cstheme="minorHAnsi"/>
                <w:color w:val="000000" w:themeColor="text1"/>
                <w:lang w:eastAsia="es-ES"/>
              </w:rPr>
              <w:t xml:space="preserve">obligaciones de dinero </w:t>
            </w:r>
            <w:r w:rsidRPr="00E5454C">
              <w:rPr>
                <w:rFonts w:eastAsia="Times New Roman" w:cstheme="minorHAnsi"/>
                <w:color w:val="000000" w:themeColor="text1"/>
                <w:lang w:eastAsia="es-ES"/>
              </w:rPr>
              <w:t xml:space="preserve">que determine el Presidente de </w:t>
            </w:r>
            <w:r w:rsidRPr="003B6553">
              <w:rPr>
                <w:rFonts w:eastAsia="Times New Roman" w:cstheme="minorHAnsi"/>
                <w:color w:val="000000" w:themeColor="text1"/>
                <w:lang w:eastAsia="es-ES"/>
              </w:rPr>
              <w:t>la República mediante de</w:t>
            </w:r>
            <w:r w:rsidRPr="00E5454C">
              <w:rPr>
                <w:rFonts w:eastAsia="Times New Roman" w:cstheme="minorHAnsi"/>
                <w:color w:val="000000" w:themeColor="text1"/>
                <w:lang w:eastAsia="es-ES"/>
              </w:rPr>
              <w:t xml:space="preserve">creto supremo, las que deberán </w:t>
            </w:r>
            <w:r w:rsidRPr="003B6553">
              <w:rPr>
                <w:rFonts w:eastAsia="Times New Roman" w:cstheme="minorHAnsi"/>
                <w:color w:val="000000" w:themeColor="text1"/>
                <w:lang w:eastAsia="es-ES"/>
              </w:rPr>
              <w:t>estar sustentadas en ins</w:t>
            </w:r>
            <w:r w:rsidRPr="00E5454C">
              <w:rPr>
                <w:rFonts w:eastAsia="Times New Roman" w:cstheme="minorHAnsi"/>
                <w:color w:val="000000" w:themeColor="text1"/>
                <w:lang w:eastAsia="es-ES"/>
              </w:rPr>
              <w:t xml:space="preserve">trumentos de pago o de crédito </w:t>
            </w:r>
            <w:r w:rsidRPr="003B6553">
              <w:rPr>
                <w:rFonts w:eastAsia="Times New Roman" w:cstheme="minorHAnsi"/>
                <w:color w:val="000000" w:themeColor="text1"/>
                <w:lang w:eastAsia="es-ES"/>
              </w:rPr>
              <w:t>válidamente emi</w:t>
            </w:r>
            <w:r w:rsidRPr="00E5454C">
              <w:rPr>
                <w:rFonts w:eastAsia="Times New Roman" w:cstheme="minorHAnsi"/>
                <w:color w:val="000000" w:themeColor="text1"/>
                <w:lang w:eastAsia="es-ES"/>
              </w:rPr>
              <w:t xml:space="preserve">tidos, en los cuales conste el </w:t>
            </w:r>
            <w:r w:rsidRPr="003B6553">
              <w:rPr>
                <w:rFonts w:eastAsia="Times New Roman" w:cstheme="minorHAnsi"/>
                <w:color w:val="000000" w:themeColor="text1"/>
                <w:lang w:eastAsia="es-ES"/>
              </w:rPr>
              <w:t>consentimiento expreso d</w:t>
            </w:r>
            <w:r w:rsidRPr="00E5454C">
              <w:rPr>
                <w:rFonts w:eastAsia="Times New Roman" w:cstheme="minorHAnsi"/>
                <w:color w:val="000000" w:themeColor="text1"/>
                <w:lang w:eastAsia="es-ES"/>
              </w:rPr>
              <w:t xml:space="preserve">el deudor u obligado al pago y </w:t>
            </w:r>
            <w:r w:rsidRPr="003B6553">
              <w:rPr>
                <w:rFonts w:eastAsia="Times New Roman" w:cstheme="minorHAnsi"/>
                <w:color w:val="000000" w:themeColor="text1"/>
                <w:lang w:eastAsia="es-ES"/>
              </w:rPr>
              <w:t xml:space="preserve">su fecha de vencimiento. No podrá comunicarse </w:t>
            </w:r>
            <w:r w:rsidRPr="00E5454C">
              <w:rPr>
                <w:rFonts w:eastAsia="Times New Roman" w:cstheme="minorHAnsi"/>
                <w:color w:val="000000" w:themeColor="text1"/>
                <w:lang w:eastAsia="es-ES"/>
              </w:rPr>
              <w:t xml:space="preserve">la </w:t>
            </w:r>
            <w:r w:rsidRPr="003B6553">
              <w:rPr>
                <w:rFonts w:eastAsia="Times New Roman" w:cstheme="minorHAnsi"/>
                <w:color w:val="000000" w:themeColor="text1"/>
                <w:lang w:eastAsia="es-ES"/>
              </w:rPr>
              <w:t>información relacionada</w:t>
            </w:r>
            <w:r w:rsidRPr="00E5454C">
              <w:rPr>
                <w:rFonts w:eastAsia="Times New Roman" w:cstheme="minorHAnsi"/>
                <w:color w:val="000000" w:themeColor="text1"/>
                <w:lang w:eastAsia="es-ES"/>
              </w:rPr>
              <w:t xml:space="preserve"> con las deudas contraídas con </w:t>
            </w:r>
            <w:r w:rsidRPr="003B6553">
              <w:rPr>
                <w:rFonts w:eastAsia="Times New Roman" w:cstheme="minorHAnsi"/>
                <w:color w:val="000000" w:themeColor="text1"/>
                <w:lang w:eastAsia="es-ES"/>
              </w:rPr>
              <w:t>empresas públicas o priva</w:t>
            </w:r>
            <w:r w:rsidRPr="00E5454C">
              <w:rPr>
                <w:rFonts w:eastAsia="Times New Roman" w:cstheme="minorHAnsi"/>
                <w:color w:val="000000" w:themeColor="text1"/>
                <w:lang w:eastAsia="es-ES"/>
              </w:rPr>
              <w:t xml:space="preserve">das que proporcionen servicios </w:t>
            </w:r>
            <w:r w:rsidRPr="003B6553">
              <w:rPr>
                <w:rFonts w:eastAsia="Times New Roman" w:cstheme="minorHAnsi"/>
                <w:color w:val="000000" w:themeColor="text1"/>
                <w:lang w:eastAsia="es-ES"/>
              </w:rPr>
              <w:t>de electricidad, agua, teléfono y gas;</w:t>
            </w:r>
            <w:r w:rsidR="006E4724">
              <w:rPr>
                <w:rFonts w:eastAsia="Times New Roman" w:cstheme="minorHAnsi"/>
                <w:color w:val="000000" w:themeColor="text1"/>
                <w:lang w:eastAsia="es-ES"/>
              </w:rPr>
              <w:t xml:space="preserve"> ____</w:t>
            </w:r>
          </w:p>
          <w:p w:rsidR="00674E96" w:rsidRDefault="00380207"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______</w:t>
            </w:r>
            <w:r w:rsidR="00674E96">
              <w:rPr>
                <w:rFonts w:eastAsia="Times New Roman" w:cstheme="minorHAnsi"/>
                <w:color w:val="000000" w:themeColor="text1"/>
                <w:lang w:eastAsia="es-ES"/>
              </w:rPr>
              <w:t>________________________________________________________</w:t>
            </w:r>
            <w:r w:rsidR="006E4724">
              <w:rPr>
                <w:rFonts w:eastAsia="Times New Roman" w:cstheme="minorHAnsi"/>
                <w:color w:val="000000" w:themeColor="text1"/>
                <w:lang w:eastAsia="es-ES"/>
              </w:rPr>
              <w:t>___________</w:t>
            </w:r>
          </w:p>
          <w:p w:rsidR="00380207" w:rsidRDefault="00380207"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6E4724" w:rsidRDefault="006E4724"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C94304" w:rsidRDefault="00C94304"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bookmarkStart w:id="0" w:name="_GoBack"/>
            <w:bookmarkEnd w:id="0"/>
          </w:p>
          <w:p w:rsidR="006E4724" w:rsidRDefault="006E4724"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A558B5" w:rsidRDefault="00A558B5" w:rsidP="00A5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roofErr w:type="gramStart"/>
            <w:r w:rsidRPr="003B6553">
              <w:rPr>
                <w:rFonts w:eastAsia="Times New Roman" w:cstheme="minorHAnsi"/>
                <w:color w:val="000000" w:themeColor="text1"/>
                <w:lang w:eastAsia="es-ES"/>
              </w:rPr>
              <w:t>tampoco</w:t>
            </w:r>
            <w:proofErr w:type="gramEnd"/>
            <w:r w:rsidRPr="003B6553">
              <w:rPr>
                <w:rFonts w:eastAsia="Times New Roman" w:cstheme="minorHAnsi"/>
                <w:color w:val="000000" w:themeColor="text1"/>
                <w:lang w:eastAsia="es-ES"/>
              </w:rPr>
              <w:t xml:space="preserve"> podrán comunicarse las deudas contraídas con concesionarios de autopistas por el uso de su infraestructura.</w:t>
            </w:r>
          </w:p>
          <w:p w:rsidR="00E5454C" w:rsidRDefault="00380207" w:rsidP="00E5454C">
            <w:pPr>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 xml:space="preserve"> Las entidades responsables que administren bancos de datos personales no podrán publicar o comunicar la información referida en el presente artículo, en especial los protestos y morosidades contenidas en él, cuando éstas se hayan originado durante el período de cesantía que afecte al deudor.</w:t>
            </w:r>
          </w:p>
          <w:p w:rsidR="00E5454C" w:rsidRDefault="00380207" w:rsidP="00E5454C">
            <w:pPr>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Para estos efectos, la Administradora de Fondos de Cesantía comunicará los datos de sus beneficiarios al Boletín de Informaciones Comerciales sólo mientras subsistan sus beneficios para los efectos de que éste bloquee la información concerniente a tales personas.</w:t>
            </w:r>
          </w:p>
          <w:p w:rsidR="00E5454C" w:rsidRPr="00E5454C" w:rsidRDefault="00380207" w:rsidP="00E5454C">
            <w:pPr>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Sin embargo, las personas que no estén incorporadas al seguro de cesantía deberán acreditar dicha condición ante el Boletín de Informaciones Comerciales, acompañando el finiquito extendido en forma legal o, si existiese controversia, con el acta de comparecencia ante la Inspección del Trabajo, para los efectos de impetrar este derecho por tres meses renovable hasta por una vez. Para que opere dicha renovación se deberá adjuntar una declaración jurada del deudor en la que manifieste que mantiene su condición de cesante.</w:t>
            </w:r>
          </w:p>
          <w:p w:rsidR="00E5454C" w:rsidRPr="00E5454C" w:rsidRDefault="00380207" w:rsidP="0038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 xml:space="preserve"> El bloqueo de datos será sin costo para el deudor.</w:t>
            </w:r>
          </w:p>
          <w:p w:rsidR="00E5454C" w:rsidRPr="00E5454C" w:rsidRDefault="00380207" w:rsidP="0038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 xml:space="preserve"> No procederá el bloqueo de datos respecto de quienes consignen anotaciones en el sistema de información comercial durante el año anterior a la fecha de término de su relación laboral.</w:t>
            </w:r>
          </w:p>
          <w:p w:rsidR="00E5454C" w:rsidRPr="00E5454C" w:rsidRDefault="00380207" w:rsidP="0038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Pr>
                <w:rFonts w:eastAsia="Times New Roman" w:cstheme="minorHAnsi"/>
                <w:color w:val="000000" w:themeColor="text1"/>
                <w:lang w:eastAsia="es-ES"/>
              </w:rPr>
              <w:t xml:space="preserve"> </w:t>
            </w:r>
            <w:r w:rsidR="00E5454C" w:rsidRPr="003B6553">
              <w:rPr>
                <w:rFonts w:eastAsia="Times New Roman" w:cstheme="minorHAnsi"/>
                <w:color w:val="000000" w:themeColor="text1"/>
                <w:lang w:eastAsia="es-ES"/>
              </w:rPr>
              <w:t xml:space="preserve"> Las entidades responsables de la administración de bancos de datos personales no podrán señalar bajo ninguna circunstancia, signo o caracterización que la persona se encuentra beneficiada por esta ley.</w:t>
            </w:r>
          </w:p>
        </w:tc>
        <w:tc>
          <w:tcPr>
            <w:tcW w:w="8220" w:type="dxa"/>
          </w:tcPr>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A558B5" w:rsidRPr="00E5454C" w:rsidRDefault="00A558B5" w:rsidP="00D444A9">
            <w:pPr>
              <w:tabs>
                <w:tab w:val="left" w:pos="2835"/>
              </w:tabs>
              <w:jc w:val="both"/>
              <w:rPr>
                <w:rFonts w:cstheme="minorHAnsi"/>
                <w:szCs w:val="24"/>
              </w:rPr>
            </w:pPr>
          </w:p>
          <w:p w:rsidR="00674E96" w:rsidRDefault="00674E96" w:rsidP="00D444A9">
            <w:pPr>
              <w:tabs>
                <w:tab w:val="left" w:pos="2835"/>
              </w:tabs>
              <w:jc w:val="both"/>
              <w:rPr>
                <w:rFonts w:cstheme="minorHAnsi"/>
                <w:szCs w:val="24"/>
              </w:rPr>
            </w:pPr>
          </w:p>
          <w:p w:rsidR="00C94304" w:rsidRDefault="00C94304" w:rsidP="00D444A9">
            <w:pPr>
              <w:tabs>
                <w:tab w:val="left" w:pos="2835"/>
              </w:tabs>
              <w:jc w:val="both"/>
              <w:rPr>
                <w:rFonts w:cstheme="minorHAnsi"/>
                <w:szCs w:val="24"/>
              </w:rPr>
            </w:pPr>
          </w:p>
          <w:p w:rsidR="00380207" w:rsidRDefault="00D444A9" w:rsidP="00D444A9">
            <w:pPr>
              <w:tabs>
                <w:tab w:val="left" w:pos="2835"/>
              </w:tabs>
              <w:jc w:val="both"/>
              <w:rPr>
                <w:rFonts w:cstheme="minorHAnsi"/>
                <w:szCs w:val="24"/>
              </w:rPr>
            </w:pPr>
            <w:r w:rsidRPr="00E5454C">
              <w:rPr>
                <w:rFonts w:cstheme="minorHAnsi"/>
                <w:szCs w:val="24"/>
              </w:rPr>
              <w:t>“Artículo único.- Incorpórase en el inciso segundo del artículo 17 de la ley N° 19.628, sobre protección de la vida privada, a continuación del punto y coma que sigue a la frase “No podrá comunicarse la información relacionada con las deudas contraídas con empresas públicas o privadas que proporcionen servicios de electricidad, agua, teléfono y gas”, lo siguiente:</w:t>
            </w:r>
          </w:p>
          <w:p w:rsidR="00D444A9" w:rsidRPr="00E5454C" w:rsidRDefault="00D444A9" w:rsidP="00D444A9">
            <w:pPr>
              <w:tabs>
                <w:tab w:val="left" w:pos="2835"/>
              </w:tabs>
              <w:jc w:val="both"/>
              <w:rPr>
                <w:rFonts w:cstheme="minorHAnsi"/>
                <w:szCs w:val="24"/>
              </w:rPr>
            </w:pPr>
            <w:r w:rsidRPr="00E5454C">
              <w:rPr>
                <w:rFonts w:cstheme="minorHAnsi"/>
                <w:szCs w:val="24"/>
              </w:rPr>
              <w:t>“</w:t>
            </w:r>
            <w:r w:rsidRPr="00674E96">
              <w:rPr>
                <w:rFonts w:cstheme="minorHAnsi"/>
                <w:b/>
                <w:i/>
                <w:szCs w:val="24"/>
              </w:rPr>
              <w:t xml:space="preserve">tampoco las deudas contraídas con instituciones de educación superior de conformidad a las leyes números 18.591 y 19.287, ni aquellas adquiridas con bancos o instituciones financieras de conformidad a la ley N° 20.027, o en el marco de las líneas de financiamiento a estudiantes para cursar estudios en educación superior, administradas por la Corporación de </w:t>
            </w:r>
            <w:r w:rsidRPr="00674E96">
              <w:rPr>
                <w:rFonts w:cstheme="minorHAnsi"/>
                <w:b/>
                <w:i/>
                <w:szCs w:val="24"/>
              </w:rPr>
              <w:lastRenderedPageBreak/>
              <w:t>Fomento de la Producción, ni alguna deuda contraída con la finalidad de recibir para sí o para terceros un servicio educacional en cualquiera de sus niveles</w:t>
            </w:r>
            <w:r w:rsidRPr="00E5454C">
              <w:rPr>
                <w:rFonts w:cstheme="minorHAnsi"/>
                <w:szCs w:val="24"/>
              </w:rPr>
              <w:t>;”.</w:t>
            </w: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E5454C" w:rsidRPr="00E5454C" w:rsidRDefault="00E5454C" w:rsidP="00D444A9">
            <w:pPr>
              <w:tabs>
                <w:tab w:val="left" w:pos="2835"/>
              </w:tabs>
              <w:jc w:val="both"/>
              <w:rPr>
                <w:rFonts w:cstheme="minorHAnsi"/>
                <w:szCs w:val="24"/>
              </w:rPr>
            </w:pPr>
          </w:p>
          <w:p w:rsidR="00DD484A" w:rsidRDefault="00DD484A">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Default="00674E96">
            <w:pPr>
              <w:rPr>
                <w:rFonts w:cstheme="minorHAnsi"/>
              </w:rPr>
            </w:pPr>
          </w:p>
          <w:p w:rsidR="00674E96" w:rsidRPr="00E5454C" w:rsidRDefault="00674E96" w:rsidP="00674E96">
            <w:pPr>
              <w:jc w:val="both"/>
              <w:rPr>
                <w:rFonts w:cstheme="minorHAnsi"/>
              </w:rPr>
            </w:pPr>
          </w:p>
        </w:tc>
      </w:tr>
      <w:tr w:rsidR="006E4724" w:rsidRPr="00E5454C" w:rsidTr="006E4724">
        <w:tc>
          <w:tcPr>
            <w:tcW w:w="8220" w:type="dxa"/>
          </w:tcPr>
          <w:p w:rsidR="00380207" w:rsidRPr="00E5454C" w:rsidRDefault="00380207" w:rsidP="00A558B5">
            <w:pPr>
              <w:jc w:val="both"/>
              <w:rPr>
                <w:rFonts w:cstheme="minorHAnsi"/>
                <w:b/>
              </w:rPr>
            </w:pPr>
          </w:p>
        </w:tc>
        <w:tc>
          <w:tcPr>
            <w:tcW w:w="8220" w:type="dxa"/>
          </w:tcPr>
          <w:p w:rsidR="00C94304" w:rsidRPr="00E5454C" w:rsidRDefault="00380207" w:rsidP="00C94304">
            <w:pPr>
              <w:jc w:val="both"/>
              <w:rPr>
                <w:rFonts w:cstheme="minorHAnsi"/>
                <w:szCs w:val="24"/>
              </w:rPr>
            </w:pPr>
            <w:r w:rsidRPr="00674E96">
              <w:rPr>
                <w:rFonts w:cstheme="minorHAnsi"/>
                <w:b/>
              </w:rPr>
              <w:t xml:space="preserve">Artículo </w:t>
            </w:r>
            <w:r>
              <w:rPr>
                <w:rFonts w:cstheme="minorHAnsi"/>
                <w:b/>
              </w:rPr>
              <w:t>t</w:t>
            </w:r>
            <w:r w:rsidRPr="00674E96">
              <w:rPr>
                <w:rFonts w:cstheme="minorHAnsi"/>
                <w:b/>
              </w:rPr>
              <w:t>ransitorio</w:t>
            </w:r>
            <w:r>
              <w:rPr>
                <w:rFonts w:cstheme="minorHAnsi"/>
                <w:b/>
              </w:rPr>
              <w:t xml:space="preserve">.- </w:t>
            </w:r>
            <w:r w:rsidRPr="00D142A0">
              <w:rPr>
                <w:rFonts w:cs="Arial"/>
                <w:szCs w:val="24"/>
              </w:rPr>
              <w:t xml:space="preserve">Las disposiciones de la presente ley entrarán en vigencia a partir de los ciento ochenta días posteriores a </w:t>
            </w:r>
            <w:r>
              <w:rPr>
                <w:rFonts w:cs="Arial"/>
                <w:szCs w:val="24"/>
              </w:rPr>
              <w:t xml:space="preserve">la publicación de la misma. Los </w:t>
            </w:r>
            <w:r w:rsidRPr="00D142A0">
              <w:rPr>
                <w:rFonts w:cs="Arial"/>
                <w:szCs w:val="24"/>
              </w:rPr>
              <w:t>responsables de los registros o bancos de datos personales que almacenan y comunican información sobre las obligaciones a que se refiere el artículo anterior deberán eliminar todos los datos relacionados con éstas, en el plazo señalado anteriormente.</w:t>
            </w:r>
          </w:p>
        </w:tc>
      </w:tr>
    </w:tbl>
    <w:p w:rsidR="00B53449" w:rsidRDefault="00B53449" w:rsidP="006F2ACC">
      <w:pPr>
        <w:rPr>
          <w:rFonts w:cstheme="minorHAnsi"/>
        </w:rPr>
      </w:pPr>
    </w:p>
    <w:sectPr w:rsidR="00B53449" w:rsidSect="005C7175">
      <w:headerReference w:type="default" r:id="rId7"/>
      <w:headerReference w:type="first" r:id="rId8"/>
      <w:footerReference w:type="first" r:id="rId9"/>
      <w:pgSz w:w="20160" w:h="12240" w:orient="landscape" w:code="5"/>
      <w:pgMar w:top="2268" w:right="567" w:bottom="1701" w:left="283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63" w:rsidRDefault="000A4663" w:rsidP="00DD484A">
      <w:pPr>
        <w:spacing w:after="0" w:line="240" w:lineRule="auto"/>
      </w:pPr>
      <w:r>
        <w:separator/>
      </w:r>
    </w:p>
  </w:endnote>
  <w:endnote w:type="continuationSeparator" w:id="0">
    <w:p w:rsidR="000A4663" w:rsidRDefault="000A4663" w:rsidP="00DD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D4" w:rsidRDefault="00270FD4" w:rsidP="00270FD4">
    <w:pPr>
      <w:pStyle w:val="Piedepgina"/>
      <w:jc w:val="center"/>
    </w:pPr>
    <w:r w:rsidRPr="00270FD4">
      <w:rPr>
        <w:i/>
        <w:sz w:val="24"/>
        <w:szCs w:val="24"/>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63" w:rsidRDefault="000A4663" w:rsidP="00DD484A">
      <w:pPr>
        <w:spacing w:after="0" w:line="240" w:lineRule="auto"/>
      </w:pPr>
      <w:r>
        <w:separator/>
      </w:r>
    </w:p>
  </w:footnote>
  <w:footnote w:type="continuationSeparator" w:id="0">
    <w:p w:rsidR="000A4663" w:rsidRDefault="000A4663" w:rsidP="00DD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70253"/>
      <w:docPartObj>
        <w:docPartGallery w:val="Page Numbers (Top of Page)"/>
        <w:docPartUnique/>
      </w:docPartObj>
    </w:sdtPr>
    <w:sdtContent>
      <w:p w:rsidR="00CA1AF9" w:rsidRDefault="00CA1AF9">
        <w:pPr>
          <w:pStyle w:val="Encabezado"/>
          <w:jc w:val="right"/>
        </w:pPr>
        <w:r>
          <w:fldChar w:fldCharType="begin"/>
        </w:r>
        <w:r>
          <w:instrText>PAGE   \* MERGEFORMAT</w:instrText>
        </w:r>
        <w:r>
          <w:fldChar w:fldCharType="separate"/>
        </w:r>
        <w:r w:rsidR="005C717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75" w:rsidRDefault="00270FD4" w:rsidP="00270FD4">
    <w:pPr>
      <w:pStyle w:val="Encabezado"/>
      <w:jc w:val="center"/>
      <w:rPr>
        <w:b/>
        <w:sz w:val="24"/>
        <w:szCs w:val="24"/>
      </w:rPr>
    </w:pPr>
    <w:r w:rsidRPr="00270FD4">
      <w:rPr>
        <w:b/>
        <w:sz w:val="24"/>
        <w:szCs w:val="24"/>
      </w:rPr>
      <w:t>Proyecto de ley que modifica la ley N° 19.628, sobre protección de la vida privada, con el objeto de prohibir que se</w:t>
    </w:r>
    <w:r w:rsidR="005C7175">
      <w:rPr>
        <w:b/>
        <w:sz w:val="24"/>
        <w:szCs w:val="24"/>
      </w:rPr>
      <w:t xml:space="preserve"> </w:t>
    </w:r>
    <w:r w:rsidRPr="00270FD4">
      <w:rPr>
        <w:b/>
        <w:sz w:val="24"/>
        <w:szCs w:val="24"/>
      </w:rPr>
      <w:t>Informe sobre las deudas contraídas para</w:t>
    </w:r>
  </w:p>
  <w:p w:rsidR="00270FD4" w:rsidRDefault="005C7175" w:rsidP="00270FD4">
    <w:pPr>
      <w:pStyle w:val="Encabezado"/>
      <w:jc w:val="center"/>
    </w:pPr>
    <w:proofErr w:type="gramStart"/>
    <w:r>
      <w:rPr>
        <w:b/>
        <w:sz w:val="24"/>
        <w:szCs w:val="24"/>
      </w:rPr>
      <w:t>fi</w:t>
    </w:r>
    <w:r w:rsidR="00270FD4" w:rsidRPr="00270FD4">
      <w:rPr>
        <w:b/>
        <w:sz w:val="24"/>
        <w:szCs w:val="24"/>
      </w:rPr>
      <w:t>nanciar</w:t>
    </w:r>
    <w:proofErr w:type="gramEnd"/>
    <w:r>
      <w:rPr>
        <w:b/>
        <w:sz w:val="24"/>
        <w:szCs w:val="24"/>
      </w:rPr>
      <w:t xml:space="preserve"> </w:t>
    </w:r>
    <w:r w:rsidR="00270FD4" w:rsidRPr="00270FD4">
      <w:rPr>
        <w:b/>
        <w:sz w:val="24"/>
        <w:szCs w:val="24"/>
      </w:rPr>
      <w:t>la educación en cualquiera de sus niveles (boletín N° 12.415-S)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A"/>
    <w:rsid w:val="000A4663"/>
    <w:rsid w:val="00270FD4"/>
    <w:rsid w:val="00380207"/>
    <w:rsid w:val="005C7175"/>
    <w:rsid w:val="00624373"/>
    <w:rsid w:val="00674E96"/>
    <w:rsid w:val="006E4724"/>
    <w:rsid w:val="006F2ACC"/>
    <w:rsid w:val="007E319A"/>
    <w:rsid w:val="00A558B5"/>
    <w:rsid w:val="00B53449"/>
    <w:rsid w:val="00B84CFA"/>
    <w:rsid w:val="00C94304"/>
    <w:rsid w:val="00CA1AF9"/>
    <w:rsid w:val="00D444A9"/>
    <w:rsid w:val="00DD484A"/>
    <w:rsid w:val="00E5454C"/>
    <w:rsid w:val="00F22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E183-729F-4200-9790-187EFE1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48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484A"/>
  </w:style>
  <w:style w:type="paragraph" w:styleId="Piedepgina">
    <w:name w:val="footer"/>
    <w:basedOn w:val="Normal"/>
    <w:link w:val="PiedepginaCar"/>
    <w:uiPriority w:val="99"/>
    <w:unhideWhenUsed/>
    <w:rsid w:val="00DD48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5B520-C296-4771-AFD3-6EB97907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Urbina Rouse</dc:creator>
  <cp:lastModifiedBy>Maria Soledad Fredes Ruiz</cp:lastModifiedBy>
  <cp:revision>14</cp:revision>
  <cp:lastPrinted>2019-10-24T17:34:00Z</cp:lastPrinted>
  <dcterms:created xsi:type="dcterms:W3CDTF">2019-10-24T14:43:00Z</dcterms:created>
  <dcterms:modified xsi:type="dcterms:W3CDTF">2019-10-24T17:38:00Z</dcterms:modified>
</cp:coreProperties>
</file>