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F668" w14:textId="435AA637" w:rsidR="00581593" w:rsidRDefault="003F6C0B" w:rsidP="007E7051">
      <w:pPr>
        <w:jc w:val="center"/>
        <w:rPr>
          <w:rFonts w:ascii="Century Gothic" w:hAnsi="Century Gothic"/>
          <w:b/>
          <w:sz w:val="48"/>
          <w:szCs w:val="48"/>
        </w:rPr>
      </w:pPr>
      <w:r w:rsidRPr="003F6C0B">
        <w:rPr>
          <w:rFonts w:ascii="Century Gothic" w:hAnsi="Century Gothic"/>
          <w:b/>
          <w:sz w:val="48"/>
          <w:szCs w:val="48"/>
        </w:rPr>
        <w:t>Modifica la Carta Fundamental para extender la aplicación del procedimiento contenido en el Código Procesal Penal, a los delitos que indica</w:t>
      </w:r>
    </w:p>
    <w:p w14:paraId="07A7678C" w14:textId="77777777" w:rsidR="003F6C0B" w:rsidRDefault="003F6C0B" w:rsidP="007E7051">
      <w:pPr>
        <w:jc w:val="center"/>
        <w:rPr>
          <w:rFonts w:ascii="Times New Roman" w:hAnsi="Times New Roman"/>
        </w:rPr>
      </w:pPr>
    </w:p>
    <w:p w14:paraId="37FBC2FC" w14:textId="77777777" w:rsidR="00581593" w:rsidRDefault="00581593" w:rsidP="009B4457">
      <w:pPr>
        <w:jc w:val="both"/>
        <w:rPr>
          <w:rFonts w:ascii="Times New Roman" w:hAnsi="Times New Roman"/>
        </w:rPr>
      </w:pPr>
    </w:p>
    <w:p w14:paraId="5073FC4C" w14:textId="68710C3D" w:rsidR="00581593" w:rsidRPr="003F6C0B" w:rsidRDefault="003F6C0B" w:rsidP="003F6C0B">
      <w:pPr>
        <w:jc w:val="center"/>
        <w:rPr>
          <w:rFonts w:ascii="Times New Roman" w:hAnsi="Times New Roman"/>
          <w:b/>
          <w:sz w:val="40"/>
          <w:szCs w:val="40"/>
        </w:rPr>
      </w:pPr>
      <w:r w:rsidRPr="003F6C0B">
        <w:rPr>
          <w:rFonts w:ascii="Times New Roman" w:hAnsi="Times New Roman"/>
          <w:b/>
          <w:sz w:val="40"/>
          <w:szCs w:val="40"/>
        </w:rPr>
        <w:t>Boletín N°11505-07</w:t>
      </w:r>
    </w:p>
    <w:p w14:paraId="3FD0827B" w14:textId="77777777" w:rsidR="006913A8" w:rsidRDefault="006913A8" w:rsidP="009B4457">
      <w:pPr>
        <w:jc w:val="both"/>
        <w:rPr>
          <w:rFonts w:ascii="Times New Roman" w:hAnsi="Times New Roman"/>
        </w:rPr>
      </w:pPr>
    </w:p>
    <w:p w14:paraId="0CA2E15B" w14:textId="77777777" w:rsidR="00581593" w:rsidRDefault="00581593" w:rsidP="009B4457">
      <w:pPr>
        <w:jc w:val="both"/>
        <w:rPr>
          <w:rFonts w:ascii="Times New Roman" w:hAnsi="Times New Roman"/>
        </w:rPr>
      </w:pPr>
    </w:p>
    <w:p w14:paraId="5FAC0931" w14:textId="77777777" w:rsidR="009B4457" w:rsidRDefault="009B4457" w:rsidP="009B4457">
      <w:pPr>
        <w:jc w:val="both"/>
        <w:rPr>
          <w:rFonts w:ascii="Century Gothic" w:hAnsi="Century Gothic"/>
          <w:b/>
          <w:sz w:val="28"/>
          <w:szCs w:val="28"/>
        </w:rPr>
      </w:pPr>
      <w:r w:rsidRPr="009B4457">
        <w:rPr>
          <w:rFonts w:ascii="Century Gothic" w:hAnsi="Century Gothic"/>
          <w:b/>
          <w:sz w:val="28"/>
          <w:szCs w:val="28"/>
        </w:rPr>
        <w:t>Fundamentos:</w:t>
      </w:r>
    </w:p>
    <w:p w14:paraId="65E99249" w14:textId="77777777" w:rsidR="009B4457" w:rsidRPr="009B4457" w:rsidRDefault="009B4457" w:rsidP="009B4457">
      <w:pPr>
        <w:jc w:val="both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44589356" w14:textId="03D430B3" w:rsidR="007E7051" w:rsidRP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>Nuest</w:t>
      </w:r>
      <w:r w:rsidR="008E0E19">
        <w:rPr>
          <w:rFonts w:ascii="Century Gothic" w:hAnsi="Century Gothic"/>
          <w:sz w:val="28"/>
          <w:szCs w:val="28"/>
          <w:lang w:val="es-ES"/>
        </w:rPr>
        <w:t>ro país cuenta desde el año 2005,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con un procedimiento penal acusatorio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E0E19">
        <w:rPr>
          <w:rFonts w:ascii="Century Gothic" w:hAnsi="Century Gothic"/>
          <w:sz w:val="28"/>
          <w:szCs w:val="28"/>
          <w:lang w:val="es-ES"/>
        </w:rPr>
        <w:t>superando de esta manera el a</w:t>
      </w:r>
      <w:r w:rsidRPr="007E7051">
        <w:rPr>
          <w:rFonts w:ascii="Century Gothic" w:hAnsi="Century Gothic"/>
          <w:sz w:val="28"/>
          <w:szCs w:val="28"/>
          <w:lang w:val="es-ES"/>
        </w:rPr>
        <w:t>ntiguo proceso inquisitivo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que ya desde el mensaje de código procedimiento penal en el año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1906, </w:t>
      </w:r>
      <w:r w:rsidRPr="007E7051">
        <w:rPr>
          <w:rFonts w:ascii="Century Gothic" w:hAnsi="Century Gothic"/>
          <w:sz w:val="28"/>
          <w:szCs w:val="28"/>
          <w:lang w:val="es-ES"/>
        </w:rPr>
        <w:t>daba cuenta de sus precariedades y carencias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particularmente desde la perspectiva de la objetividad e imparcialidad del juzgador.</w:t>
      </w:r>
    </w:p>
    <w:p w14:paraId="0164817A" w14:textId="77777777" w:rsidR="007E7051" w:rsidRP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6F61A4D6" w14:textId="6602D843" w:rsid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>En efecto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bajo la estructura </w:t>
      </w:r>
      <w:r w:rsidR="008E0E19">
        <w:rPr>
          <w:rFonts w:ascii="Century Gothic" w:hAnsi="Century Gothic"/>
          <w:sz w:val="28"/>
          <w:szCs w:val="28"/>
          <w:lang w:val="es-ES"/>
        </w:rPr>
        <w:t>del procedimiento inquisitivo, era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una misma persona la que Investiga</w:t>
      </w:r>
      <w:r w:rsidR="008E0E19">
        <w:rPr>
          <w:rFonts w:ascii="Century Gothic" w:hAnsi="Century Gothic"/>
          <w:sz w:val="28"/>
          <w:szCs w:val="28"/>
          <w:lang w:val="es-ES"/>
        </w:rPr>
        <w:t>ba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y recaba</w:t>
      </w:r>
      <w:r w:rsidR="008E0E19">
        <w:rPr>
          <w:rFonts w:ascii="Century Gothic" w:hAnsi="Century Gothic"/>
          <w:sz w:val="28"/>
          <w:szCs w:val="28"/>
          <w:lang w:val="es-ES"/>
        </w:rPr>
        <w:t>ba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antecedentes para culpar p</w:t>
      </w:r>
      <w:r w:rsidR="008E0E19">
        <w:rPr>
          <w:rFonts w:ascii="Century Gothic" w:hAnsi="Century Gothic"/>
          <w:sz w:val="28"/>
          <w:szCs w:val="28"/>
          <w:lang w:val="es-ES"/>
        </w:rPr>
        <w:t>enalmente al imputado, lo sometía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a proceso y finalmente lo condena</w:t>
      </w:r>
      <w:r w:rsidR="008E0E19">
        <w:rPr>
          <w:rFonts w:ascii="Century Gothic" w:hAnsi="Century Gothic"/>
          <w:sz w:val="28"/>
          <w:szCs w:val="28"/>
          <w:lang w:val="es-ES"/>
        </w:rPr>
        <w:t>ba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en base a dichos antecedentes. De esta manera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el proceso acusatorio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vigente en la actualidad </w:t>
      </w:r>
      <w:r w:rsidRPr="007E7051">
        <w:rPr>
          <w:rFonts w:ascii="Century Gothic" w:hAnsi="Century Gothic"/>
          <w:sz w:val="28"/>
          <w:szCs w:val="28"/>
          <w:lang w:val="es-ES"/>
        </w:rPr>
        <w:t>separa la función de persecución respecto el juzgamiento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permitiendo un proceso ajustado a los estándares internacionales en materia de protección a los Derechos Humanos.</w:t>
      </w:r>
    </w:p>
    <w:p w14:paraId="45458BB9" w14:textId="77777777" w:rsid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697193F2" w14:textId="77777777" w:rsidR="007E7051" w:rsidRPr="007E7051" w:rsidRDefault="007E7051" w:rsidP="007E7051">
      <w:pPr>
        <w:pStyle w:val="NormalWeb"/>
        <w:ind w:left="72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743F3262" w14:textId="155192EA" w:rsidR="007E7051" w:rsidRP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>De cualquier forma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y sin perjuicio que la estructura procedimental es la base </w:t>
      </w:r>
      <w:r w:rsidR="008E0E19">
        <w:rPr>
          <w:rFonts w:ascii="Century Gothic" w:hAnsi="Century Gothic"/>
          <w:sz w:val="28"/>
          <w:szCs w:val="28"/>
          <w:lang w:val="es-ES"/>
        </w:rPr>
        <w:t>d</w:t>
      </w:r>
      <w:r w:rsidRPr="007E7051">
        <w:rPr>
          <w:rFonts w:ascii="Century Gothic" w:hAnsi="Century Gothic"/>
          <w:sz w:val="28"/>
          <w:szCs w:val="28"/>
          <w:lang w:val="es-ES"/>
        </w:rPr>
        <w:t>el fundamento y la necesidad de avanzar en una nueva forma de proceso penal</w:t>
      </w:r>
      <w:r w:rsidR="008E0E19">
        <w:rPr>
          <w:rFonts w:ascii="Century Gothic" w:hAnsi="Century Gothic"/>
          <w:sz w:val="28"/>
          <w:szCs w:val="28"/>
          <w:lang w:val="es-ES"/>
        </w:rPr>
        <w:t>;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c</w:t>
      </w:r>
      <w:r w:rsidR="008E0E19">
        <w:rPr>
          <w:rFonts w:ascii="Century Gothic" w:hAnsi="Century Gothic"/>
          <w:sz w:val="28"/>
          <w:szCs w:val="28"/>
          <w:lang w:val="es-ES"/>
        </w:rPr>
        <w:t>on el proceso acusatorio se superan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además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una serie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otras deficiencias que tenía  </w:t>
      </w:r>
      <w:r w:rsidRPr="007E7051">
        <w:rPr>
          <w:rFonts w:ascii="Century Gothic" w:hAnsi="Century Gothic"/>
          <w:sz w:val="28"/>
          <w:szCs w:val="28"/>
          <w:lang w:val="es-ES"/>
        </w:rPr>
        <w:t>la forma de ju</w:t>
      </w:r>
      <w:r w:rsidR="008E0E19">
        <w:rPr>
          <w:rFonts w:ascii="Century Gothic" w:hAnsi="Century Gothic"/>
          <w:sz w:val="28"/>
          <w:szCs w:val="28"/>
          <w:lang w:val="es-ES"/>
        </w:rPr>
        <w:t>zga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miento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en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nuestro país </w:t>
      </w:r>
      <w:r w:rsidR="008E0E19">
        <w:rPr>
          <w:rFonts w:ascii="Century Gothic" w:hAnsi="Century Gothic"/>
          <w:sz w:val="28"/>
          <w:szCs w:val="28"/>
          <w:lang w:val="es-ES"/>
        </w:rPr>
        <w:t>previo al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año 2005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 –sin perjuicio que parcialmente la reforma comenzó el año 2000-,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y que se refieren a la inmediación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la oralidad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 y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la publicidad de las actuaciones procesales. De hecho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la reforma procesa</w:t>
      </w:r>
      <w:r w:rsidR="008E0E19">
        <w:rPr>
          <w:rFonts w:ascii="Century Gothic" w:hAnsi="Century Gothic"/>
          <w:sz w:val="28"/>
          <w:szCs w:val="28"/>
          <w:lang w:val="es-ES"/>
        </w:rPr>
        <w:t>l penal responde también al proceso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continental de tránsito a sistemas </w:t>
      </w:r>
      <w:proofErr w:type="spellStart"/>
      <w:r w:rsidRPr="007E7051">
        <w:rPr>
          <w:rFonts w:ascii="Century Gothic" w:hAnsi="Century Gothic"/>
          <w:sz w:val="28"/>
          <w:szCs w:val="28"/>
          <w:lang w:val="es-ES"/>
        </w:rPr>
        <w:t>adversariales</w:t>
      </w:r>
      <w:proofErr w:type="spellEnd"/>
      <w:r w:rsidRPr="007E7051">
        <w:rPr>
          <w:rFonts w:ascii="Century Gothic" w:hAnsi="Century Gothic"/>
          <w:sz w:val="28"/>
          <w:szCs w:val="28"/>
          <w:lang w:val="es-ES"/>
        </w:rPr>
        <w:t xml:space="preserve"> que tuvo lugar con la redacción del código procesal penal modelo para </w:t>
      </w:r>
      <w:proofErr w:type="spellStart"/>
      <w:r w:rsidRPr="007E7051">
        <w:rPr>
          <w:rFonts w:ascii="Century Gothic" w:hAnsi="Century Gothic"/>
          <w:sz w:val="28"/>
          <w:szCs w:val="28"/>
          <w:lang w:val="es-ES"/>
        </w:rPr>
        <w:t>iberoamérica</w:t>
      </w:r>
      <w:proofErr w:type="spellEnd"/>
      <w:r w:rsidRPr="007E7051">
        <w:rPr>
          <w:rFonts w:ascii="Century Gothic" w:hAnsi="Century Gothic"/>
          <w:sz w:val="28"/>
          <w:szCs w:val="28"/>
          <w:lang w:val="es-ES"/>
        </w:rPr>
        <w:t>.</w:t>
      </w:r>
    </w:p>
    <w:p w14:paraId="377CE17C" w14:textId="77777777" w:rsidR="007E7051" w:rsidRP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CE3284A" w14:textId="2E34EFF1" w:rsidR="007E7051" w:rsidRP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>La reforma procesal penal de esta manera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se transfor</w:t>
      </w:r>
      <w:r w:rsidR="008E0E19">
        <w:rPr>
          <w:rFonts w:ascii="Century Gothic" w:hAnsi="Century Gothic"/>
          <w:sz w:val="28"/>
          <w:szCs w:val="28"/>
          <w:lang w:val="es-ES"/>
        </w:rPr>
        <w:t>ma sin duda en la enmienda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más importante </w:t>
      </w:r>
      <w:r w:rsidR="008E0E19">
        <w:rPr>
          <w:rFonts w:ascii="Century Gothic" w:hAnsi="Century Gothic"/>
          <w:sz w:val="28"/>
          <w:szCs w:val="28"/>
          <w:lang w:val="es-ES"/>
        </w:rPr>
        <w:t>d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el último siglo en materia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de </w:t>
      </w:r>
      <w:r w:rsidRPr="007E7051">
        <w:rPr>
          <w:rFonts w:ascii="Century Gothic" w:hAnsi="Century Gothic"/>
          <w:sz w:val="28"/>
          <w:szCs w:val="28"/>
          <w:lang w:val="es-ES"/>
        </w:rPr>
        <w:t>enjuiciamiento y permite afirma</w:t>
      </w:r>
      <w:r w:rsidR="008E0E19">
        <w:rPr>
          <w:rFonts w:ascii="Century Gothic" w:hAnsi="Century Gothic"/>
          <w:sz w:val="28"/>
          <w:szCs w:val="28"/>
          <w:lang w:val="es-ES"/>
        </w:rPr>
        <w:t>r con propiedad la existencia de un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sistema penal respetuoso </w:t>
      </w:r>
      <w:proofErr w:type="gramStart"/>
      <w:r w:rsidRPr="007E7051">
        <w:rPr>
          <w:rFonts w:ascii="Century Gothic" w:hAnsi="Century Gothic"/>
          <w:sz w:val="28"/>
          <w:szCs w:val="28"/>
          <w:lang w:val="es-ES"/>
        </w:rPr>
        <w:t>de los derech</w:t>
      </w:r>
      <w:r w:rsidR="008E0E19">
        <w:rPr>
          <w:rFonts w:ascii="Century Gothic" w:hAnsi="Century Gothic"/>
          <w:sz w:val="28"/>
          <w:szCs w:val="28"/>
          <w:lang w:val="es-ES"/>
        </w:rPr>
        <w:t>os fundamentales y digno</w:t>
      </w:r>
      <w:proofErr w:type="gramEnd"/>
      <w:r w:rsidR="008E0E19">
        <w:rPr>
          <w:rFonts w:ascii="Century Gothic" w:hAnsi="Century Gothic"/>
          <w:sz w:val="28"/>
          <w:szCs w:val="28"/>
          <w:lang w:val="es-ES"/>
        </w:rPr>
        <w:t xml:space="preserve"> de un E</w:t>
      </w:r>
      <w:r w:rsidRPr="007E7051">
        <w:rPr>
          <w:rFonts w:ascii="Century Gothic" w:hAnsi="Century Gothic"/>
          <w:sz w:val="28"/>
          <w:szCs w:val="28"/>
          <w:lang w:val="es-ES"/>
        </w:rPr>
        <w:t>stado constitucion</w:t>
      </w:r>
      <w:r w:rsidR="008E0E19">
        <w:rPr>
          <w:rFonts w:ascii="Century Gothic" w:hAnsi="Century Gothic"/>
          <w:sz w:val="28"/>
          <w:szCs w:val="28"/>
          <w:lang w:val="es-ES"/>
        </w:rPr>
        <w:t>al democrático</w:t>
      </w:r>
      <w:r w:rsidRPr="007E7051">
        <w:rPr>
          <w:rFonts w:ascii="Century Gothic" w:hAnsi="Century Gothic"/>
          <w:sz w:val="28"/>
          <w:szCs w:val="28"/>
          <w:lang w:val="es-ES"/>
        </w:rPr>
        <w:t>. No basta con que la conducta s</w:t>
      </w:r>
      <w:r w:rsidR="008E0E19">
        <w:rPr>
          <w:rFonts w:ascii="Century Gothic" w:hAnsi="Century Gothic"/>
          <w:sz w:val="28"/>
          <w:szCs w:val="28"/>
          <w:lang w:val="es-ES"/>
        </w:rPr>
        <w:t>ancionable penalmente este descr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ita con anterioridad en un cuerpo legal y que al mismo tiempo se anexe una sanción. Es fundamental que dicha sanción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sea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fruto de un proceso racional y justo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con la observancia de principios como la imparcialidad o el acceso a una defensa jurídica.</w:t>
      </w:r>
    </w:p>
    <w:p w14:paraId="6BC1BE5A" w14:textId="77777777" w:rsidR="007E7051" w:rsidRP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02B0654E" w14:textId="618E4619" w:rsidR="007E7051" w:rsidRP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 xml:space="preserve">La existencia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de </w:t>
      </w:r>
      <w:r w:rsidRPr="007E7051">
        <w:rPr>
          <w:rFonts w:ascii="Century Gothic" w:hAnsi="Century Gothic"/>
          <w:sz w:val="28"/>
          <w:szCs w:val="28"/>
          <w:lang w:val="es-ES"/>
        </w:rPr>
        <w:t>un órgano constitucionalmente autónomo que tenga la exclusividad de la persecución penal es un elemento esencial</w:t>
      </w:r>
      <w:r w:rsidR="008E0E19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8E0E19">
        <w:rPr>
          <w:rFonts w:ascii="Century Gothic" w:hAnsi="Century Gothic"/>
          <w:sz w:val="28"/>
          <w:szCs w:val="28"/>
          <w:lang w:val="es-ES"/>
        </w:rPr>
        <w:t xml:space="preserve">y </w:t>
      </w:r>
      <w:r w:rsidRPr="007E7051">
        <w:rPr>
          <w:rFonts w:ascii="Century Gothic" w:hAnsi="Century Gothic"/>
          <w:sz w:val="28"/>
          <w:szCs w:val="28"/>
          <w:lang w:val="es-ES"/>
        </w:rPr>
        <w:t>un piso mínimo de t</w:t>
      </w:r>
      <w:r w:rsidR="002001B0">
        <w:rPr>
          <w:rFonts w:ascii="Century Gothic" w:hAnsi="Century Gothic"/>
          <w:sz w:val="28"/>
          <w:szCs w:val="28"/>
          <w:lang w:val="es-ES"/>
        </w:rPr>
        <w:t>odo sistema que garantice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los derechos del imputado frent</w:t>
      </w:r>
      <w:r w:rsidR="00E76CD8">
        <w:rPr>
          <w:rFonts w:ascii="Century Gothic" w:hAnsi="Century Gothic"/>
          <w:sz w:val="28"/>
          <w:szCs w:val="28"/>
          <w:lang w:val="es-ES"/>
        </w:rPr>
        <w:t>e a la acción persecutoria del E</w:t>
      </w:r>
      <w:r w:rsidRPr="007E7051">
        <w:rPr>
          <w:rFonts w:ascii="Century Gothic" w:hAnsi="Century Gothic"/>
          <w:sz w:val="28"/>
          <w:szCs w:val="28"/>
          <w:lang w:val="es-ES"/>
        </w:rPr>
        <w:t>stado.</w:t>
      </w:r>
    </w:p>
    <w:p w14:paraId="442B164F" w14:textId="77777777" w:rsidR="007E7051" w:rsidRP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403BEA6" w14:textId="5649FC04" w:rsidR="007E7051" w:rsidRPr="007E7051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  <w:lang w:val="es-ES"/>
        </w:rPr>
      </w:pPr>
      <w:r w:rsidRPr="007E7051">
        <w:rPr>
          <w:rFonts w:ascii="Century Gothic" w:hAnsi="Century Gothic"/>
          <w:sz w:val="28"/>
          <w:szCs w:val="28"/>
          <w:lang w:val="es-ES"/>
        </w:rPr>
        <w:lastRenderedPageBreak/>
        <w:t>De esta manera</w:t>
      </w:r>
      <w:r w:rsidR="002001B0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vemos como el nuevo sistema penal import</w:t>
      </w:r>
      <w:r w:rsidR="002001B0">
        <w:rPr>
          <w:rFonts w:ascii="Century Gothic" w:hAnsi="Century Gothic"/>
          <w:sz w:val="28"/>
          <w:szCs w:val="28"/>
          <w:lang w:val="es-ES"/>
        </w:rPr>
        <w:t>a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una serie 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de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beneficios 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y garantías para el imputado,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particularmente desde la perspectiva 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del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ejercicio del derecho a la defensa 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y, </w:t>
      </w:r>
      <w:r w:rsidRPr="007E7051">
        <w:rPr>
          <w:rFonts w:ascii="Century Gothic" w:hAnsi="Century Gothic"/>
          <w:sz w:val="28"/>
          <w:szCs w:val="28"/>
          <w:lang w:val="es-ES"/>
        </w:rPr>
        <w:t>de acuerdo a lo demostrado por las estadísticas</w:t>
      </w:r>
      <w:r w:rsidR="002001B0">
        <w:rPr>
          <w:rFonts w:ascii="Century Gothic" w:hAnsi="Century Gothic"/>
          <w:sz w:val="28"/>
          <w:szCs w:val="28"/>
          <w:lang w:val="es-ES"/>
        </w:rPr>
        <w:t>,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por la menor duración de los procedimientos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todo </w:t>
      </w:r>
      <w:r w:rsidRPr="007E7051">
        <w:rPr>
          <w:rFonts w:ascii="Century Gothic" w:hAnsi="Century Gothic"/>
          <w:sz w:val="28"/>
          <w:szCs w:val="28"/>
          <w:lang w:val="es-ES"/>
        </w:rPr>
        <w:t>lo cual se transfo</w:t>
      </w:r>
      <w:r w:rsidR="002001B0">
        <w:rPr>
          <w:rFonts w:ascii="Century Gothic" w:hAnsi="Century Gothic"/>
          <w:sz w:val="28"/>
          <w:szCs w:val="28"/>
          <w:lang w:val="es-ES"/>
        </w:rPr>
        <w:t>rma en decisiones más oportunas y justas.</w:t>
      </w:r>
      <w:r w:rsidRPr="007E7051">
        <w:rPr>
          <w:rFonts w:ascii="Century Gothic" w:hAnsi="Century Gothic"/>
          <w:sz w:val="28"/>
          <w:szCs w:val="28"/>
          <w:lang w:val="es-ES"/>
        </w:rPr>
        <w:t> </w:t>
      </w:r>
    </w:p>
    <w:p w14:paraId="001FE005" w14:textId="77777777" w:rsidR="007E7051" w:rsidRPr="007E7051" w:rsidRDefault="007E7051" w:rsidP="007E7051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</w:p>
    <w:p w14:paraId="154C2AF5" w14:textId="23252391" w:rsidR="00C124D0" w:rsidRPr="002001B0" w:rsidRDefault="007E7051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 w:rsidRPr="007E7051">
        <w:rPr>
          <w:rFonts w:ascii="Century Gothic" w:hAnsi="Century Gothic"/>
          <w:sz w:val="28"/>
          <w:szCs w:val="28"/>
          <w:lang w:val="es-ES"/>
        </w:rPr>
        <w:t>La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 disposición transitoria octava de la Constitución P</w:t>
      </w:r>
      <w:r w:rsidRPr="007E7051">
        <w:rPr>
          <w:rFonts w:ascii="Century Gothic" w:hAnsi="Century Gothic"/>
          <w:sz w:val="28"/>
          <w:szCs w:val="28"/>
          <w:lang w:val="es-ES"/>
        </w:rPr>
        <w:t>olítica de la República</w:t>
      </w:r>
      <w:r w:rsidR="002001B0">
        <w:rPr>
          <w:rFonts w:ascii="Century Gothic" w:hAnsi="Century Gothic"/>
          <w:sz w:val="28"/>
          <w:szCs w:val="28"/>
          <w:lang w:val="es-ES"/>
        </w:rPr>
        <w:t>, dispone qu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e los hechos acaecidos con anterioridad a la entrada en vigencia del nuevo sistema </w:t>
      </w:r>
      <w:r w:rsidR="002001B0">
        <w:rPr>
          <w:rFonts w:ascii="Century Gothic" w:hAnsi="Century Gothic"/>
          <w:sz w:val="28"/>
          <w:szCs w:val="28"/>
          <w:lang w:val="es-ES"/>
        </w:rPr>
        <w:t>penal y de la Ley Orgánica del Ministerio P</w:t>
      </w:r>
      <w:r w:rsidRPr="007E7051">
        <w:rPr>
          <w:rFonts w:ascii="Century Gothic" w:hAnsi="Century Gothic"/>
          <w:sz w:val="28"/>
          <w:szCs w:val="28"/>
          <w:lang w:val="es-ES"/>
        </w:rPr>
        <w:t>úblico</w:t>
      </w:r>
      <w:r w:rsidR="002001B0">
        <w:rPr>
          <w:rFonts w:ascii="Century Gothic" w:hAnsi="Century Gothic"/>
          <w:sz w:val="28"/>
          <w:szCs w:val="28"/>
          <w:lang w:val="es-ES"/>
        </w:rPr>
        <w:t xml:space="preserve">; sean </w:t>
      </w:r>
      <w:r w:rsidRPr="007E7051">
        <w:rPr>
          <w:rFonts w:ascii="Century Gothic" w:hAnsi="Century Gothic"/>
          <w:sz w:val="28"/>
          <w:szCs w:val="28"/>
          <w:lang w:val="es-ES"/>
        </w:rPr>
        <w:t>juzgado</w:t>
      </w:r>
      <w:r w:rsidR="002001B0">
        <w:rPr>
          <w:rFonts w:ascii="Century Gothic" w:hAnsi="Century Gothic"/>
          <w:sz w:val="28"/>
          <w:szCs w:val="28"/>
          <w:lang w:val="es-ES"/>
        </w:rPr>
        <w:t>s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de acuerdo al antiguo sistema inquisitiv</w:t>
      </w:r>
      <w:r w:rsidR="002001B0">
        <w:rPr>
          <w:rFonts w:ascii="Century Gothic" w:hAnsi="Century Gothic"/>
          <w:sz w:val="28"/>
          <w:szCs w:val="28"/>
          <w:lang w:val="es-ES"/>
        </w:rPr>
        <w:t>o. Lo anterior se traduce en que</w:t>
      </w:r>
      <w:r w:rsidRPr="007E7051">
        <w:rPr>
          <w:rFonts w:ascii="Century Gothic" w:hAnsi="Century Gothic"/>
          <w:sz w:val="28"/>
          <w:szCs w:val="28"/>
          <w:lang w:val="es-ES"/>
        </w:rPr>
        <w:t xml:space="preserve"> sujetos respecto de los cuales se han </w:t>
      </w:r>
      <w:r>
        <w:rPr>
          <w:rFonts w:ascii="Century Gothic" w:hAnsi="Century Gothic"/>
          <w:sz w:val="28"/>
          <w:szCs w:val="28"/>
          <w:lang w:val="es-ES"/>
        </w:rPr>
        <w:t>deducido acciones penales con po</w:t>
      </w:r>
      <w:r w:rsidRPr="007E7051">
        <w:rPr>
          <w:rFonts w:ascii="Century Gothic" w:hAnsi="Century Gothic"/>
          <w:sz w:val="28"/>
          <w:szCs w:val="28"/>
          <w:lang w:val="es-ES"/>
        </w:rPr>
        <w:t>sterioridad a la entrada en vigencia del sistema, sean excluidos de este.</w:t>
      </w:r>
    </w:p>
    <w:p w14:paraId="5DC14522" w14:textId="77777777" w:rsidR="002001B0" w:rsidRDefault="002001B0" w:rsidP="002001B0">
      <w:pPr>
        <w:pStyle w:val="NormalWeb"/>
        <w:jc w:val="both"/>
        <w:rPr>
          <w:rFonts w:ascii="Century Gothic" w:hAnsi="Century Gothic"/>
          <w:sz w:val="28"/>
          <w:szCs w:val="28"/>
        </w:rPr>
      </w:pPr>
    </w:p>
    <w:p w14:paraId="14640FDD" w14:textId="6999A57E" w:rsidR="002001B0" w:rsidRDefault="002001B0" w:rsidP="007E7051">
      <w:pPr>
        <w:pStyle w:val="NormalWeb"/>
        <w:numPr>
          <w:ilvl w:val="0"/>
          <w:numId w:val="6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Esto, en sujetos que arriesgan penas de crimen, es particularmente grave, toda vez que quedan fuera de la lógica sustitutiva de la Ley 18.216; y por tanto arriesgan privación de libertad efectiva. Entendemos por tanto que, la temporalidad de la comisión del delito, no debería ser obstáculo para acogerse a un estatuto de garantías más conciliable con la protección de los derechos fundamentales; particularmente respecto de sujetos cuya libertad personal </w:t>
      </w:r>
      <w:proofErr w:type="spellStart"/>
      <w:r>
        <w:rPr>
          <w:rFonts w:ascii="Century Gothic" w:hAnsi="Century Gothic"/>
          <w:sz w:val="28"/>
          <w:szCs w:val="28"/>
          <w:lang w:val="es-ES"/>
        </w:rPr>
        <w:t>esta</w:t>
      </w:r>
      <w:proofErr w:type="spellEnd"/>
      <w:r>
        <w:rPr>
          <w:rFonts w:ascii="Century Gothic" w:hAnsi="Century Gothic"/>
          <w:sz w:val="28"/>
          <w:szCs w:val="28"/>
          <w:lang w:val="es-ES"/>
        </w:rPr>
        <w:t xml:space="preserve"> en riesgo.</w:t>
      </w:r>
    </w:p>
    <w:p w14:paraId="083B456F" w14:textId="77777777" w:rsidR="007E7051" w:rsidRDefault="007E7051" w:rsidP="00C124D0">
      <w:pPr>
        <w:pStyle w:val="NormalWeb"/>
        <w:jc w:val="both"/>
        <w:rPr>
          <w:rFonts w:ascii="Century Gothic" w:hAnsi="Century Gothic"/>
          <w:sz w:val="28"/>
          <w:szCs w:val="28"/>
        </w:rPr>
      </w:pPr>
    </w:p>
    <w:p w14:paraId="466EC916" w14:textId="77777777" w:rsidR="002001B0" w:rsidRDefault="002001B0" w:rsidP="00C124D0">
      <w:pPr>
        <w:pStyle w:val="NormalWeb"/>
        <w:jc w:val="both"/>
        <w:rPr>
          <w:rFonts w:ascii="Century Gothic" w:hAnsi="Century Gothic"/>
          <w:sz w:val="28"/>
          <w:szCs w:val="28"/>
        </w:rPr>
      </w:pPr>
    </w:p>
    <w:p w14:paraId="64190315" w14:textId="599CD7B9" w:rsidR="002C6675" w:rsidRDefault="00C124D0" w:rsidP="00C124D0">
      <w:pPr>
        <w:pStyle w:val="NormalWeb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Por lo </w:t>
      </w:r>
      <w:r w:rsidR="007E7051">
        <w:rPr>
          <w:rFonts w:ascii="Century Gothic" w:hAnsi="Century Gothic"/>
          <w:sz w:val="28"/>
          <w:szCs w:val="28"/>
        </w:rPr>
        <w:t>anterior, venimos en proponer la</w:t>
      </w:r>
      <w:r>
        <w:rPr>
          <w:rFonts w:ascii="Century Gothic" w:hAnsi="Century Gothic"/>
          <w:sz w:val="28"/>
          <w:szCs w:val="28"/>
        </w:rPr>
        <w:t xml:space="preserve"> siguiente:</w:t>
      </w:r>
    </w:p>
    <w:p w14:paraId="64E36FCA" w14:textId="77777777" w:rsidR="007E7051" w:rsidRDefault="007E7051" w:rsidP="00C124D0">
      <w:pPr>
        <w:pStyle w:val="NormalWeb"/>
        <w:jc w:val="both"/>
        <w:rPr>
          <w:rFonts w:ascii="Century Gothic" w:hAnsi="Century Gothic"/>
          <w:sz w:val="28"/>
          <w:szCs w:val="28"/>
        </w:rPr>
      </w:pPr>
    </w:p>
    <w:p w14:paraId="044488A1" w14:textId="77777777" w:rsidR="007E7051" w:rsidRDefault="007E7051" w:rsidP="00C124D0">
      <w:pPr>
        <w:pStyle w:val="NormalWeb"/>
        <w:jc w:val="both"/>
        <w:rPr>
          <w:rFonts w:ascii="Century Gothic" w:hAnsi="Century Gothic"/>
          <w:sz w:val="28"/>
          <w:szCs w:val="28"/>
        </w:rPr>
      </w:pPr>
    </w:p>
    <w:p w14:paraId="242BCE73" w14:textId="73737A18" w:rsidR="00C124D0" w:rsidRDefault="007E7051" w:rsidP="00862477">
      <w:pPr>
        <w:pStyle w:val="NormalWeb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PROYECTO DE REFORMA CONSTITUCIONAL</w:t>
      </w:r>
    </w:p>
    <w:p w14:paraId="3F9BC64D" w14:textId="77777777" w:rsidR="00C124D0" w:rsidRDefault="00C124D0" w:rsidP="00862477">
      <w:pPr>
        <w:pStyle w:val="NormalWeb"/>
        <w:jc w:val="both"/>
        <w:rPr>
          <w:rFonts w:ascii="Century Gothic" w:hAnsi="Century Gothic"/>
          <w:b/>
          <w:sz w:val="28"/>
          <w:szCs w:val="28"/>
        </w:rPr>
      </w:pPr>
    </w:p>
    <w:p w14:paraId="56135E79" w14:textId="3D1B3F42" w:rsidR="00E5376B" w:rsidRDefault="00862477" w:rsidP="00862477">
      <w:pPr>
        <w:pStyle w:val="NormalWeb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“</w:t>
      </w:r>
      <w:r w:rsidR="00E5376B">
        <w:rPr>
          <w:rFonts w:ascii="Century Gothic" w:hAnsi="Century Gothic"/>
          <w:b/>
          <w:sz w:val="28"/>
          <w:szCs w:val="28"/>
        </w:rPr>
        <w:t xml:space="preserve">Artículo único.- </w:t>
      </w:r>
      <w:proofErr w:type="spellStart"/>
      <w:r w:rsidR="002001B0">
        <w:rPr>
          <w:rFonts w:ascii="Century Gothic" w:hAnsi="Century Gothic"/>
          <w:sz w:val="28"/>
          <w:szCs w:val="28"/>
        </w:rPr>
        <w:t>Agrégase</w:t>
      </w:r>
      <w:proofErr w:type="spellEnd"/>
      <w:r w:rsidR="002001B0">
        <w:rPr>
          <w:rFonts w:ascii="Century Gothic" w:hAnsi="Century Gothic"/>
          <w:sz w:val="28"/>
          <w:szCs w:val="28"/>
        </w:rPr>
        <w:t xml:space="preserve"> a</w:t>
      </w:r>
      <w:r w:rsidR="002C6675">
        <w:rPr>
          <w:rFonts w:ascii="Century Gothic" w:hAnsi="Century Gothic"/>
          <w:sz w:val="28"/>
          <w:szCs w:val="28"/>
        </w:rPr>
        <w:t xml:space="preserve"> la</w:t>
      </w:r>
      <w:r w:rsidR="002001B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2001B0">
        <w:rPr>
          <w:rFonts w:ascii="Century Gothic" w:hAnsi="Century Gothic"/>
          <w:sz w:val="28"/>
          <w:szCs w:val="28"/>
        </w:rPr>
        <w:t>disposicion</w:t>
      </w:r>
      <w:proofErr w:type="spellEnd"/>
      <w:r w:rsidR="002001B0">
        <w:rPr>
          <w:rFonts w:ascii="Century Gothic" w:hAnsi="Century Gothic"/>
          <w:sz w:val="28"/>
          <w:szCs w:val="28"/>
        </w:rPr>
        <w:t xml:space="preserve"> transitoria octava de</w:t>
      </w:r>
      <w:r w:rsidR="002C6675">
        <w:rPr>
          <w:rFonts w:ascii="Century Gothic" w:hAnsi="Century Gothic"/>
          <w:sz w:val="28"/>
          <w:szCs w:val="28"/>
        </w:rPr>
        <w:t xml:space="preserve"> </w:t>
      </w:r>
      <w:r w:rsidR="007E7051">
        <w:rPr>
          <w:rFonts w:ascii="Century Gothic" w:hAnsi="Century Gothic"/>
          <w:sz w:val="28"/>
          <w:szCs w:val="28"/>
        </w:rPr>
        <w:t>Constitución Política de la República</w:t>
      </w:r>
      <w:r w:rsidR="002001B0">
        <w:rPr>
          <w:rFonts w:ascii="Century Gothic" w:hAnsi="Century Gothic"/>
          <w:sz w:val="28"/>
          <w:szCs w:val="28"/>
        </w:rPr>
        <w:t>, un inciso final del siguiente tenor</w:t>
      </w:r>
      <w:r w:rsidR="002C6675">
        <w:rPr>
          <w:rFonts w:ascii="Century Gothic" w:hAnsi="Century Gothic"/>
          <w:sz w:val="28"/>
          <w:szCs w:val="28"/>
        </w:rPr>
        <w:t>:</w:t>
      </w:r>
    </w:p>
    <w:p w14:paraId="59568F0E" w14:textId="30FAEF85" w:rsidR="002001B0" w:rsidRDefault="002001B0" w:rsidP="00862477">
      <w:pPr>
        <w:pStyle w:val="NormalWeb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</w:rPr>
        <w:t>“Lo dispuesto en los inciso</w:t>
      </w:r>
      <w:r w:rsidR="000A6E50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anteriores, es sin perjuicio del derecho</w:t>
      </w:r>
      <w:r w:rsidR="000A6E50">
        <w:rPr>
          <w:rFonts w:ascii="Century Gothic" w:hAnsi="Century Gothic"/>
          <w:sz w:val="28"/>
          <w:szCs w:val="28"/>
        </w:rPr>
        <w:t xml:space="preserve"> que tienen quienes sean imputados por delitos sancionados con pena de crimen, cometidos con </w:t>
      </w:r>
      <w:proofErr w:type="spellStart"/>
      <w:r w:rsidR="000A6E50">
        <w:rPr>
          <w:rFonts w:ascii="Century Gothic" w:hAnsi="Century Gothic"/>
          <w:sz w:val="28"/>
          <w:szCs w:val="28"/>
        </w:rPr>
        <w:t>anteriroridad</w:t>
      </w:r>
      <w:proofErr w:type="spellEnd"/>
      <w:r w:rsidR="000A6E50">
        <w:rPr>
          <w:rFonts w:ascii="Century Gothic" w:hAnsi="Century Gothic"/>
          <w:sz w:val="28"/>
          <w:szCs w:val="28"/>
        </w:rPr>
        <w:t xml:space="preserve"> a la entrada en vigencia de</w:t>
      </w:r>
      <w:r w:rsidR="000A6E50" w:rsidRPr="000A6E50">
        <w:rPr>
          <w:rFonts w:ascii="Courier" w:hAnsi="Courier" w:cs="Courier"/>
          <w:color w:val="535353"/>
          <w:sz w:val="24"/>
          <w:szCs w:val="24"/>
          <w:lang w:val="es-ES"/>
        </w:rPr>
        <w:t xml:space="preserve"> </w:t>
      </w:r>
      <w:r w:rsidR="000A6E50" w:rsidRPr="000A6E50">
        <w:rPr>
          <w:rFonts w:ascii="Century Gothic" w:hAnsi="Century Gothic"/>
          <w:sz w:val="28"/>
          <w:szCs w:val="28"/>
          <w:lang w:val="es-ES"/>
        </w:rPr>
        <w:t>la ley orgánica constitucional del Ministerio Público</w:t>
      </w:r>
      <w:r w:rsidR="000A6E50">
        <w:rPr>
          <w:rFonts w:ascii="Century Gothic" w:hAnsi="Century Gothic"/>
          <w:sz w:val="28"/>
          <w:szCs w:val="28"/>
          <w:lang w:val="es-ES"/>
        </w:rPr>
        <w:t>; de requerir su formalización en base al procedimiento y las reglas del Código Procesal Penal.”.”.</w:t>
      </w:r>
    </w:p>
    <w:p w14:paraId="66B7975D" w14:textId="77777777" w:rsidR="00EB7129" w:rsidRDefault="00EB7129"/>
    <w:sectPr w:rsidR="00EB7129" w:rsidSect="00060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33110E"/>
    <w:multiLevelType w:val="hybridMultilevel"/>
    <w:tmpl w:val="E74C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24652"/>
    <w:multiLevelType w:val="hybridMultilevel"/>
    <w:tmpl w:val="E72E8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046E9"/>
    <w:multiLevelType w:val="hybridMultilevel"/>
    <w:tmpl w:val="13DAF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1758"/>
    <w:multiLevelType w:val="hybridMultilevel"/>
    <w:tmpl w:val="12186B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15B91"/>
    <w:multiLevelType w:val="hybridMultilevel"/>
    <w:tmpl w:val="0C2EB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57"/>
    <w:rsid w:val="000603BA"/>
    <w:rsid w:val="00080C00"/>
    <w:rsid w:val="000A6E50"/>
    <w:rsid w:val="002001B0"/>
    <w:rsid w:val="002C6675"/>
    <w:rsid w:val="003F6C0B"/>
    <w:rsid w:val="00581593"/>
    <w:rsid w:val="00605E45"/>
    <w:rsid w:val="00610A43"/>
    <w:rsid w:val="006913A8"/>
    <w:rsid w:val="007E7051"/>
    <w:rsid w:val="007F570C"/>
    <w:rsid w:val="00862477"/>
    <w:rsid w:val="008E0E19"/>
    <w:rsid w:val="00973AF9"/>
    <w:rsid w:val="009B3EBD"/>
    <w:rsid w:val="009B4457"/>
    <w:rsid w:val="009E6DC4"/>
    <w:rsid w:val="00A927E4"/>
    <w:rsid w:val="00B7405A"/>
    <w:rsid w:val="00C056C8"/>
    <w:rsid w:val="00C124D0"/>
    <w:rsid w:val="00C27A5C"/>
    <w:rsid w:val="00E5376B"/>
    <w:rsid w:val="00E76CD8"/>
    <w:rsid w:val="00E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61B3C5"/>
  <w14:defaultImageDpi w14:val="300"/>
  <w15:docId w15:val="{0CB2735A-BA29-4913-B9BD-5CC8CCF6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4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58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celedon</dc:creator>
  <cp:keywords/>
  <dc:description/>
  <cp:lastModifiedBy>Leonardo Lueiza Ureta</cp:lastModifiedBy>
  <cp:revision>3</cp:revision>
  <dcterms:created xsi:type="dcterms:W3CDTF">2017-11-21T11:43:00Z</dcterms:created>
  <dcterms:modified xsi:type="dcterms:W3CDTF">2017-11-21T12:01:00Z</dcterms:modified>
</cp:coreProperties>
</file>