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15" w:rsidRDefault="0060183D" w:rsidP="007A64FD">
      <w:pPr>
        <w:jc w:val="center"/>
        <w:rPr>
          <w:rFonts w:ascii="Century Gothic" w:hAnsi="Century Gothic"/>
          <w:b/>
          <w:sz w:val="40"/>
          <w:szCs w:val="40"/>
        </w:rPr>
      </w:pPr>
      <w:r w:rsidRPr="0060183D">
        <w:rPr>
          <w:rFonts w:ascii="Century Gothic" w:hAnsi="Century Gothic"/>
          <w:b/>
          <w:sz w:val="40"/>
          <w:szCs w:val="40"/>
        </w:rPr>
        <w:t>Modifica la ley N°18.290, de Tránsito, en materia de delitos de daños o lesiones causados con ocasión de la conducción de vehículos motorizados, durante la fuga posterior a la comisión de otro delito</w:t>
      </w:r>
    </w:p>
    <w:p w:rsidR="0060183D" w:rsidRPr="0060183D" w:rsidRDefault="0060183D" w:rsidP="007A64FD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Boletín N°11515-15</w:t>
      </w:r>
    </w:p>
    <w:p w:rsidR="00192C15" w:rsidRDefault="00192C15" w:rsidP="005A4ACC">
      <w:pPr>
        <w:jc w:val="both"/>
        <w:rPr>
          <w:rFonts w:ascii="Century Gothic" w:hAnsi="Century Gothic"/>
          <w:sz w:val="28"/>
          <w:szCs w:val="28"/>
        </w:rPr>
      </w:pPr>
    </w:p>
    <w:p w:rsidR="0060183D" w:rsidRDefault="0060183D" w:rsidP="0060183D">
      <w:pPr>
        <w:spacing w:after="360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192C15" w:rsidRDefault="00192C15" w:rsidP="005A4ACC">
      <w:pPr>
        <w:jc w:val="both"/>
        <w:rPr>
          <w:rFonts w:ascii="Century Gothic" w:hAnsi="Century Gothic"/>
          <w:b/>
          <w:sz w:val="28"/>
          <w:szCs w:val="28"/>
        </w:rPr>
      </w:pPr>
      <w:r w:rsidRPr="007A64FD">
        <w:rPr>
          <w:rFonts w:ascii="Century Gothic" w:hAnsi="Century Gothic"/>
          <w:b/>
          <w:sz w:val="28"/>
          <w:szCs w:val="28"/>
        </w:rPr>
        <w:t>Fundamentos:</w:t>
      </w:r>
    </w:p>
    <w:p w:rsidR="00192C15" w:rsidRDefault="00192C15" w:rsidP="005A4ACC">
      <w:pPr>
        <w:jc w:val="both"/>
        <w:rPr>
          <w:rFonts w:ascii="Century Gothic" w:hAnsi="Century Gothic"/>
          <w:b/>
          <w:sz w:val="28"/>
          <w:szCs w:val="28"/>
        </w:rPr>
      </w:pPr>
    </w:p>
    <w:p w:rsidR="00192C15" w:rsidRPr="00752B6B" w:rsidRDefault="00192C15" w:rsidP="00752B6B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8"/>
          <w:szCs w:val="28"/>
        </w:rPr>
      </w:pPr>
      <w:r w:rsidRPr="00752B6B">
        <w:rPr>
          <w:rFonts w:ascii="Century Gothic" w:hAnsi="Century Gothic"/>
          <w:sz w:val="28"/>
          <w:szCs w:val="28"/>
        </w:rPr>
        <w:t>En los últimos meses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particularmente a partir del delito de hurto o robo de vehículos motorizados o de nuevas formas robo con violencia denominadas </w:t>
      </w:r>
      <w:r w:rsidRPr="00041962">
        <w:rPr>
          <w:rFonts w:ascii="Century Gothic" w:hAnsi="Century Gothic"/>
          <w:i/>
          <w:sz w:val="28"/>
          <w:szCs w:val="28"/>
        </w:rPr>
        <w:t>“</w:t>
      </w:r>
      <w:proofErr w:type="spellStart"/>
      <w:r w:rsidRPr="00041962">
        <w:rPr>
          <w:rFonts w:ascii="Century Gothic" w:hAnsi="Century Gothic"/>
          <w:i/>
          <w:sz w:val="28"/>
          <w:szCs w:val="28"/>
        </w:rPr>
        <w:t>portonazos</w:t>
      </w:r>
      <w:proofErr w:type="spellEnd"/>
      <w:r>
        <w:rPr>
          <w:rFonts w:ascii="Century Gothic" w:hAnsi="Century Gothic"/>
          <w:sz w:val="28"/>
          <w:szCs w:val="28"/>
        </w:rPr>
        <w:t>”</w:t>
      </w:r>
      <w:r w:rsidRPr="00752B6B">
        <w:rPr>
          <w:rFonts w:ascii="Century Gothic" w:hAnsi="Century Gothic"/>
          <w:sz w:val="28"/>
          <w:szCs w:val="28"/>
        </w:rPr>
        <w:t>; hemos presenciado peligrosas persecuciones policiales que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muchos casos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han derivado en daños a la propiedad o afectación de la integridad física de </w:t>
      </w:r>
      <w:proofErr w:type="spellStart"/>
      <w:r w:rsidRPr="00752B6B">
        <w:rPr>
          <w:rFonts w:ascii="Century Gothic" w:hAnsi="Century Gothic"/>
          <w:sz w:val="28"/>
          <w:szCs w:val="28"/>
        </w:rPr>
        <w:t>de</w:t>
      </w:r>
      <w:proofErr w:type="spellEnd"/>
      <w:r w:rsidRPr="00752B6B">
        <w:rPr>
          <w:rFonts w:ascii="Century Gothic" w:hAnsi="Century Gothic"/>
          <w:sz w:val="28"/>
          <w:szCs w:val="28"/>
        </w:rPr>
        <w:t xml:space="preserve"> terceros o incluso de los propios </w:t>
      </w:r>
      <w:r>
        <w:rPr>
          <w:rFonts w:ascii="Century Gothic" w:hAnsi="Century Gothic"/>
          <w:sz w:val="28"/>
          <w:szCs w:val="28"/>
        </w:rPr>
        <w:t>agentes policiales protagonistas</w:t>
      </w:r>
      <w:r w:rsidRPr="00752B6B">
        <w:rPr>
          <w:rFonts w:ascii="Century Gothic" w:hAnsi="Century Gothic"/>
          <w:sz w:val="28"/>
          <w:szCs w:val="28"/>
        </w:rPr>
        <w:t xml:space="preserve"> de la persecución.</w:t>
      </w: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8"/>
          <w:szCs w:val="28"/>
        </w:rPr>
      </w:pPr>
      <w:r w:rsidRPr="00752B6B">
        <w:rPr>
          <w:rFonts w:ascii="Century Gothic" w:hAnsi="Century Gothic"/>
          <w:sz w:val="28"/>
          <w:szCs w:val="28"/>
        </w:rPr>
        <w:t xml:space="preserve">Es </w:t>
      </w:r>
      <w:r>
        <w:rPr>
          <w:rFonts w:ascii="Century Gothic" w:hAnsi="Century Gothic"/>
          <w:sz w:val="28"/>
          <w:szCs w:val="28"/>
        </w:rPr>
        <w:t>d</w:t>
      </w:r>
      <w:r w:rsidRPr="00752B6B">
        <w:rPr>
          <w:rFonts w:ascii="Century Gothic" w:hAnsi="Century Gothic"/>
          <w:sz w:val="28"/>
          <w:szCs w:val="28"/>
        </w:rPr>
        <w:t>el caso reconocer que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si bien en muchas ocasiones</w:t>
      </w:r>
      <w:r>
        <w:rPr>
          <w:rFonts w:ascii="Century Gothic" w:hAnsi="Century Gothic"/>
          <w:sz w:val="28"/>
          <w:szCs w:val="28"/>
        </w:rPr>
        <w:t xml:space="preserve"> los</w:t>
      </w:r>
      <w:r w:rsidRPr="00752B6B">
        <w:rPr>
          <w:rFonts w:ascii="Century Gothic" w:hAnsi="Century Gothic"/>
          <w:sz w:val="28"/>
          <w:szCs w:val="28"/>
        </w:rPr>
        <w:t xml:space="preserve"> delincuentes no tiene la intención positiva de causar daños </w:t>
      </w:r>
      <w:r>
        <w:rPr>
          <w:rFonts w:ascii="Century Gothic" w:hAnsi="Century Gothic"/>
          <w:sz w:val="28"/>
          <w:szCs w:val="28"/>
        </w:rPr>
        <w:t xml:space="preserve">o </w:t>
      </w:r>
      <w:r w:rsidRPr="00752B6B">
        <w:rPr>
          <w:rFonts w:ascii="Century Gothic" w:hAnsi="Century Gothic"/>
          <w:sz w:val="28"/>
          <w:szCs w:val="28"/>
        </w:rPr>
        <w:t>pr</w:t>
      </w:r>
      <w:r>
        <w:rPr>
          <w:rFonts w:ascii="Century Gothic" w:hAnsi="Century Gothic"/>
          <w:sz w:val="28"/>
          <w:szCs w:val="28"/>
        </w:rPr>
        <w:t>o</w:t>
      </w:r>
      <w:r w:rsidRPr="00752B6B">
        <w:rPr>
          <w:rFonts w:ascii="Century Gothic" w:hAnsi="Century Gothic"/>
          <w:sz w:val="28"/>
          <w:szCs w:val="28"/>
        </w:rPr>
        <w:t>ferir lesiones en terceras personas</w:t>
      </w:r>
      <w:r>
        <w:rPr>
          <w:rFonts w:ascii="Century Gothic" w:hAnsi="Century Gothic"/>
          <w:sz w:val="28"/>
          <w:szCs w:val="28"/>
        </w:rPr>
        <w:t>, e</w:t>
      </w:r>
      <w:r w:rsidRPr="00752B6B">
        <w:rPr>
          <w:rFonts w:ascii="Century Gothic" w:hAnsi="Century Gothic"/>
          <w:sz w:val="28"/>
          <w:szCs w:val="28"/>
        </w:rPr>
        <w:t>sta</w:t>
      </w:r>
      <w:r>
        <w:rPr>
          <w:rFonts w:ascii="Century Gothic" w:hAnsi="Century Gothic"/>
          <w:sz w:val="28"/>
          <w:szCs w:val="28"/>
        </w:rPr>
        <w:t>s</w:t>
      </w:r>
      <w:r w:rsidRPr="00752B6B">
        <w:rPr>
          <w:rFonts w:ascii="Century Gothic" w:hAnsi="Century Gothic"/>
          <w:sz w:val="28"/>
          <w:szCs w:val="28"/>
        </w:rPr>
        <w:t xml:space="preserve"> puede</w:t>
      </w:r>
      <w:r>
        <w:rPr>
          <w:rFonts w:ascii="Century Gothic" w:hAnsi="Century Gothic"/>
          <w:sz w:val="28"/>
          <w:szCs w:val="28"/>
        </w:rPr>
        <w:t>n</w:t>
      </w:r>
      <w:r w:rsidRPr="00752B6B">
        <w:rPr>
          <w:rFonts w:ascii="Century Gothic" w:hAnsi="Century Gothic"/>
          <w:sz w:val="28"/>
          <w:szCs w:val="28"/>
        </w:rPr>
        <w:t xml:space="preserve"> resultar una consecuencia necesaria de alcanzar altas velocidades y de transgredir las normas del tránsito. </w:t>
      </w: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Hace ya a</w:t>
      </w:r>
      <w:r w:rsidRPr="00752B6B">
        <w:rPr>
          <w:rFonts w:ascii="Century Gothic" w:hAnsi="Century Gothic"/>
          <w:sz w:val="28"/>
          <w:szCs w:val="28"/>
        </w:rPr>
        <w:t>lgunos años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como sociedad hemos decidido sancionar a título de delito de peligro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conductas como la </w:t>
      </w:r>
      <w:r w:rsidRPr="00752B6B">
        <w:rPr>
          <w:rFonts w:ascii="Century Gothic" w:hAnsi="Century Gothic"/>
          <w:sz w:val="28"/>
          <w:szCs w:val="28"/>
        </w:rPr>
        <w:lastRenderedPageBreak/>
        <w:t>conducción en estado de ebriedad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donde si bien pueden incluso no verificarse daños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lesiones o muerte de terceros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igualmente se sanciona dicho accionar en sede penal.</w:t>
      </w:r>
      <w:r>
        <w:rPr>
          <w:rFonts w:ascii="Century Gothic" w:hAnsi="Century Gothic"/>
          <w:sz w:val="28"/>
          <w:szCs w:val="28"/>
        </w:rPr>
        <w:t xml:space="preserve"> Esto incluso ha sido reforzado por medio de la denominada “Ley Emilia”, que supone elevar la conducción en estado de ebriedad a estándares de </w:t>
      </w:r>
      <w:proofErr w:type="spellStart"/>
      <w:r>
        <w:rPr>
          <w:rFonts w:ascii="Century Gothic" w:hAnsi="Century Gothic"/>
          <w:sz w:val="28"/>
          <w:szCs w:val="28"/>
        </w:rPr>
        <w:t>reprochabilidad</w:t>
      </w:r>
      <w:proofErr w:type="spellEnd"/>
      <w:r>
        <w:rPr>
          <w:rFonts w:ascii="Century Gothic" w:hAnsi="Century Gothic"/>
          <w:sz w:val="28"/>
          <w:szCs w:val="28"/>
        </w:rPr>
        <w:t xml:space="preserve"> asimilables a conductas sancionadas con pena aflictiva.</w:t>
      </w: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 problemática</w:t>
      </w:r>
      <w:r w:rsidRPr="00752B6B">
        <w:rPr>
          <w:rFonts w:ascii="Century Gothic" w:hAnsi="Century Gothic"/>
          <w:sz w:val="28"/>
          <w:szCs w:val="28"/>
        </w:rPr>
        <w:t xml:space="preserve"> surgió para el derecho penal desde la perspectiva de principio de lesividad</w:t>
      </w:r>
      <w:r>
        <w:rPr>
          <w:rFonts w:ascii="Century Gothic" w:hAnsi="Century Gothic"/>
          <w:sz w:val="28"/>
          <w:szCs w:val="28"/>
        </w:rPr>
        <w:t>. P</w:t>
      </w:r>
      <w:r w:rsidRPr="00752B6B">
        <w:rPr>
          <w:rFonts w:ascii="Century Gothic" w:hAnsi="Century Gothic"/>
          <w:sz w:val="28"/>
          <w:szCs w:val="28"/>
        </w:rPr>
        <w:t>articularmente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lo referido a los delitos de peligro </w:t>
      </w:r>
      <w:r>
        <w:rPr>
          <w:rFonts w:ascii="Century Gothic" w:hAnsi="Century Gothic"/>
          <w:sz w:val="28"/>
          <w:szCs w:val="28"/>
        </w:rPr>
        <w:t xml:space="preserve">en esta materia, </w:t>
      </w:r>
      <w:r w:rsidRPr="00752B6B">
        <w:rPr>
          <w:rFonts w:ascii="Century Gothic" w:hAnsi="Century Gothic"/>
          <w:sz w:val="28"/>
          <w:szCs w:val="28"/>
        </w:rPr>
        <w:t xml:space="preserve">es un tema que </w:t>
      </w:r>
      <w:r>
        <w:rPr>
          <w:rFonts w:ascii="Century Gothic" w:hAnsi="Century Gothic"/>
          <w:sz w:val="28"/>
          <w:szCs w:val="28"/>
        </w:rPr>
        <w:t xml:space="preserve">ha </w:t>
      </w:r>
      <w:r w:rsidRPr="00752B6B">
        <w:rPr>
          <w:rFonts w:ascii="Century Gothic" w:hAnsi="Century Gothic"/>
          <w:sz w:val="28"/>
          <w:szCs w:val="28"/>
        </w:rPr>
        <w:t>inqu</w:t>
      </w:r>
      <w:r>
        <w:rPr>
          <w:rFonts w:ascii="Century Gothic" w:hAnsi="Century Gothic"/>
          <w:sz w:val="28"/>
          <w:szCs w:val="28"/>
        </w:rPr>
        <w:t>ietado a la doctrina nacional</w:t>
      </w:r>
      <w:r w:rsidRPr="00752B6B">
        <w:rPr>
          <w:rFonts w:ascii="Century Gothic" w:hAnsi="Century Gothic"/>
          <w:sz w:val="28"/>
          <w:szCs w:val="28"/>
        </w:rPr>
        <w:t>. Cabe señalar que se ha desarrollado extensamente la diferencia exis</w:t>
      </w:r>
      <w:r>
        <w:rPr>
          <w:rFonts w:ascii="Century Gothic" w:hAnsi="Century Gothic"/>
          <w:sz w:val="28"/>
          <w:szCs w:val="28"/>
        </w:rPr>
        <w:t xml:space="preserve">tente </w:t>
      </w:r>
      <w:r w:rsidRPr="00752B6B">
        <w:rPr>
          <w:rFonts w:ascii="Century Gothic" w:hAnsi="Century Gothic"/>
          <w:sz w:val="28"/>
          <w:szCs w:val="28"/>
        </w:rPr>
        <w:t>entre los delitos de peligro concreto y los de peligro abstracto</w:t>
      </w:r>
      <w:r>
        <w:rPr>
          <w:rFonts w:ascii="Century Gothic" w:hAnsi="Century Gothic"/>
          <w:sz w:val="28"/>
          <w:szCs w:val="28"/>
        </w:rPr>
        <w:t>, prescindiendo estos</w:t>
      </w:r>
      <w:r w:rsidRPr="00752B6B">
        <w:rPr>
          <w:rFonts w:ascii="Century Gothic" w:hAnsi="Century Gothic"/>
          <w:sz w:val="28"/>
          <w:szCs w:val="28"/>
        </w:rPr>
        <w:t xml:space="preserve"> últimos de cualquier tipo de afectación </w:t>
      </w:r>
      <w:r>
        <w:rPr>
          <w:rFonts w:ascii="Century Gothic" w:hAnsi="Century Gothic"/>
          <w:sz w:val="28"/>
          <w:szCs w:val="28"/>
        </w:rPr>
        <w:t xml:space="preserve">real </w:t>
      </w:r>
      <w:r w:rsidRPr="00752B6B">
        <w:rPr>
          <w:rFonts w:ascii="Century Gothic" w:hAnsi="Century Gothic"/>
          <w:sz w:val="28"/>
          <w:szCs w:val="28"/>
        </w:rPr>
        <w:t>de bienes jurídicos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con la consecuente complejidad desde el punto de vista de la justificación del derecho penal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en tanto se transforman prácticamente en delitos de desobediencia.</w:t>
      </w:r>
    </w:p>
    <w:p w:rsidR="00192C15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8"/>
          <w:szCs w:val="28"/>
        </w:rPr>
      </w:pPr>
      <w:r w:rsidRPr="00752B6B">
        <w:rPr>
          <w:rFonts w:ascii="Century Gothic" w:hAnsi="Century Gothic"/>
          <w:sz w:val="28"/>
          <w:szCs w:val="28"/>
        </w:rPr>
        <w:t>La propuesta que sometemos a discusión legislativa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pretende sancionar</w:t>
      </w:r>
      <w:r>
        <w:rPr>
          <w:rFonts w:ascii="Century Gothic" w:hAnsi="Century Gothic"/>
          <w:sz w:val="28"/>
          <w:szCs w:val="28"/>
        </w:rPr>
        <w:t xml:space="preserve"> a quien huyendo de la presencia policial –luego de la comisión de un delito o para evitar la detención-, conduciendo vehículos motorizados, produzca </w:t>
      </w:r>
      <w:r w:rsidRPr="00752B6B">
        <w:rPr>
          <w:rFonts w:ascii="Century Gothic" w:hAnsi="Century Gothic"/>
          <w:sz w:val="28"/>
          <w:szCs w:val="28"/>
        </w:rPr>
        <w:t>daños</w:t>
      </w:r>
      <w:r>
        <w:rPr>
          <w:rFonts w:ascii="Century Gothic" w:hAnsi="Century Gothic"/>
          <w:sz w:val="28"/>
          <w:szCs w:val="28"/>
        </w:rPr>
        <w:t>,</w:t>
      </w:r>
      <w:r w:rsidRPr="00752B6B">
        <w:rPr>
          <w:rFonts w:ascii="Century Gothic" w:hAnsi="Century Gothic"/>
          <w:sz w:val="28"/>
          <w:szCs w:val="28"/>
        </w:rPr>
        <w:t xml:space="preserve"> lesiones o la muerte de transeúntes o de los agentes policiales envueltos en la persecución.</w:t>
      </w:r>
    </w:p>
    <w:p w:rsidR="00192C15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752B6B" w:rsidRDefault="00192C15" w:rsidP="00752B6B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8"/>
          <w:szCs w:val="28"/>
        </w:rPr>
      </w:pPr>
      <w:r w:rsidRPr="00752B6B">
        <w:rPr>
          <w:rFonts w:ascii="Century Gothic" w:hAnsi="Century Gothic"/>
          <w:sz w:val="28"/>
          <w:szCs w:val="28"/>
        </w:rPr>
        <w:t>Se trata de conductas sancionables con prescindencia de la pena que corresponda en razón de los delitos o cuasi</w:t>
      </w:r>
      <w:r>
        <w:rPr>
          <w:rFonts w:ascii="Century Gothic" w:hAnsi="Century Gothic"/>
          <w:sz w:val="28"/>
          <w:szCs w:val="28"/>
        </w:rPr>
        <w:t>delitos en que incurra el delincuente,</w:t>
      </w:r>
      <w:r w:rsidRPr="00752B6B">
        <w:rPr>
          <w:rFonts w:ascii="Century Gothic" w:hAnsi="Century Gothic"/>
          <w:sz w:val="28"/>
          <w:szCs w:val="28"/>
        </w:rPr>
        <w:t xml:space="preserve"> antes o durante la persecución policial.</w:t>
      </w:r>
      <w:r>
        <w:rPr>
          <w:rFonts w:ascii="Century Gothic" w:hAnsi="Century Gothic"/>
          <w:sz w:val="28"/>
          <w:szCs w:val="28"/>
        </w:rPr>
        <w:t xml:space="preserve"> Igualmente, se establece una regla en virtud de la cual, se califica la conducta cuando se </w:t>
      </w:r>
      <w:r>
        <w:rPr>
          <w:rFonts w:ascii="Century Gothic" w:hAnsi="Century Gothic"/>
          <w:sz w:val="28"/>
          <w:szCs w:val="28"/>
        </w:rPr>
        <w:lastRenderedPageBreak/>
        <w:t xml:space="preserve">produzca la muerte o las lesiones que señala el artículo </w:t>
      </w:r>
      <w:r w:rsidRPr="00CD0DDD">
        <w:rPr>
          <w:rFonts w:ascii="Century Gothic" w:hAnsi="Century Gothic"/>
          <w:sz w:val="28"/>
          <w:szCs w:val="28"/>
        </w:rPr>
        <w:t>397, Nº 1, del Código Penal</w:t>
      </w:r>
      <w:r>
        <w:rPr>
          <w:rFonts w:ascii="Century Gothic" w:hAnsi="Century Gothic"/>
          <w:sz w:val="28"/>
          <w:szCs w:val="28"/>
        </w:rPr>
        <w:t xml:space="preserve"> en agentes policiales que participaren de la persecución.</w:t>
      </w:r>
    </w:p>
    <w:p w:rsidR="00192C15" w:rsidRDefault="00192C15" w:rsidP="00424EC1">
      <w:pPr>
        <w:jc w:val="both"/>
        <w:rPr>
          <w:rFonts w:ascii="Century Gothic" w:hAnsi="Century Gothic"/>
          <w:sz w:val="28"/>
          <w:szCs w:val="28"/>
        </w:rPr>
      </w:pPr>
    </w:p>
    <w:p w:rsidR="00192C15" w:rsidRDefault="00192C15" w:rsidP="00177C12">
      <w:pPr>
        <w:ind w:left="360"/>
        <w:jc w:val="both"/>
        <w:rPr>
          <w:rFonts w:ascii="Century Gothic" w:hAnsi="Century Gothic"/>
          <w:sz w:val="28"/>
          <w:szCs w:val="28"/>
        </w:rPr>
      </w:pPr>
    </w:p>
    <w:p w:rsidR="00192C15" w:rsidRPr="00177C12" w:rsidRDefault="00192C15" w:rsidP="00177C12">
      <w:pPr>
        <w:ind w:left="360"/>
        <w:jc w:val="both"/>
        <w:rPr>
          <w:rFonts w:ascii="Century Gothic" w:hAnsi="Century Gothic"/>
          <w:sz w:val="28"/>
          <w:szCs w:val="28"/>
        </w:rPr>
      </w:pPr>
      <w:r w:rsidRPr="00177C12">
        <w:rPr>
          <w:rFonts w:ascii="Century Gothic" w:hAnsi="Century Gothic"/>
          <w:sz w:val="28"/>
          <w:szCs w:val="28"/>
        </w:rPr>
        <w:t>Por lo anterior, venimos en proponer el siguiente:</w:t>
      </w:r>
    </w:p>
    <w:p w:rsidR="00192C15" w:rsidRDefault="00192C15" w:rsidP="00003A84">
      <w:pPr>
        <w:jc w:val="both"/>
        <w:rPr>
          <w:rFonts w:ascii="Century Gothic" w:hAnsi="Century Gothic"/>
          <w:sz w:val="28"/>
          <w:szCs w:val="28"/>
        </w:rPr>
      </w:pPr>
    </w:p>
    <w:p w:rsidR="00192C15" w:rsidRDefault="00192C15" w:rsidP="00003A84">
      <w:pPr>
        <w:jc w:val="both"/>
        <w:rPr>
          <w:rFonts w:ascii="Century Gothic" w:hAnsi="Century Gothic"/>
          <w:sz w:val="28"/>
          <w:szCs w:val="28"/>
        </w:rPr>
      </w:pPr>
    </w:p>
    <w:p w:rsidR="00192C15" w:rsidRDefault="00192C15" w:rsidP="00003A84">
      <w:pPr>
        <w:jc w:val="both"/>
        <w:rPr>
          <w:rFonts w:ascii="Century Gothic" w:hAnsi="Century Gothic"/>
          <w:sz w:val="28"/>
          <w:szCs w:val="28"/>
        </w:rPr>
      </w:pPr>
    </w:p>
    <w:p w:rsidR="00192C15" w:rsidRDefault="00192C15" w:rsidP="00003A8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</w:t>
      </w:r>
      <w:r w:rsidRPr="007A64FD">
        <w:rPr>
          <w:rFonts w:ascii="Century Gothic" w:hAnsi="Century Gothic"/>
          <w:b/>
          <w:sz w:val="28"/>
          <w:szCs w:val="28"/>
        </w:rPr>
        <w:t>YECTO DE LEY</w:t>
      </w:r>
    </w:p>
    <w:p w:rsidR="00192C15" w:rsidRDefault="00192C15" w:rsidP="00003A84">
      <w:pPr>
        <w:jc w:val="both"/>
        <w:rPr>
          <w:rFonts w:ascii="Century Gothic" w:hAnsi="Century Gothic"/>
          <w:b/>
          <w:sz w:val="28"/>
          <w:szCs w:val="28"/>
        </w:rPr>
      </w:pPr>
    </w:p>
    <w:p w:rsidR="00192C15" w:rsidRPr="00ED0E73" w:rsidRDefault="00192C15" w:rsidP="00ED0E73">
      <w:pPr>
        <w:jc w:val="both"/>
        <w:rPr>
          <w:rFonts w:ascii="Century Gothic" w:hAnsi="Century Gothic"/>
          <w:sz w:val="28"/>
          <w:szCs w:val="28"/>
          <w:lang w:val="es-ES_tradnl"/>
        </w:rPr>
      </w:pPr>
      <w:r>
        <w:rPr>
          <w:rFonts w:ascii="Century Gothic" w:hAnsi="Century Gothic"/>
          <w:b/>
          <w:sz w:val="28"/>
          <w:szCs w:val="28"/>
        </w:rPr>
        <w:t>“</w:t>
      </w:r>
      <w:r w:rsidRPr="003273B7">
        <w:rPr>
          <w:rFonts w:ascii="Century Gothic" w:hAnsi="Century Gothic"/>
          <w:b/>
          <w:sz w:val="28"/>
          <w:szCs w:val="28"/>
        </w:rPr>
        <w:t>Artículo único.-</w:t>
      </w:r>
      <w:proofErr w:type="spellStart"/>
      <w:r>
        <w:rPr>
          <w:rFonts w:ascii="Century Gothic" w:hAnsi="Century Gothic"/>
          <w:sz w:val="28"/>
          <w:szCs w:val="28"/>
          <w:lang w:val="es-ES_tradnl"/>
        </w:rPr>
        <w:t>Agrégase</w:t>
      </w:r>
      <w:proofErr w:type="spellEnd"/>
      <w:r w:rsidRPr="00ED0E73">
        <w:rPr>
          <w:rFonts w:ascii="Century Gothic" w:hAnsi="Century Gothic"/>
          <w:sz w:val="28"/>
          <w:szCs w:val="28"/>
          <w:lang w:val="es-ES_tradnl"/>
        </w:rPr>
        <w:t xml:space="preserve"> </w:t>
      </w:r>
      <w:r>
        <w:rPr>
          <w:rFonts w:ascii="Century Gothic" w:hAnsi="Century Gothic"/>
          <w:sz w:val="28"/>
          <w:szCs w:val="28"/>
          <w:lang w:val="es-ES_tradnl"/>
        </w:rPr>
        <w:t xml:space="preserve">a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Century Gothic" w:hAnsi="Century Gothic"/>
            <w:sz w:val="28"/>
            <w:szCs w:val="28"/>
            <w:lang w:val="es-ES_tradnl"/>
          </w:rPr>
          <w:t>la L</w:t>
        </w:r>
        <w:r w:rsidRPr="00ED0E73">
          <w:rPr>
            <w:rFonts w:ascii="Century Gothic" w:hAnsi="Century Gothic"/>
            <w:sz w:val="28"/>
            <w:szCs w:val="28"/>
            <w:lang w:val="es-ES_tradnl"/>
          </w:rPr>
          <w:t>ey N</w:t>
        </w:r>
      </w:smartTag>
      <w:r w:rsidRPr="00ED0E73">
        <w:rPr>
          <w:rFonts w:ascii="Century Gothic" w:hAnsi="Century Gothic"/>
          <w:sz w:val="28"/>
          <w:szCs w:val="28"/>
          <w:lang w:val="es-ES_tradnl"/>
        </w:rPr>
        <w:t>° 18.290, de Tránsito, cuyo texto refundido, coordinado y sistematizado fue fijado por el decreto con fuerza de ley N° 1, de 2007, de los Ministerios de Transportes y Telecomunicaciones y de Justicia</w:t>
      </w:r>
      <w:r>
        <w:rPr>
          <w:rFonts w:ascii="Century Gothic" w:hAnsi="Century Gothic"/>
          <w:sz w:val="28"/>
          <w:szCs w:val="28"/>
          <w:lang w:val="es-ES_tradnl"/>
        </w:rPr>
        <w:t xml:space="preserve">; el siguiente artículo 196 </w:t>
      </w:r>
      <w:proofErr w:type="spellStart"/>
      <w:r>
        <w:rPr>
          <w:rFonts w:ascii="Century Gothic" w:hAnsi="Century Gothic"/>
          <w:sz w:val="28"/>
          <w:szCs w:val="28"/>
          <w:lang w:val="es-ES_tradnl"/>
        </w:rPr>
        <w:t>quater</w:t>
      </w:r>
      <w:proofErr w:type="spellEnd"/>
      <w:r>
        <w:rPr>
          <w:rFonts w:ascii="Century Gothic" w:hAnsi="Century Gothic"/>
          <w:sz w:val="28"/>
          <w:szCs w:val="28"/>
          <w:lang w:val="es-ES_tradnl"/>
        </w:rPr>
        <w:t xml:space="preserve"> nuevo</w:t>
      </w:r>
      <w:r w:rsidRPr="00ED0E73">
        <w:rPr>
          <w:rFonts w:ascii="Century Gothic" w:hAnsi="Century Gothic"/>
          <w:sz w:val="28"/>
          <w:szCs w:val="28"/>
          <w:lang w:val="es-ES_tradnl"/>
        </w:rPr>
        <w:t>:</w:t>
      </w:r>
    </w:p>
    <w:p w:rsidR="00192C15" w:rsidRDefault="00192C15" w:rsidP="00ED0E73">
      <w:pPr>
        <w:jc w:val="both"/>
        <w:rPr>
          <w:rFonts w:ascii="Century Gothic" w:hAnsi="Century Gothic"/>
          <w:sz w:val="28"/>
          <w:szCs w:val="28"/>
        </w:rPr>
      </w:pPr>
    </w:p>
    <w:p w:rsidR="00192C15" w:rsidRDefault="00192C15" w:rsidP="00CD0DD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“Artículo 196 </w:t>
      </w:r>
      <w:proofErr w:type="spellStart"/>
      <w:r>
        <w:rPr>
          <w:rFonts w:ascii="Century Gothic" w:hAnsi="Century Gothic"/>
          <w:sz w:val="28"/>
          <w:szCs w:val="28"/>
        </w:rPr>
        <w:t>quater</w:t>
      </w:r>
      <w:proofErr w:type="spellEnd"/>
      <w:r w:rsidRPr="00CD0DDD">
        <w:rPr>
          <w:rFonts w:ascii="Century Gothic" w:hAnsi="Century Gothic"/>
          <w:sz w:val="28"/>
          <w:szCs w:val="28"/>
        </w:rPr>
        <w:t xml:space="preserve">.- El que, con posterioridad a la comisión de un delito y con el objeto de evitar la detención o evadir la acción de la justicia, </w:t>
      </w:r>
      <w:r>
        <w:rPr>
          <w:rFonts w:ascii="Century Gothic" w:hAnsi="Century Gothic"/>
          <w:sz w:val="28"/>
          <w:szCs w:val="28"/>
        </w:rPr>
        <w:t xml:space="preserve">huyere conduciendo </w:t>
      </w:r>
      <w:proofErr w:type="spellStart"/>
      <w:r>
        <w:rPr>
          <w:rFonts w:ascii="Century Gothic" w:hAnsi="Century Gothic"/>
          <w:sz w:val="28"/>
          <w:szCs w:val="28"/>
        </w:rPr>
        <w:t>vehiculo</w:t>
      </w:r>
      <w:proofErr w:type="spellEnd"/>
      <w:r>
        <w:rPr>
          <w:rFonts w:ascii="Century Gothic" w:hAnsi="Century Gothic"/>
          <w:sz w:val="28"/>
          <w:szCs w:val="28"/>
        </w:rPr>
        <w:t xml:space="preserve"> motorizado causando</w:t>
      </w:r>
      <w:r w:rsidRPr="00CD0DDD">
        <w:rPr>
          <w:rFonts w:ascii="Century Gothic" w:hAnsi="Century Gothic"/>
          <w:sz w:val="28"/>
          <w:szCs w:val="28"/>
        </w:rPr>
        <w:t xml:space="preserve"> daños materiales o lesiones leves, será sancionado con una multa de una a cinco unidades tributarias mensuales y la suspensión de la licencia de conducir por seis meses. Se reputarán leves, para estos efectos, todas las lesiones que produzcan al ofendido enfermedad o incapacidad por un tiempo no mayor a siete días.</w:t>
      </w:r>
    </w:p>
    <w:p w:rsidR="00192C15" w:rsidRPr="00CD0DDD" w:rsidRDefault="00192C15" w:rsidP="00CD0DDD">
      <w:pPr>
        <w:jc w:val="both"/>
        <w:rPr>
          <w:rFonts w:ascii="Century Gothic" w:hAnsi="Century Gothic"/>
          <w:sz w:val="28"/>
          <w:szCs w:val="28"/>
        </w:rPr>
      </w:pPr>
      <w:r w:rsidRPr="00CD0DDD">
        <w:rPr>
          <w:rFonts w:ascii="Century Gothic" w:hAnsi="Century Gothic"/>
          <w:sz w:val="28"/>
          <w:szCs w:val="28"/>
        </w:rPr>
        <w:br/>
        <w:t xml:space="preserve">     Si se causaren lesiones menos graves, se impondrá la pena de prisión en su grado mínimo o multa de cuatro a diez </w:t>
      </w:r>
      <w:r w:rsidRPr="00CD0DDD">
        <w:rPr>
          <w:rFonts w:ascii="Century Gothic" w:hAnsi="Century Gothic"/>
          <w:sz w:val="28"/>
          <w:szCs w:val="28"/>
        </w:rPr>
        <w:lastRenderedPageBreak/>
        <w:t>unidades tributarias mensuales y la suspensión de la licencia de conducir por nueve meses.</w:t>
      </w:r>
    </w:p>
    <w:p w:rsidR="00192C15" w:rsidRPr="00CD0DDD" w:rsidRDefault="00192C15" w:rsidP="00CD0DDD">
      <w:pPr>
        <w:jc w:val="both"/>
        <w:rPr>
          <w:rFonts w:ascii="Century Gothic" w:hAnsi="Century Gothic"/>
          <w:sz w:val="28"/>
          <w:szCs w:val="28"/>
        </w:rPr>
      </w:pPr>
      <w:r w:rsidRPr="00CD0DDD">
        <w:rPr>
          <w:rFonts w:ascii="Century Gothic" w:hAnsi="Century Gothic"/>
          <w:sz w:val="28"/>
          <w:szCs w:val="28"/>
        </w:rPr>
        <w:br/>
        <w:t>     Si se causaren lesiones graves, la pena asignada será aquélla señalada en el artículo 490, Nº 2, del Código Penal y la suspensión de la licencia de conducir de dieciocho a treinta y seis meses.</w:t>
      </w:r>
    </w:p>
    <w:p w:rsidR="00192C15" w:rsidRDefault="00192C15" w:rsidP="00CD0DDD">
      <w:pPr>
        <w:jc w:val="both"/>
        <w:rPr>
          <w:rFonts w:ascii="Century Gothic" w:hAnsi="Century Gothic"/>
          <w:sz w:val="28"/>
          <w:szCs w:val="28"/>
        </w:rPr>
      </w:pPr>
      <w:r w:rsidRPr="00CD0DDD">
        <w:rPr>
          <w:rFonts w:ascii="Century Gothic" w:hAnsi="Century Gothic"/>
          <w:sz w:val="28"/>
          <w:szCs w:val="28"/>
        </w:rPr>
        <w:br/>
        <w:t>     Si se causaren algunas de las lesiones indicadas en el artículo 397, Nº 1, del Código Penal o la muerte, se impondrá la pena de reclusión menor en su grado máximo, multa de veintiuno a treinta unidades tributarias mensuales y la suspensión de la licencia para conducir por el plazo que determine el juez, el que no podrá ser inferior a treinta y seis ni superior a sesenta meses.</w:t>
      </w:r>
      <w:r>
        <w:rPr>
          <w:rFonts w:ascii="Century Gothic" w:hAnsi="Century Gothic"/>
          <w:sz w:val="28"/>
          <w:szCs w:val="28"/>
        </w:rPr>
        <w:t xml:space="preserve"> Cuando las lesiones a las que se refiere este inciso o la muerte se causaren a agentes policiales que participaren de la persecución, se aplicará la pena señalada en su máximum.</w:t>
      </w:r>
    </w:p>
    <w:p w:rsidR="00192C15" w:rsidRPr="00CD0DDD" w:rsidRDefault="00192C15" w:rsidP="00CD0DDD">
      <w:pPr>
        <w:jc w:val="both"/>
        <w:rPr>
          <w:rFonts w:ascii="Century Gothic" w:hAnsi="Century Gothic"/>
          <w:sz w:val="28"/>
          <w:szCs w:val="28"/>
        </w:rPr>
      </w:pPr>
    </w:p>
    <w:p w:rsidR="00192C15" w:rsidRPr="00BE73C5" w:rsidRDefault="00192C15" w:rsidP="00003A8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   </w:t>
      </w:r>
      <w:r w:rsidRPr="00CD0DDD">
        <w:rPr>
          <w:rFonts w:ascii="Century Gothic" w:hAnsi="Century Gothic"/>
          <w:sz w:val="28"/>
          <w:szCs w:val="28"/>
        </w:rPr>
        <w:t>Las penas previstas en este artículo se impondrán al conductor conjuntamente con las que le correspondan por la responsabilidad que le pueda caber en el respectivo delito o cuasidelito, de conformidad con lo dispuesto en el artículo 74 del Código Penal.</w:t>
      </w:r>
      <w:r>
        <w:rPr>
          <w:rFonts w:ascii="Century Gothic" w:hAnsi="Century Gothic"/>
          <w:sz w:val="28"/>
          <w:szCs w:val="28"/>
        </w:rPr>
        <w:t>”.”.</w:t>
      </w:r>
    </w:p>
    <w:sectPr w:rsidR="00192C15" w:rsidRPr="00BE73C5" w:rsidSect="00716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2F5"/>
    <w:multiLevelType w:val="hybridMultilevel"/>
    <w:tmpl w:val="D3B42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8D4"/>
    <w:multiLevelType w:val="hybridMultilevel"/>
    <w:tmpl w:val="B2923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57A"/>
    <w:multiLevelType w:val="hybridMultilevel"/>
    <w:tmpl w:val="F3EEA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65AD"/>
    <w:multiLevelType w:val="hybridMultilevel"/>
    <w:tmpl w:val="DDB2B638"/>
    <w:lvl w:ilvl="0" w:tplc="23D4C12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1AF3"/>
    <w:multiLevelType w:val="hybridMultilevel"/>
    <w:tmpl w:val="13527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6331"/>
    <w:multiLevelType w:val="hybridMultilevel"/>
    <w:tmpl w:val="E474ED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3D52"/>
    <w:multiLevelType w:val="hybridMultilevel"/>
    <w:tmpl w:val="8D0EB4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8AC"/>
    <w:multiLevelType w:val="hybridMultilevel"/>
    <w:tmpl w:val="5F3C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2F2D"/>
    <w:multiLevelType w:val="hybridMultilevel"/>
    <w:tmpl w:val="02E2F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067"/>
    <w:multiLevelType w:val="hybridMultilevel"/>
    <w:tmpl w:val="DC44A0DA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C66A91"/>
    <w:multiLevelType w:val="hybridMultilevel"/>
    <w:tmpl w:val="07DE1AC4"/>
    <w:lvl w:ilvl="0" w:tplc="34EA3BF2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BF736D8"/>
    <w:multiLevelType w:val="hybridMultilevel"/>
    <w:tmpl w:val="8D825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35EE"/>
    <w:multiLevelType w:val="hybridMultilevel"/>
    <w:tmpl w:val="EED28920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19463A"/>
    <w:multiLevelType w:val="hybridMultilevel"/>
    <w:tmpl w:val="A75AAC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F30"/>
    <w:rsid w:val="00003A84"/>
    <w:rsid w:val="00005B49"/>
    <w:rsid w:val="00041962"/>
    <w:rsid w:val="00056F83"/>
    <w:rsid w:val="0007754C"/>
    <w:rsid w:val="00087B1D"/>
    <w:rsid w:val="000913F3"/>
    <w:rsid w:val="000B3AB9"/>
    <w:rsid w:val="000C460E"/>
    <w:rsid w:val="000E03B0"/>
    <w:rsid w:val="000E7BF6"/>
    <w:rsid w:val="0011240F"/>
    <w:rsid w:val="0012322C"/>
    <w:rsid w:val="00130B53"/>
    <w:rsid w:val="00141982"/>
    <w:rsid w:val="00160B45"/>
    <w:rsid w:val="00177C12"/>
    <w:rsid w:val="00192C15"/>
    <w:rsid w:val="001C4AEB"/>
    <w:rsid w:val="001D2F82"/>
    <w:rsid w:val="001D3E07"/>
    <w:rsid w:val="00207D23"/>
    <w:rsid w:val="002156D3"/>
    <w:rsid w:val="00267D62"/>
    <w:rsid w:val="002B08BE"/>
    <w:rsid w:val="002F6E36"/>
    <w:rsid w:val="00315181"/>
    <w:rsid w:val="003273B7"/>
    <w:rsid w:val="00383C64"/>
    <w:rsid w:val="003C1C98"/>
    <w:rsid w:val="003C39EA"/>
    <w:rsid w:val="00414EB2"/>
    <w:rsid w:val="00424EC1"/>
    <w:rsid w:val="004A5D43"/>
    <w:rsid w:val="004B3B04"/>
    <w:rsid w:val="004E05EE"/>
    <w:rsid w:val="004F47F2"/>
    <w:rsid w:val="00502373"/>
    <w:rsid w:val="00516051"/>
    <w:rsid w:val="00525A3E"/>
    <w:rsid w:val="00541A5A"/>
    <w:rsid w:val="00545F89"/>
    <w:rsid w:val="0057765A"/>
    <w:rsid w:val="005946C4"/>
    <w:rsid w:val="005A3A36"/>
    <w:rsid w:val="005A4ACC"/>
    <w:rsid w:val="005D01A8"/>
    <w:rsid w:val="0060183D"/>
    <w:rsid w:val="006248D3"/>
    <w:rsid w:val="00656FE5"/>
    <w:rsid w:val="00657CCA"/>
    <w:rsid w:val="00675CC5"/>
    <w:rsid w:val="00684CB4"/>
    <w:rsid w:val="006C2873"/>
    <w:rsid w:val="006C5519"/>
    <w:rsid w:val="006C732D"/>
    <w:rsid w:val="006E4171"/>
    <w:rsid w:val="006F6999"/>
    <w:rsid w:val="0071618F"/>
    <w:rsid w:val="00752B6B"/>
    <w:rsid w:val="00772520"/>
    <w:rsid w:val="00786E7A"/>
    <w:rsid w:val="007A64FD"/>
    <w:rsid w:val="007B772A"/>
    <w:rsid w:val="00812062"/>
    <w:rsid w:val="0084367F"/>
    <w:rsid w:val="00844710"/>
    <w:rsid w:val="00887A1C"/>
    <w:rsid w:val="008F5AEB"/>
    <w:rsid w:val="00944F10"/>
    <w:rsid w:val="0096715E"/>
    <w:rsid w:val="009849AA"/>
    <w:rsid w:val="009C39AF"/>
    <w:rsid w:val="009E4003"/>
    <w:rsid w:val="00A02597"/>
    <w:rsid w:val="00A32052"/>
    <w:rsid w:val="00A55A8C"/>
    <w:rsid w:val="00A76DBC"/>
    <w:rsid w:val="00AB27EB"/>
    <w:rsid w:val="00B81A61"/>
    <w:rsid w:val="00B934BF"/>
    <w:rsid w:val="00B9649A"/>
    <w:rsid w:val="00B97BDE"/>
    <w:rsid w:val="00BE73C5"/>
    <w:rsid w:val="00C12A40"/>
    <w:rsid w:val="00C802EC"/>
    <w:rsid w:val="00CD0DDD"/>
    <w:rsid w:val="00CD6ED4"/>
    <w:rsid w:val="00D32123"/>
    <w:rsid w:val="00D50721"/>
    <w:rsid w:val="00D5620E"/>
    <w:rsid w:val="00D90124"/>
    <w:rsid w:val="00DF7B6D"/>
    <w:rsid w:val="00E1298F"/>
    <w:rsid w:val="00E43031"/>
    <w:rsid w:val="00E64580"/>
    <w:rsid w:val="00E8567A"/>
    <w:rsid w:val="00EA0E3B"/>
    <w:rsid w:val="00ED0E73"/>
    <w:rsid w:val="00EE0416"/>
    <w:rsid w:val="00F43BD6"/>
    <w:rsid w:val="00F736A9"/>
    <w:rsid w:val="00F97743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DF295E7-1980-46E7-AE25-3903AA1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8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A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749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LA LEY DEL TRÁNSITO SANCIONANDO CON MAYOR RIGOR LA ADULTERACIÓN DE TAXIMETROS</dc:title>
  <dc:subject/>
  <dc:creator>Pablo Ignacio Celedon Gonzalez</dc:creator>
  <cp:keywords/>
  <dc:description/>
  <cp:lastModifiedBy>Leonardo Lueiza Ureta</cp:lastModifiedBy>
  <cp:revision>5</cp:revision>
  <cp:lastPrinted>2017-10-04T14:44:00Z</cp:lastPrinted>
  <dcterms:created xsi:type="dcterms:W3CDTF">2017-09-26T19:16:00Z</dcterms:created>
  <dcterms:modified xsi:type="dcterms:W3CDTF">2017-11-23T00:06:00Z</dcterms:modified>
</cp:coreProperties>
</file>