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E" w:rsidRPr="009E3AE3" w:rsidRDefault="009E3AE3" w:rsidP="004160C4">
      <w:pPr>
        <w:jc w:val="center"/>
        <w:rPr>
          <w:rFonts w:ascii="Cambria" w:hAnsi="Cambria"/>
          <w:b/>
          <w:sz w:val="44"/>
          <w:szCs w:val="44"/>
        </w:rPr>
      </w:pPr>
      <w:r w:rsidRPr="009E3AE3">
        <w:rPr>
          <w:rFonts w:ascii="Cambria" w:hAnsi="Cambria"/>
          <w:b/>
          <w:sz w:val="44"/>
          <w:szCs w:val="44"/>
        </w:rPr>
        <w:t>Modifica el Código Penal con el objeto de aumentar la pena aplicable a los delitos de homicidio y lesiones cometidos en contra de choferes de transporte público de pasajeros, en el ejercicio de sus labores</w:t>
      </w:r>
    </w:p>
    <w:p w:rsidR="0052635E" w:rsidRDefault="009E3AE3" w:rsidP="009E3AE3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Boletín N°11516-07</w:t>
      </w:r>
      <w:bookmarkStart w:id="0" w:name="_GoBack"/>
      <w:bookmarkEnd w:id="0"/>
    </w:p>
    <w:p w:rsidR="0052635E" w:rsidRPr="00C41A1F" w:rsidRDefault="0052635E" w:rsidP="001767F6">
      <w:pPr>
        <w:rPr>
          <w:rFonts w:ascii="Century Gothic" w:hAnsi="Century Gothic"/>
          <w:b/>
          <w:sz w:val="36"/>
          <w:szCs w:val="36"/>
        </w:rPr>
      </w:pPr>
    </w:p>
    <w:p w:rsidR="0052635E" w:rsidRPr="001A35D9" w:rsidRDefault="0052635E" w:rsidP="001A35D9">
      <w:pPr>
        <w:rPr>
          <w:rFonts w:ascii="Century Gothic" w:hAnsi="Century Gothic"/>
          <w:b/>
          <w:sz w:val="28"/>
          <w:szCs w:val="28"/>
        </w:rPr>
      </w:pPr>
      <w:r w:rsidRPr="00C41A1F">
        <w:rPr>
          <w:rFonts w:ascii="Century Gothic" w:hAnsi="Century Gothic"/>
          <w:b/>
          <w:sz w:val="28"/>
          <w:szCs w:val="28"/>
        </w:rPr>
        <w:t>Fundamentos:</w:t>
      </w:r>
    </w:p>
    <w:p w:rsidR="0052635E" w:rsidRDefault="0052635E" w:rsidP="005B3E9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5B3E9B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 w:rsidRPr="002051DD">
        <w:rPr>
          <w:rFonts w:ascii="Century Gothic" w:hAnsi="Century Gothic"/>
          <w:sz w:val="28"/>
          <w:szCs w:val="28"/>
        </w:rPr>
        <w:t xml:space="preserve">De acuerdo </w:t>
      </w:r>
      <w:r>
        <w:rPr>
          <w:rFonts w:ascii="Century Gothic" w:hAnsi="Century Gothic"/>
          <w:sz w:val="28"/>
          <w:szCs w:val="28"/>
        </w:rPr>
        <w:t>a</w:t>
      </w:r>
      <w:r w:rsidRPr="002051D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una </w:t>
      </w:r>
      <w:r w:rsidRPr="002051DD">
        <w:rPr>
          <w:rFonts w:ascii="Century Gothic" w:hAnsi="Century Gothic"/>
          <w:sz w:val="28"/>
          <w:szCs w:val="28"/>
        </w:rPr>
        <w:t>encuesta realizada</w:t>
      </w:r>
      <w:r>
        <w:rPr>
          <w:rFonts w:ascii="Century Gothic" w:hAnsi="Century Gothic"/>
          <w:sz w:val="28"/>
          <w:szCs w:val="28"/>
        </w:rPr>
        <w:t xml:space="preserve"> por el investigador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Century Gothic" w:hAnsi="Century Gothic"/>
            <w:sz w:val="28"/>
            <w:szCs w:val="28"/>
          </w:rPr>
          <w:t>la Universidad</w:t>
        </w:r>
      </w:smartTag>
      <w:r>
        <w:rPr>
          <w:rFonts w:ascii="Century Gothic" w:hAnsi="Century Gothic"/>
          <w:sz w:val="28"/>
          <w:szCs w:val="28"/>
        </w:rPr>
        <w:t xml:space="preserve"> de Chile, Diego </w:t>
      </w:r>
      <w:proofErr w:type="spellStart"/>
      <w:r>
        <w:rPr>
          <w:rFonts w:ascii="Century Gothic" w:hAnsi="Century Gothic"/>
          <w:sz w:val="28"/>
          <w:szCs w:val="28"/>
        </w:rPr>
        <w:t>Piñol</w:t>
      </w:r>
      <w:proofErr w:type="spellEnd"/>
      <w:r>
        <w:rPr>
          <w:rFonts w:ascii="Century Gothic" w:hAnsi="Century Gothic"/>
          <w:sz w:val="28"/>
          <w:szCs w:val="28"/>
        </w:rPr>
        <w:t>, a</w:t>
      </w:r>
      <w:r w:rsidRPr="002051DD">
        <w:rPr>
          <w:rFonts w:ascii="Century Gothic" w:hAnsi="Century Gothic"/>
          <w:sz w:val="28"/>
          <w:szCs w:val="28"/>
        </w:rPr>
        <w:t xml:space="preserve"> conductores </w:t>
      </w:r>
      <w:r>
        <w:rPr>
          <w:rFonts w:ascii="Century Gothic" w:hAnsi="Century Gothic"/>
          <w:sz w:val="28"/>
          <w:szCs w:val="28"/>
        </w:rPr>
        <w:t>d</w:t>
      </w:r>
      <w:r w:rsidRPr="002051DD">
        <w:rPr>
          <w:rFonts w:ascii="Century Gothic" w:hAnsi="Century Gothic"/>
          <w:sz w:val="28"/>
          <w:szCs w:val="28"/>
        </w:rPr>
        <w:t>el</w:t>
      </w:r>
      <w:r>
        <w:rPr>
          <w:rFonts w:ascii="Century Gothic" w:hAnsi="Century Gothic"/>
          <w:sz w:val="28"/>
          <w:szCs w:val="28"/>
        </w:rPr>
        <w:t xml:space="preserve"> Sistema de Transporte Público de Santiago,</w:t>
      </w:r>
      <w:r w:rsidRPr="002051DD">
        <w:rPr>
          <w:rFonts w:ascii="Century Gothic" w:hAnsi="Century Gothic"/>
          <w:sz w:val="28"/>
          <w:szCs w:val="28"/>
        </w:rPr>
        <w:t xml:space="preserve"> un 20% de ellos sufrió </w:t>
      </w:r>
      <w:r>
        <w:rPr>
          <w:rFonts w:ascii="Century Gothic" w:hAnsi="Century Gothic"/>
          <w:sz w:val="28"/>
          <w:szCs w:val="28"/>
        </w:rPr>
        <w:t xml:space="preserve">alguna </w:t>
      </w:r>
      <w:r w:rsidRPr="002051DD">
        <w:rPr>
          <w:rFonts w:ascii="Century Gothic" w:hAnsi="Century Gothic"/>
          <w:sz w:val="28"/>
          <w:szCs w:val="28"/>
        </w:rPr>
        <w:t>agresión física o fue víctima de otros hechos delictuales</w:t>
      </w:r>
      <w:r>
        <w:rPr>
          <w:rStyle w:val="Refdenotaalpie"/>
          <w:rFonts w:ascii="Century Gothic" w:hAnsi="Century Gothic"/>
          <w:sz w:val="28"/>
          <w:szCs w:val="28"/>
        </w:rPr>
        <w:footnoteReference w:id="1"/>
      </w:r>
      <w:r w:rsidRPr="002051DD">
        <w:rPr>
          <w:rFonts w:ascii="Century Gothic" w:hAnsi="Century Gothic"/>
          <w:sz w:val="28"/>
          <w:szCs w:val="28"/>
        </w:rPr>
        <w:t>. Esto se condice con las noticias que dejan a la vista como diariamente</w:t>
      </w:r>
      <w:r>
        <w:rPr>
          <w:rFonts w:ascii="Century Gothic" w:hAnsi="Century Gothic"/>
          <w:sz w:val="28"/>
          <w:szCs w:val="28"/>
        </w:rPr>
        <w:t>,</w:t>
      </w:r>
      <w:r w:rsidRPr="002051DD">
        <w:rPr>
          <w:rFonts w:ascii="Century Gothic" w:hAnsi="Century Gothic"/>
          <w:sz w:val="28"/>
          <w:szCs w:val="28"/>
        </w:rPr>
        <w:t xml:space="preserve"> quienes</w:t>
      </w:r>
      <w:r>
        <w:rPr>
          <w:rFonts w:ascii="Century Gothic" w:hAnsi="Century Gothic"/>
          <w:sz w:val="28"/>
          <w:szCs w:val="28"/>
        </w:rPr>
        <w:t xml:space="preserve"> se</w:t>
      </w:r>
      <w:r w:rsidRPr="002051DD">
        <w:rPr>
          <w:rFonts w:ascii="Century Gothic" w:hAnsi="Century Gothic"/>
          <w:sz w:val="28"/>
          <w:szCs w:val="28"/>
        </w:rPr>
        <w:t xml:space="preserve"> desempeñan </w:t>
      </w:r>
      <w:r>
        <w:rPr>
          <w:rFonts w:ascii="Century Gothic" w:hAnsi="Century Gothic"/>
          <w:sz w:val="28"/>
          <w:szCs w:val="28"/>
        </w:rPr>
        <w:t>como conductores en el</w:t>
      </w:r>
      <w:r w:rsidRPr="002051DD">
        <w:rPr>
          <w:rFonts w:ascii="Century Gothic" w:hAnsi="Century Gothic"/>
          <w:sz w:val="28"/>
          <w:szCs w:val="28"/>
        </w:rPr>
        <w:t xml:space="preserve"> transporte público de pasajeros</w:t>
      </w:r>
      <w:r>
        <w:rPr>
          <w:rFonts w:ascii="Century Gothic" w:hAnsi="Century Gothic"/>
          <w:sz w:val="28"/>
          <w:szCs w:val="28"/>
        </w:rPr>
        <w:t>,</w:t>
      </w:r>
      <w:r w:rsidRPr="002051DD">
        <w:rPr>
          <w:rFonts w:ascii="Century Gothic" w:hAnsi="Century Gothic"/>
          <w:sz w:val="28"/>
          <w:szCs w:val="28"/>
        </w:rPr>
        <w:t xml:space="preserve"> y particularmente como conductores de autobuses</w:t>
      </w:r>
      <w:r>
        <w:rPr>
          <w:rFonts w:ascii="Century Gothic" w:hAnsi="Century Gothic"/>
          <w:sz w:val="28"/>
          <w:szCs w:val="28"/>
        </w:rPr>
        <w:t>,</w:t>
      </w:r>
      <w:r w:rsidRPr="002051DD">
        <w:rPr>
          <w:rFonts w:ascii="Century Gothic" w:hAnsi="Century Gothic"/>
          <w:sz w:val="28"/>
          <w:szCs w:val="28"/>
        </w:rPr>
        <w:t xml:space="preserve"> sufre</w:t>
      </w:r>
      <w:r>
        <w:rPr>
          <w:rFonts w:ascii="Century Gothic" w:hAnsi="Century Gothic"/>
          <w:sz w:val="28"/>
          <w:szCs w:val="28"/>
        </w:rPr>
        <w:t>n</w:t>
      </w:r>
      <w:r w:rsidRPr="002051DD">
        <w:rPr>
          <w:rFonts w:ascii="Century Gothic" w:hAnsi="Century Gothic"/>
          <w:sz w:val="28"/>
          <w:szCs w:val="28"/>
        </w:rPr>
        <w:t xml:space="preserve"> agresiones fí</w:t>
      </w:r>
      <w:r>
        <w:rPr>
          <w:rFonts w:ascii="Century Gothic" w:hAnsi="Century Gothic"/>
          <w:sz w:val="28"/>
          <w:szCs w:val="28"/>
        </w:rPr>
        <w:t xml:space="preserve">sicas, verbales, o maltrato </w:t>
      </w:r>
      <w:r w:rsidRPr="002051DD">
        <w:rPr>
          <w:rFonts w:ascii="Century Gothic" w:hAnsi="Century Gothic"/>
          <w:sz w:val="28"/>
          <w:szCs w:val="28"/>
        </w:rPr>
        <w:t>psicológico.</w:t>
      </w:r>
    </w:p>
    <w:p w:rsidR="0052635E" w:rsidRDefault="0052635E" w:rsidP="005B3E9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5B3E9B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 w:rsidRPr="002051DD">
        <w:rPr>
          <w:rFonts w:ascii="Century Gothic" w:hAnsi="Century Gothic"/>
          <w:sz w:val="28"/>
          <w:szCs w:val="28"/>
        </w:rPr>
        <w:t>Esta situación ha ido escalando</w:t>
      </w:r>
      <w:r>
        <w:rPr>
          <w:rFonts w:ascii="Century Gothic" w:hAnsi="Century Gothic"/>
          <w:sz w:val="28"/>
          <w:szCs w:val="28"/>
        </w:rPr>
        <w:t>, aumentando en frecuencia y niveles de violencia. Y si bien, particularmente en el Sistema de Transporte Público de Santiago –</w:t>
      </w:r>
      <w:proofErr w:type="spellStart"/>
      <w:r>
        <w:rPr>
          <w:rFonts w:ascii="Century Gothic" w:hAnsi="Century Gothic"/>
          <w:sz w:val="28"/>
          <w:szCs w:val="28"/>
        </w:rPr>
        <w:t>Transantiago</w:t>
      </w:r>
      <w:proofErr w:type="spellEnd"/>
      <w:r>
        <w:rPr>
          <w:rFonts w:ascii="Century Gothic" w:hAnsi="Century Gothic"/>
          <w:sz w:val="28"/>
          <w:szCs w:val="28"/>
        </w:rPr>
        <w:t>-, se prescinde de medios de pago que supongan llevar dinero, las agresiones en muchos casos tienen su origen en causas multifactoriales, que exceden la perpetración de robos o la apropiación de dinero.</w:t>
      </w:r>
    </w:p>
    <w:p w:rsidR="0052635E" w:rsidRDefault="0052635E" w:rsidP="00B1555D">
      <w:pPr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7B74B2">
      <w:pPr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2051DD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Sin ir más lejos, situaciones como el requerimiento de pago del servicio o la imposibilidad de detener el autobús en los lugares solicitados; han dado lugar a agresiones que han dejado en riesgo vital a conductores del transporte público. Este fue el caso del conductor José </w:t>
      </w:r>
      <w:proofErr w:type="spellStart"/>
      <w:r>
        <w:rPr>
          <w:rFonts w:ascii="Century Gothic" w:hAnsi="Century Gothic"/>
          <w:sz w:val="28"/>
          <w:szCs w:val="28"/>
        </w:rPr>
        <w:t>Cotrina</w:t>
      </w:r>
      <w:proofErr w:type="spellEnd"/>
      <w:r>
        <w:rPr>
          <w:rFonts w:ascii="Century Gothic" w:hAnsi="Century Gothic"/>
          <w:sz w:val="28"/>
          <w:szCs w:val="28"/>
        </w:rPr>
        <w:t>, quien al no atender oportunamente la solicitud de detención de un pasajero, fue apuñalado en 11 oportunidades, lo que lo mantuvo en riesgo vital por días.</w:t>
      </w:r>
    </w:p>
    <w:p w:rsidR="0052635E" w:rsidRPr="002051DD" w:rsidRDefault="0052635E" w:rsidP="002051DD">
      <w:pPr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B1555D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smartTag w:uri="urn:schemas-microsoft-com:office:smarttags" w:element="PersonName">
        <w:smartTagPr>
          <w:attr w:name="ProductID" w:val="la Administración"/>
        </w:smartTagPr>
        <w:r>
          <w:rPr>
            <w:rFonts w:ascii="Century Gothic" w:hAnsi="Century Gothic"/>
            <w:sz w:val="28"/>
            <w:szCs w:val="28"/>
          </w:rPr>
          <w:t>La Federación Internacional</w:t>
        </w:r>
      </w:smartTag>
      <w:r>
        <w:rPr>
          <w:rFonts w:ascii="Century Gothic" w:hAnsi="Century Gothic"/>
          <w:sz w:val="28"/>
          <w:szCs w:val="28"/>
        </w:rPr>
        <w:t xml:space="preserve"> de Trabajadores del Transporte o </w:t>
      </w:r>
      <w:r w:rsidRPr="00B1555D">
        <w:rPr>
          <w:rFonts w:ascii="Century Gothic" w:hAnsi="Century Gothic"/>
          <w:sz w:val="28"/>
          <w:szCs w:val="28"/>
        </w:rPr>
        <w:t xml:space="preserve">International </w:t>
      </w:r>
      <w:proofErr w:type="spellStart"/>
      <w:r w:rsidRPr="00B1555D">
        <w:rPr>
          <w:rFonts w:ascii="Century Gothic" w:hAnsi="Century Gothic"/>
          <w:sz w:val="28"/>
          <w:szCs w:val="28"/>
        </w:rPr>
        <w:t>Transport</w:t>
      </w:r>
      <w:proofErr w:type="spellEnd"/>
      <w:r w:rsidRPr="00B1555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555D">
        <w:rPr>
          <w:rFonts w:ascii="Century Gothic" w:hAnsi="Century Gothic"/>
          <w:sz w:val="28"/>
          <w:szCs w:val="28"/>
        </w:rPr>
        <w:t>Workers</w:t>
      </w:r>
      <w:proofErr w:type="spellEnd"/>
      <w:r w:rsidRPr="00B1555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555D">
        <w:rPr>
          <w:rFonts w:ascii="Century Gothic" w:hAnsi="Century Gothic"/>
          <w:sz w:val="28"/>
          <w:szCs w:val="28"/>
        </w:rPr>
        <w:t>Federation</w:t>
      </w:r>
      <w:proofErr w:type="spellEnd"/>
      <w:r w:rsidRPr="00B1555D">
        <w:rPr>
          <w:rFonts w:ascii="Century Gothic" w:hAnsi="Century Gothic"/>
          <w:sz w:val="28"/>
          <w:szCs w:val="28"/>
        </w:rPr>
        <w:t xml:space="preserve"> (ITF)</w:t>
      </w:r>
      <w:r>
        <w:rPr>
          <w:rFonts w:ascii="Century Gothic" w:hAnsi="Century Gothic"/>
          <w:sz w:val="28"/>
          <w:szCs w:val="28"/>
        </w:rPr>
        <w:t>, ha sido enfática en rechazar las agresiones que, sin distinción de nacionalidad, sufren a diario los trabajadores del gremio.</w:t>
      </w:r>
      <w:r w:rsidRPr="00B155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 esta manera, en su 43° Congreso en Bulgaria, la institución gremial, particularmente el Comité de Transporte Urbano, señaló:</w:t>
      </w:r>
    </w:p>
    <w:p w:rsidR="0052635E" w:rsidRDefault="0052635E" w:rsidP="001A35D9">
      <w:pPr>
        <w:jc w:val="both"/>
        <w:rPr>
          <w:rFonts w:ascii="Century Gothic" w:hAnsi="Century Gothic"/>
          <w:sz w:val="28"/>
          <w:szCs w:val="28"/>
        </w:rPr>
      </w:pPr>
    </w:p>
    <w:p w:rsidR="0052635E" w:rsidRPr="001A35D9" w:rsidRDefault="0052635E" w:rsidP="001A35D9">
      <w:pPr>
        <w:ind w:left="360"/>
        <w:jc w:val="both"/>
        <w:rPr>
          <w:rFonts w:ascii="Century Gothic" w:hAnsi="Century Gothic"/>
          <w:i/>
          <w:sz w:val="28"/>
          <w:szCs w:val="28"/>
        </w:rPr>
      </w:pPr>
      <w:r w:rsidRPr="001A35D9">
        <w:rPr>
          <w:rFonts w:ascii="Century Gothic" w:hAnsi="Century Gothic"/>
          <w:i/>
          <w:sz w:val="28"/>
          <w:szCs w:val="28"/>
        </w:rPr>
        <w:t>“Con frecuencia, la seguridad es la primera víctima de las medidas de reducción de gastos. En el transporte de pasajeros, esto puede afectar no solo a los trabajadores y trabajadoras del transporte, sino también a usuarios/as y pasajeros/as. Por lo tanto, la seguridad en el trabajo debería ocupar un lugar más significativo en la labor del Comité.”</w:t>
      </w:r>
      <w:r w:rsidRPr="001A35D9">
        <w:rPr>
          <w:rStyle w:val="Refdenotaalpie"/>
          <w:rFonts w:ascii="Century Gothic" w:hAnsi="Century Gothic"/>
          <w:i/>
          <w:sz w:val="28"/>
          <w:szCs w:val="28"/>
        </w:rPr>
        <w:footnoteReference w:id="2"/>
      </w:r>
    </w:p>
    <w:p w:rsidR="0052635E" w:rsidRDefault="0052635E" w:rsidP="00B1555D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2051DD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 w:rsidRPr="002051D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Esta necesidad de asegurar condiciones de seguridad en el trabajo, no se limita al transporte público, y así lo dejan </w:t>
      </w:r>
      <w:r>
        <w:rPr>
          <w:rFonts w:ascii="Century Gothic" w:hAnsi="Century Gothic"/>
          <w:sz w:val="28"/>
          <w:szCs w:val="28"/>
        </w:rPr>
        <w:lastRenderedPageBreak/>
        <w:t xml:space="preserve">en evidencia publicaciones de </w:t>
      </w:r>
      <w:smartTag w:uri="urn:schemas-microsoft-com:office:smarttags" w:element="PersonName">
        <w:smartTagPr>
          <w:attr w:name="ProductID" w:val="la Administración"/>
        </w:smartTagPr>
        <w:r>
          <w:rPr>
            <w:rFonts w:ascii="Century Gothic" w:hAnsi="Century Gothic"/>
            <w:sz w:val="28"/>
            <w:szCs w:val="28"/>
          </w:rPr>
          <w:t>la Organización Internacional</w:t>
        </w:r>
      </w:smartTag>
      <w:r>
        <w:rPr>
          <w:rFonts w:ascii="Century Gothic" w:hAnsi="Century Gothic"/>
          <w:sz w:val="28"/>
          <w:szCs w:val="28"/>
        </w:rPr>
        <w:t xml:space="preserve"> del Trabajo (OIT), al señalar que: </w:t>
      </w:r>
    </w:p>
    <w:p w:rsidR="0052635E" w:rsidRDefault="0052635E" w:rsidP="001A35D9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1A35D9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1A35D9">
        <w:rPr>
          <w:rFonts w:ascii="Century Gothic" w:hAnsi="Century Gothic"/>
          <w:i/>
          <w:sz w:val="28"/>
          <w:szCs w:val="28"/>
        </w:rPr>
        <w:t xml:space="preserve">“La salud y la seguridad en el trabajo son un pilar de toda política social y un componente esencial de la estrategia de promoción del trabajo decente preconizada por </w:t>
      </w:r>
      <w:smartTag w:uri="urn:schemas-microsoft-com:office:smarttags" w:element="PersonName">
        <w:smartTagPr>
          <w:attr w:name="ProductID" w:val="la Administración"/>
        </w:smartTagPr>
        <w:r w:rsidRPr="001A35D9">
          <w:rPr>
            <w:rFonts w:ascii="Century Gothic" w:hAnsi="Century Gothic"/>
            <w:i/>
            <w:sz w:val="28"/>
            <w:szCs w:val="28"/>
          </w:rPr>
          <w:t>la OIT. No</w:t>
        </w:r>
      </w:smartTag>
      <w:r w:rsidRPr="001A35D9">
        <w:rPr>
          <w:rFonts w:ascii="Century Gothic" w:hAnsi="Century Gothic"/>
          <w:i/>
          <w:sz w:val="28"/>
          <w:szCs w:val="28"/>
        </w:rPr>
        <w:t xml:space="preserve"> se trata solamente de crear empleos, es necesario también que esos empleos respondan a los criterios de decencia y de dignidad. Será necesario entonces desarrollar un enfoque verdaderamente global e integrado de la salud y la seguridad en el trabajo, un enfoque que apunte en primer lugar a mejorar el bienestar en el entorno laboral, adaptándose a la evolución global de la economía, más orientada hacia los servicios”</w:t>
      </w:r>
      <w:r w:rsidRPr="00EE3233">
        <w:rPr>
          <w:rFonts w:ascii="Century Gothic" w:hAnsi="Century Gothic"/>
          <w:sz w:val="28"/>
          <w:szCs w:val="28"/>
        </w:rPr>
        <w:t>.</w:t>
      </w:r>
      <w:r>
        <w:rPr>
          <w:rStyle w:val="Refdenotaalpie"/>
          <w:rFonts w:ascii="Century Gothic" w:hAnsi="Century Gothic"/>
          <w:sz w:val="28"/>
          <w:szCs w:val="28"/>
        </w:rPr>
        <w:footnoteReference w:id="3"/>
      </w:r>
    </w:p>
    <w:p w:rsidR="0052635E" w:rsidRDefault="0052635E" w:rsidP="005B3E9B">
      <w:pPr>
        <w:jc w:val="both"/>
        <w:rPr>
          <w:rFonts w:ascii="Century Gothic" w:hAnsi="Century Gothic"/>
          <w:sz w:val="28"/>
          <w:szCs w:val="28"/>
        </w:rPr>
      </w:pPr>
    </w:p>
    <w:p w:rsidR="0052635E" w:rsidRPr="005B3E9B" w:rsidRDefault="0052635E" w:rsidP="005B3E9B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 transporte público es de g</w:t>
      </w:r>
      <w:r w:rsidRPr="005B3E9B">
        <w:rPr>
          <w:rFonts w:ascii="Century Gothic" w:hAnsi="Century Gothic"/>
          <w:sz w:val="28"/>
          <w:szCs w:val="28"/>
        </w:rPr>
        <w:t>ran relevancia en los tiempos actuales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particularmente por sus beneficios que incluyen la descongestión </w:t>
      </w:r>
      <w:r>
        <w:rPr>
          <w:rFonts w:ascii="Century Gothic" w:hAnsi="Century Gothic"/>
          <w:sz w:val="28"/>
          <w:szCs w:val="28"/>
        </w:rPr>
        <w:t>v</w:t>
      </w:r>
      <w:r w:rsidRPr="005B3E9B">
        <w:rPr>
          <w:rFonts w:ascii="Century Gothic" w:hAnsi="Century Gothic"/>
          <w:sz w:val="28"/>
          <w:szCs w:val="28"/>
        </w:rPr>
        <w:t>ial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la reducción de los niveles de contaminación y la mejora en la calidad </w:t>
      </w:r>
      <w:r>
        <w:rPr>
          <w:rFonts w:ascii="Century Gothic" w:hAnsi="Century Gothic"/>
          <w:sz w:val="28"/>
          <w:szCs w:val="28"/>
        </w:rPr>
        <w:t>de vida de las personas. El transporte público favorece,</w:t>
      </w:r>
      <w:r w:rsidRPr="005B3E9B">
        <w:rPr>
          <w:rFonts w:ascii="Century Gothic" w:hAnsi="Century Gothic"/>
          <w:sz w:val="28"/>
          <w:szCs w:val="28"/>
        </w:rPr>
        <w:t xml:space="preserve"> entre otras cosas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la libre circulación</w:t>
      </w:r>
      <w:r>
        <w:rPr>
          <w:rFonts w:ascii="Century Gothic" w:hAnsi="Century Gothic"/>
          <w:sz w:val="28"/>
          <w:szCs w:val="28"/>
        </w:rPr>
        <w:t xml:space="preserve"> de los bienes, </w:t>
      </w:r>
      <w:r w:rsidRPr="005B3E9B">
        <w:rPr>
          <w:rFonts w:ascii="Century Gothic" w:hAnsi="Century Gothic"/>
          <w:sz w:val="28"/>
          <w:szCs w:val="28"/>
        </w:rPr>
        <w:t>la inclusión y la movilidad social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aumentando con ello </w:t>
      </w:r>
      <w:r>
        <w:rPr>
          <w:rFonts w:ascii="Century Gothic" w:hAnsi="Century Gothic"/>
          <w:sz w:val="28"/>
          <w:szCs w:val="28"/>
        </w:rPr>
        <w:t xml:space="preserve">el </w:t>
      </w:r>
      <w:r w:rsidRPr="005B3E9B">
        <w:rPr>
          <w:rFonts w:ascii="Century Gothic" w:hAnsi="Century Gothic"/>
          <w:sz w:val="28"/>
          <w:szCs w:val="28"/>
        </w:rPr>
        <w:t>crecimiento económico.</w:t>
      </w:r>
    </w:p>
    <w:p w:rsidR="0052635E" w:rsidRPr="005B3E9B" w:rsidRDefault="0052635E" w:rsidP="005B3E9B">
      <w:pPr>
        <w:jc w:val="both"/>
        <w:rPr>
          <w:rFonts w:ascii="Century Gothic" w:hAnsi="Century Gothic"/>
          <w:sz w:val="28"/>
          <w:szCs w:val="28"/>
        </w:rPr>
      </w:pPr>
    </w:p>
    <w:p w:rsidR="0052635E" w:rsidRPr="005B3E9B" w:rsidRDefault="0052635E" w:rsidP="005B3E9B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 w:rsidRPr="005B3E9B">
        <w:rPr>
          <w:rFonts w:ascii="Century Gothic" w:hAnsi="Century Gothic"/>
          <w:sz w:val="28"/>
          <w:szCs w:val="28"/>
        </w:rPr>
        <w:t xml:space="preserve">El presente proyecto se hace cargo de la importancia estratégica que tiene el transporte público </w:t>
      </w:r>
      <w:r>
        <w:rPr>
          <w:rFonts w:ascii="Century Gothic" w:hAnsi="Century Gothic"/>
          <w:sz w:val="28"/>
          <w:szCs w:val="28"/>
        </w:rPr>
        <w:t xml:space="preserve">–en todas sus formas- </w:t>
      </w:r>
      <w:r w:rsidRPr="005B3E9B">
        <w:rPr>
          <w:rFonts w:ascii="Century Gothic" w:hAnsi="Century Gothic"/>
          <w:sz w:val="28"/>
          <w:szCs w:val="28"/>
        </w:rPr>
        <w:t xml:space="preserve">desde el </w:t>
      </w:r>
      <w:r>
        <w:rPr>
          <w:rFonts w:ascii="Century Gothic" w:hAnsi="Century Gothic"/>
          <w:sz w:val="28"/>
          <w:szCs w:val="28"/>
        </w:rPr>
        <w:t xml:space="preserve">punto </w:t>
      </w:r>
      <w:r w:rsidRPr="005B3E9B">
        <w:rPr>
          <w:rFonts w:ascii="Century Gothic" w:hAnsi="Century Gothic"/>
          <w:sz w:val="28"/>
          <w:szCs w:val="28"/>
        </w:rPr>
        <w:t xml:space="preserve">de vista </w:t>
      </w:r>
      <w:r>
        <w:rPr>
          <w:rFonts w:ascii="Century Gothic" w:hAnsi="Century Gothic"/>
          <w:sz w:val="28"/>
          <w:szCs w:val="28"/>
        </w:rPr>
        <w:t xml:space="preserve">social y económico; e incluso en la protección de otros bienes dignos de especial tutela, como </w:t>
      </w:r>
      <w:r w:rsidRPr="005B3E9B">
        <w:rPr>
          <w:rFonts w:ascii="Century Gothic" w:hAnsi="Century Gothic"/>
          <w:sz w:val="28"/>
          <w:szCs w:val="28"/>
        </w:rPr>
        <w:t>el medio ambiente. Por lo anterior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esta moción le asigna un especial des</w:t>
      </w:r>
      <w:r w:rsidRPr="005B3E9B">
        <w:rPr>
          <w:rFonts w:ascii="Century Gothic" w:hAnsi="Century Gothic"/>
          <w:sz w:val="28"/>
          <w:szCs w:val="28"/>
        </w:rPr>
        <w:t xml:space="preserve">valor a la agresión de </w:t>
      </w:r>
      <w:r w:rsidRPr="005B3E9B">
        <w:rPr>
          <w:rFonts w:ascii="Century Gothic" w:hAnsi="Century Gothic"/>
          <w:sz w:val="28"/>
          <w:szCs w:val="28"/>
        </w:rPr>
        <w:lastRenderedPageBreak/>
        <w:t>conductores que se encuentran en el ejercicio de sus labores</w:t>
      </w:r>
      <w:r>
        <w:rPr>
          <w:rFonts w:ascii="Century Gothic" w:hAnsi="Century Gothic"/>
          <w:sz w:val="28"/>
          <w:szCs w:val="28"/>
        </w:rPr>
        <w:t>, no so</w:t>
      </w:r>
      <w:r w:rsidRPr="005B3E9B">
        <w:rPr>
          <w:rFonts w:ascii="Century Gothic" w:hAnsi="Century Gothic"/>
          <w:sz w:val="28"/>
          <w:szCs w:val="28"/>
        </w:rPr>
        <w:t>lo por la importancia asignada a la función social que cumple el transporte público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sino también porque de la integridad del conductor depende</w:t>
      </w:r>
      <w:r>
        <w:rPr>
          <w:rFonts w:ascii="Century Gothic" w:hAnsi="Century Gothic"/>
          <w:sz w:val="28"/>
          <w:szCs w:val="28"/>
        </w:rPr>
        <w:t>, en</w:t>
      </w:r>
      <w:r w:rsidRPr="005B3E9B">
        <w:rPr>
          <w:rFonts w:ascii="Century Gothic" w:hAnsi="Century Gothic"/>
          <w:sz w:val="28"/>
          <w:szCs w:val="28"/>
        </w:rPr>
        <w:t xml:space="preserve"> muchos casos</w:t>
      </w:r>
      <w:r>
        <w:rPr>
          <w:rFonts w:ascii="Century Gothic" w:hAnsi="Century Gothic"/>
          <w:sz w:val="28"/>
          <w:szCs w:val="28"/>
        </w:rPr>
        <w:t>,</w:t>
      </w:r>
      <w:r w:rsidRPr="005B3E9B">
        <w:rPr>
          <w:rFonts w:ascii="Century Gothic" w:hAnsi="Century Gothic"/>
          <w:sz w:val="28"/>
          <w:szCs w:val="28"/>
        </w:rPr>
        <w:t xml:space="preserve"> la integridad y bienestar físico de los pasajeros.</w:t>
      </w:r>
    </w:p>
    <w:p w:rsidR="0052635E" w:rsidRPr="005B3E9B" w:rsidRDefault="0052635E" w:rsidP="005B3E9B">
      <w:pPr>
        <w:jc w:val="both"/>
        <w:rPr>
          <w:rFonts w:ascii="Century Gothic" w:hAnsi="Century Gothic"/>
          <w:sz w:val="28"/>
          <w:szCs w:val="28"/>
        </w:rPr>
      </w:pPr>
    </w:p>
    <w:p w:rsidR="0052635E" w:rsidRPr="005B3E9B" w:rsidRDefault="0052635E" w:rsidP="005B3E9B">
      <w:pPr>
        <w:numPr>
          <w:ilvl w:val="0"/>
          <w:numId w:val="6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Esta moción,</w:t>
      </w:r>
      <w:r w:rsidRPr="005B3E9B">
        <w:rPr>
          <w:rFonts w:ascii="Century Gothic" w:hAnsi="Century Gothic"/>
          <w:sz w:val="28"/>
          <w:szCs w:val="28"/>
        </w:rPr>
        <w:t xml:space="preserve"> si bien supone una señal </w:t>
      </w:r>
      <w:r>
        <w:rPr>
          <w:rFonts w:ascii="Century Gothic" w:hAnsi="Century Gothic"/>
          <w:sz w:val="28"/>
          <w:szCs w:val="28"/>
        </w:rPr>
        <w:t xml:space="preserve">importante </w:t>
      </w:r>
      <w:r w:rsidRPr="005B3E9B">
        <w:rPr>
          <w:rFonts w:ascii="Century Gothic" w:hAnsi="Century Gothic"/>
          <w:sz w:val="28"/>
          <w:szCs w:val="28"/>
        </w:rPr>
        <w:t xml:space="preserve">de política criminal, debe ser complementada por medidas que tomen las propias empresas </w:t>
      </w:r>
      <w:r>
        <w:rPr>
          <w:rFonts w:ascii="Century Gothic" w:hAnsi="Century Gothic"/>
          <w:sz w:val="28"/>
          <w:szCs w:val="28"/>
        </w:rPr>
        <w:t xml:space="preserve">de transporte, en tanto empleadores, </w:t>
      </w:r>
      <w:r w:rsidRPr="005B3E9B">
        <w:rPr>
          <w:rFonts w:ascii="Century Gothic" w:hAnsi="Century Gothic"/>
          <w:sz w:val="28"/>
          <w:szCs w:val="28"/>
        </w:rPr>
        <w:t xml:space="preserve">para prevenir esta clase de </w:t>
      </w:r>
      <w:r>
        <w:rPr>
          <w:rFonts w:ascii="Century Gothic" w:hAnsi="Century Gothic"/>
          <w:sz w:val="28"/>
          <w:szCs w:val="28"/>
        </w:rPr>
        <w:t>agresiones;</w:t>
      </w:r>
      <w:r w:rsidRPr="005B3E9B">
        <w:rPr>
          <w:rFonts w:ascii="Century Gothic" w:hAnsi="Century Gothic"/>
          <w:sz w:val="28"/>
          <w:szCs w:val="28"/>
        </w:rPr>
        <w:t xml:space="preserve"> algo en lo cual deben concurrir con sus esfuerzos, l</w:t>
      </w:r>
      <w:r>
        <w:rPr>
          <w:rFonts w:ascii="Century Gothic" w:hAnsi="Century Gothic"/>
          <w:sz w:val="28"/>
          <w:szCs w:val="28"/>
        </w:rPr>
        <w:t xml:space="preserve">os órganos de </w:t>
      </w:r>
      <w:smartTag w:uri="urn:schemas-microsoft-com:office:smarttags" w:element="PersonName">
        <w:smartTagPr>
          <w:attr w:name="ProductID" w:val="la Administración"/>
        </w:smartTagPr>
        <w:r>
          <w:rPr>
            <w:rFonts w:ascii="Century Gothic" w:hAnsi="Century Gothic"/>
            <w:sz w:val="28"/>
            <w:szCs w:val="28"/>
          </w:rPr>
          <w:t>la A</w:t>
        </w:r>
        <w:r w:rsidRPr="005B3E9B">
          <w:rPr>
            <w:rFonts w:ascii="Century Gothic" w:hAnsi="Century Gothic"/>
            <w:sz w:val="28"/>
            <w:szCs w:val="28"/>
          </w:rPr>
          <w:t>dministración</w:t>
        </w:r>
      </w:smartTag>
      <w:r>
        <w:rPr>
          <w:rFonts w:ascii="Century Gothic" w:hAnsi="Century Gothic"/>
          <w:sz w:val="28"/>
          <w:szCs w:val="28"/>
        </w:rPr>
        <w:t xml:space="preserve"> del E</w:t>
      </w:r>
      <w:r w:rsidRPr="005B3E9B">
        <w:rPr>
          <w:rFonts w:ascii="Century Gothic" w:hAnsi="Century Gothic"/>
          <w:sz w:val="28"/>
          <w:szCs w:val="28"/>
        </w:rPr>
        <w:t>stado.</w:t>
      </w:r>
    </w:p>
    <w:p w:rsidR="0052635E" w:rsidRDefault="0052635E" w:rsidP="005B3E9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Pr="00C41A1F" w:rsidRDefault="0052635E" w:rsidP="001767F6">
      <w:pPr>
        <w:jc w:val="both"/>
        <w:rPr>
          <w:rFonts w:ascii="Century Gothic" w:hAnsi="Century Gothic"/>
          <w:sz w:val="28"/>
          <w:szCs w:val="28"/>
        </w:rPr>
      </w:pPr>
    </w:p>
    <w:p w:rsidR="0052635E" w:rsidRPr="00C41A1F" w:rsidRDefault="0052635E" w:rsidP="001767F6">
      <w:pPr>
        <w:jc w:val="both"/>
        <w:rPr>
          <w:rFonts w:ascii="Century Gothic" w:hAnsi="Century Gothic"/>
          <w:sz w:val="28"/>
          <w:szCs w:val="28"/>
        </w:rPr>
      </w:pPr>
      <w:r w:rsidRPr="00C41A1F">
        <w:rPr>
          <w:rFonts w:ascii="Century Gothic" w:hAnsi="Century Gothic"/>
          <w:sz w:val="28"/>
          <w:szCs w:val="28"/>
        </w:rPr>
        <w:t>Por lo anterior, venimos en proponer el siguiente:</w:t>
      </w:r>
    </w:p>
    <w:p w:rsidR="0052635E" w:rsidRPr="00C41A1F" w:rsidRDefault="0052635E" w:rsidP="001767F6">
      <w:pPr>
        <w:jc w:val="both"/>
        <w:rPr>
          <w:rFonts w:ascii="Century Gothic" w:hAnsi="Century Gothic"/>
          <w:sz w:val="28"/>
          <w:szCs w:val="28"/>
        </w:rPr>
      </w:pPr>
    </w:p>
    <w:p w:rsidR="0052635E" w:rsidRPr="00C41A1F" w:rsidRDefault="0052635E" w:rsidP="001767F6">
      <w:pPr>
        <w:jc w:val="both"/>
        <w:rPr>
          <w:rFonts w:ascii="Century Gothic" w:hAnsi="Century Gothic"/>
          <w:sz w:val="28"/>
          <w:szCs w:val="28"/>
        </w:rPr>
      </w:pPr>
    </w:p>
    <w:p w:rsidR="0052635E" w:rsidRPr="00C41A1F" w:rsidRDefault="0052635E" w:rsidP="004160C4">
      <w:pPr>
        <w:jc w:val="center"/>
        <w:rPr>
          <w:rFonts w:ascii="Century Gothic" w:hAnsi="Century Gothic"/>
          <w:b/>
          <w:sz w:val="28"/>
          <w:szCs w:val="28"/>
        </w:rPr>
      </w:pPr>
      <w:r w:rsidRPr="00C41A1F">
        <w:rPr>
          <w:rFonts w:ascii="Century Gothic" w:hAnsi="Century Gothic"/>
          <w:b/>
          <w:sz w:val="28"/>
          <w:szCs w:val="28"/>
        </w:rPr>
        <w:t>PROYECTO DE LEY</w:t>
      </w:r>
    </w:p>
    <w:p w:rsidR="0052635E" w:rsidRPr="00C41A1F" w:rsidRDefault="0052635E" w:rsidP="001767F6">
      <w:pPr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1767F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“</w:t>
      </w:r>
      <w:r w:rsidRPr="00C41A1F">
        <w:rPr>
          <w:rFonts w:ascii="Century Gothic" w:hAnsi="Century Gothic"/>
          <w:b/>
          <w:sz w:val="28"/>
          <w:szCs w:val="28"/>
        </w:rPr>
        <w:t>Artículo único.-</w:t>
      </w:r>
      <w:r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Modifícase</w:t>
      </w:r>
      <w:proofErr w:type="spellEnd"/>
      <w:r>
        <w:rPr>
          <w:rFonts w:ascii="Century Gothic" w:hAnsi="Century Gothic"/>
          <w:sz w:val="28"/>
          <w:szCs w:val="28"/>
        </w:rPr>
        <w:t xml:space="preserve"> el </w:t>
      </w:r>
      <w:r w:rsidRPr="00BF2E2E">
        <w:rPr>
          <w:rFonts w:ascii="Century Gothic" w:hAnsi="Century Gothic"/>
          <w:sz w:val="28"/>
          <w:szCs w:val="28"/>
        </w:rPr>
        <w:t>párrafo</w:t>
      </w:r>
      <w:r>
        <w:rPr>
          <w:rFonts w:ascii="Century Gothic" w:hAnsi="Century Gothic"/>
          <w:sz w:val="28"/>
          <w:szCs w:val="28"/>
        </w:rPr>
        <w:t xml:space="preserve"> V del título octavo del Libro S</w:t>
      </w:r>
      <w:r w:rsidRPr="00BF2E2E">
        <w:rPr>
          <w:rFonts w:ascii="Century Gothic" w:hAnsi="Century Gothic"/>
          <w:sz w:val="28"/>
          <w:szCs w:val="28"/>
        </w:rPr>
        <w:t>egundo del Código Penal</w:t>
      </w:r>
      <w:r>
        <w:rPr>
          <w:rFonts w:ascii="Century Gothic" w:hAnsi="Century Gothic"/>
          <w:sz w:val="28"/>
          <w:szCs w:val="28"/>
        </w:rPr>
        <w:t>, en el siguiente sentido:</w:t>
      </w:r>
    </w:p>
    <w:p w:rsidR="0052635E" w:rsidRDefault="0052635E" w:rsidP="001767F6">
      <w:pPr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19727B">
      <w:pPr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Agrégase</w:t>
      </w:r>
      <w:proofErr w:type="spellEnd"/>
      <w:r>
        <w:rPr>
          <w:rFonts w:ascii="Century Gothic" w:hAnsi="Century Gothic"/>
          <w:sz w:val="28"/>
          <w:szCs w:val="28"/>
        </w:rPr>
        <w:t xml:space="preserve"> un artículo 410 bis del siguiente tenor:</w:t>
      </w:r>
    </w:p>
    <w:p w:rsidR="0052635E" w:rsidRDefault="0052635E" w:rsidP="0019727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19727B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“Artículo 410 bis.- </w:t>
      </w:r>
      <w:r w:rsidRPr="00BF2E2E">
        <w:rPr>
          <w:rFonts w:ascii="Century Gothic" w:hAnsi="Century Gothic"/>
          <w:sz w:val="28"/>
          <w:szCs w:val="28"/>
        </w:rPr>
        <w:t xml:space="preserve">Si los hechos a que se refieren los </w:t>
      </w:r>
      <w:r>
        <w:rPr>
          <w:rFonts w:ascii="Century Gothic" w:hAnsi="Century Gothic"/>
          <w:sz w:val="28"/>
          <w:szCs w:val="28"/>
        </w:rPr>
        <w:t>párrafos I y III</w:t>
      </w:r>
      <w:r w:rsidRPr="00BF2E2E">
        <w:rPr>
          <w:rFonts w:ascii="Century Gothic" w:hAnsi="Century Gothic"/>
          <w:sz w:val="28"/>
          <w:szCs w:val="28"/>
        </w:rPr>
        <w:t xml:space="preserve"> de este </w:t>
      </w:r>
      <w:r>
        <w:rPr>
          <w:rFonts w:ascii="Century Gothic" w:hAnsi="Century Gothic"/>
          <w:sz w:val="28"/>
          <w:szCs w:val="28"/>
        </w:rPr>
        <w:t>título</w:t>
      </w:r>
      <w:r w:rsidRPr="00BF2E2E">
        <w:rPr>
          <w:rFonts w:ascii="Century Gothic" w:hAnsi="Century Gothic"/>
          <w:sz w:val="28"/>
          <w:szCs w:val="28"/>
        </w:rPr>
        <w:t xml:space="preserve"> se ejecutan en contra de </w:t>
      </w:r>
      <w:r>
        <w:rPr>
          <w:rFonts w:ascii="Century Gothic" w:hAnsi="Century Gothic"/>
          <w:sz w:val="28"/>
          <w:szCs w:val="28"/>
        </w:rPr>
        <w:t>chóferes o conductores de transporte pú</w:t>
      </w:r>
      <w:r w:rsidRPr="006A02B9">
        <w:rPr>
          <w:rFonts w:ascii="Century Gothic" w:hAnsi="Century Gothic"/>
          <w:sz w:val="28"/>
          <w:szCs w:val="28"/>
        </w:rPr>
        <w:t>blico remunerado de pasajeros</w:t>
      </w:r>
      <w:r>
        <w:rPr>
          <w:rFonts w:ascii="Century Gothic" w:hAnsi="Century Gothic"/>
          <w:sz w:val="28"/>
          <w:szCs w:val="28"/>
        </w:rPr>
        <w:t>,</w:t>
      </w:r>
      <w:r w:rsidRPr="00BF2E2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lastRenderedPageBreak/>
        <w:t xml:space="preserve">en ejercicio de dichas labores, </w:t>
      </w:r>
      <w:r w:rsidRPr="00BF2E2E">
        <w:rPr>
          <w:rFonts w:ascii="Century Gothic" w:hAnsi="Century Gothic"/>
          <w:sz w:val="28"/>
          <w:szCs w:val="28"/>
        </w:rPr>
        <w:t>las penas se aumentarán en un grado.</w:t>
      </w:r>
      <w:r>
        <w:rPr>
          <w:rFonts w:ascii="Century Gothic" w:hAnsi="Century Gothic"/>
          <w:sz w:val="28"/>
          <w:szCs w:val="28"/>
        </w:rPr>
        <w:t>”.</w:t>
      </w:r>
    </w:p>
    <w:p w:rsidR="0052635E" w:rsidRDefault="0052635E" w:rsidP="0019727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Default="0052635E" w:rsidP="0019727B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52635E" w:rsidRPr="00C41A1F" w:rsidRDefault="0052635E" w:rsidP="0019727B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2) </w:t>
      </w:r>
      <w:proofErr w:type="spellStart"/>
      <w:r>
        <w:rPr>
          <w:rFonts w:ascii="Century Gothic" w:hAnsi="Century Gothic"/>
          <w:sz w:val="28"/>
          <w:szCs w:val="28"/>
        </w:rPr>
        <w:t>Reemplázase</w:t>
      </w:r>
      <w:proofErr w:type="spellEnd"/>
      <w:r>
        <w:rPr>
          <w:rFonts w:ascii="Century Gothic" w:hAnsi="Century Gothic"/>
          <w:sz w:val="28"/>
          <w:szCs w:val="28"/>
        </w:rPr>
        <w:t xml:space="preserve"> en el artículo 411 la expresión “anterior” por el guarismo “</w:t>
      </w:r>
      <w:smartTag w:uri="urn:schemas-microsoft-com:office:smarttags" w:element="metricconverter">
        <w:smartTagPr>
          <w:attr w:name="ProductID" w:val="410”"/>
        </w:smartTagPr>
        <w:r>
          <w:rPr>
            <w:rFonts w:ascii="Century Gothic" w:hAnsi="Century Gothic"/>
            <w:sz w:val="28"/>
            <w:szCs w:val="28"/>
          </w:rPr>
          <w:t>410”</w:t>
        </w:r>
      </w:smartTag>
      <w:r>
        <w:rPr>
          <w:rFonts w:ascii="Century Gothic" w:hAnsi="Century Gothic"/>
          <w:sz w:val="28"/>
          <w:szCs w:val="28"/>
        </w:rPr>
        <w:t>.”.</w:t>
      </w:r>
    </w:p>
    <w:sectPr w:rsidR="0052635E" w:rsidRPr="00C41A1F" w:rsidSect="00773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1D" w:rsidRDefault="0075621D">
      <w:r>
        <w:separator/>
      </w:r>
    </w:p>
  </w:endnote>
  <w:endnote w:type="continuationSeparator" w:id="0">
    <w:p w:rsidR="0075621D" w:rsidRDefault="0075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1D" w:rsidRDefault="0075621D">
      <w:r>
        <w:separator/>
      </w:r>
    </w:p>
  </w:footnote>
  <w:footnote w:type="continuationSeparator" w:id="0">
    <w:p w:rsidR="0075621D" w:rsidRDefault="0075621D">
      <w:r>
        <w:continuationSeparator/>
      </w:r>
    </w:p>
  </w:footnote>
  <w:footnote w:id="1">
    <w:p w:rsidR="0052635E" w:rsidRDefault="0052635E">
      <w:pPr>
        <w:pStyle w:val="Textonotapie"/>
      </w:pPr>
      <w:r>
        <w:rPr>
          <w:rStyle w:val="Refdenotaalpie"/>
        </w:rPr>
        <w:footnoteRef/>
      </w:r>
      <w:r w:rsidRPr="00BD2919">
        <w:t xml:space="preserve"> Véase http://www.suseso.cl/605/articles-19146_archivo_13.pdf</w:t>
      </w:r>
    </w:p>
  </w:footnote>
  <w:footnote w:id="2">
    <w:p w:rsidR="0052635E" w:rsidRDefault="0052635E" w:rsidP="00B1555D">
      <w:pPr>
        <w:pStyle w:val="Textonotapie"/>
      </w:pPr>
      <w:r>
        <w:rPr>
          <w:rStyle w:val="Refdenotaalpie"/>
        </w:rPr>
        <w:footnoteRef/>
      </w:r>
      <w:r w:rsidRPr="00262EDF">
        <w:t xml:space="preserve"> V</w:t>
      </w:r>
      <w:r>
        <w:t>é</w:t>
      </w:r>
      <w:r w:rsidRPr="00262EDF">
        <w:t xml:space="preserve">ase </w:t>
      </w:r>
      <w:hyperlink r:id="rId1" w:history="1">
        <w:r w:rsidRPr="008A4043">
          <w:rPr>
            <w:rStyle w:val="Hipervnculo"/>
          </w:rPr>
          <w:t>http://www.itfglobal.org/media/1279785/14sp43cproceedings.pdf</w:t>
        </w:r>
      </w:hyperlink>
      <w:r>
        <w:t>, p.104.</w:t>
      </w:r>
    </w:p>
  </w:footnote>
  <w:footnote w:id="3">
    <w:p w:rsidR="0052635E" w:rsidRDefault="0052635E" w:rsidP="005B3E9B">
      <w:pPr>
        <w:pStyle w:val="Textonotapie"/>
      </w:pPr>
      <w:r>
        <w:rPr>
          <w:rStyle w:val="Refdenotaalpie"/>
        </w:rPr>
        <w:footnoteRef/>
      </w:r>
      <w:r>
        <w:t xml:space="preserve"> Véase </w:t>
      </w:r>
      <w:hyperlink r:id="rId2" w:history="1">
        <w:r w:rsidRPr="008A4043">
          <w:rPr>
            <w:rStyle w:val="Hipervnculo"/>
          </w:rPr>
          <w:t>http://www.ilo.org/wcmsp5/groups/public/---</w:t>
        </w:r>
        <w:proofErr w:type="spellStart"/>
        <w:r w:rsidRPr="008A4043">
          <w:rPr>
            <w:rStyle w:val="Hipervnculo"/>
          </w:rPr>
          <w:t>ed_dialogue</w:t>
        </w:r>
        <w:proofErr w:type="spellEnd"/>
        <w:r w:rsidRPr="008A4043">
          <w:rPr>
            <w:rStyle w:val="Hipervnculo"/>
          </w:rPr>
          <w:t>/---</w:t>
        </w:r>
        <w:proofErr w:type="spellStart"/>
        <w:r w:rsidRPr="008A4043">
          <w:rPr>
            <w:rStyle w:val="Hipervnculo"/>
          </w:rPr>
          <w:t>actrav</w:t>
        </w:r>
        <w:proofErr w:type="spellEnd"/>
        <w:r w:rsidRPr="008A4043">
          <w:rPr>
            <w:rStyle w:val="Hipervnculo"/>
          </w:rPr>
          <w:t>/</w:t>
        </w:r>
        <w:proofErr w:type="spellStart"/>
        <w:r w:rsidRPr="008A4043">
          <w:rPr>
            <w:rStyle w:val="Hipervnculo"/>
          </w:rPr>
          <w:t>documents</w:t>
        </w:r>
        <w:proofErr w:type="spellEnd"/>
        <w:r w:rsidRPr="008A4043">
          <w:rPr>
            <w:rStyle w:val="Hipervnculo"/>
          </w:rPr>
          <w:t>/</w:t>
        </w:r>
        <w:proofErr w:type="spellStart"/>
        <w:r w:rsidRPr="008A4043">
          <w:rPr>
            <w:rStyle w:val="Hipervnculo"/>
          </w:rPr>
          <w:t>publication</w:t>
        </w:r>
        <w:proofErr w:type="spellEnd"/>
        <w:r w:rsidRPr="008A4043">
          <w:rPr>
            <w:rStyle w:val="Hipervnculo"/>
          </w:rPr>
          <w:t>/wcms_117581.pdf</w:t>
        </w:r>
      </w:hyperlink>
      <w:r>
        <w:t>, p.18.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249"/>
    <w:multiLevelType w:val="hybridMultilevel"/>
    <w:tmpl w:val="6D1414B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924"/>
    <w:multiLevelType w:val="hybridMultilevel"/>
    <w:tmpl w:val="7BE47CB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6361"/>
    <w:multiLevelType w:val="hybridMultilevel"/>
    <w:tmpl w:val="742647E4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E5283"/>
    <w:multiLevelType w:val="hybridMultilevel"/>
    <w:tmpl w:val="4F62F1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E45E05"/>
    <w:multiLevelType w:val="hybridMultilevel"/>
    <w:tmpl w:val="CAEEC9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B9F"/>
    <w:multiLevelType w:val="hybridMultilevel"/>
    <w:tmpl w:val="D4C62C1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F95F30"/>
    <w:multiLevelType w:val="hybridMultilevel"/>
    <w:tmpl w:val="3D2C309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7F6"/>
    <w:rsid w:val="00042A9B"/>
    <w:rsid w:val="00042D2E"/>
    <w:rsid w:val="000901EC"/>
    <w:rsid w:val="001001D7"/>
    <w:rsid w:val="00116ED4"/>
    <w:rsid w:val="001701E6"/>
    <w:rsid w:val="001767F6"/>
    <w:rsid w:val="0019727B"/>
    <w:rsid w:val="001A35D9"/>
    <w:rsid w:val="001C2F7E"/>
    <w:rsid w:val="002051DD"/>
    <w:rsid w:val="00262EDF"/>
    <w:rsid w:val="002A6B1E"/>
    <w:rsid w:val="002C70A1"/>
    <w:rsid w:val="00306A01"/>
    <w:rsid w:val="003C1737"/>
    <w:rsid w:val="003C7AEE"/>
    <w:rsid w:val="003F7EB1"/>
    <w:rsid w:val="004160C4"/>
    <w:rsid w:val="00453C98"/>
    <w:rsid w:val="0046226F"/>
    <w:rsid w:val="004963EF"/>
    <w:rsid w:val="004E5050"/>
    <w:rsid w:val="004E6CF7"/>
    <w:rsid w:val="0052635E"/>
    <w:rsid w:val="005B3E9B"/>
    <w:rsid w:val="005E1A18"/>
    <w:rsid w:val="00600391"/>
    <w:rsid w:val="006328F1"/>
    <w:rsid w:val="00632A16"/>
    <w:rsid w:val="006A02B9"/>
    <w:rsid w:val="0075621D"/>
    <w:rsid w:val="007732B4"/>
    <w:rsid w:val="007B74B2"/>
    <w:rsid w:val="007F790C"/>
    <w:rsid w:val="00813B4B"/>
    <w:rsid w:val="00843E02"/>
    <w:rsid w:val="008653AF"/>
    <w:rsid w:val="008A4043"/>
    <w:rsid w:val="008F1A17"/>
    <w:rsid w:val="0096715E"/>
    <w:rsid w:val="009A2352"/>
    <w:rsid w:val="009B63A3"/>
    <w:rsid w:val="009E3AE3"/>
    <w:rsid w:val="009F3254"/>
    <w:rsid w:val="00A35296"/>
    <w:rsid w:val="00AC528B"/>
    <w:rsid w:val="00AE1412"/>
    <w:rsid w:val="00B10554"/>
    <w:rsid w:val="00B1555D"/>
    <w:rsid w:val="00B54946"/>
    <w:rsid w:val="00BD2919"/>
    <w:rsid w:val="00BF2E2E"/>
    <w:rsid w:val="00C12A40"/>
    <w:rsid w:val="00C36D16"/>
    <w:rsid w:val="00C41A1F"/>
    <w:rsid w:val="00C41A6B"/>
    <w:rsid w:val="00CC6256"/>
    <w:rsid w:val="00CC6CB2"/>
    <w:rsid w:val="00D03DDE"/>
    <w:rsid w:val="00D15DD9"/>
    <w:rsid w:val="00DA377B"/>
    <w:rsid w:val="00E40AE1"/>
    <w:rsid w:val="00E91195"/>
    <w:rsid w:val="00E928EE"/>
    <w:rsid w:val="00EE3233"/>
    <w:rsid w:val="00EF2603"/>
    <w:rsid w:val="00F16032"/>
    <w:rsid w:val="00F337DB"/>
    <w:rsid w:val="00F41972"/>
    <w:rsid w:val="00F60767"/>
    <w:rsid w:val="00F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D7CADC74-55AD-4D3D-BB15-16A88C34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2B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160C4"/>
    <w:pPr>
      <w:ind w:left="720"/>
      <w:contextualSpacing/>
    </w:pPr>
  </w:style>
  <w:style w:type="character" w:styleId="Hipervnculo">
    <w:name w:val="Hyperlink"/>
    <w:uiPriority w:val="99"/>
    <w:rsid w:val="00E928EE"/>
    <w:rPr>
      <w:rFonts w:cs="Times New Roman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BF2E2E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262ED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alpie">
    <w:name w:val="footnote reference"/>
    <w:uiPriority w:val="99"/>
    <w:semiHidden/>
    <w:rsid w:val="00262EDF"/>
    <w:rPr>
      <w:rFonts w:cs="Times New Roman"/>
      <w:vertAlign w:val="superscript"/>
    </w:rPr>
  </w:style>
  <w:style w:type="character" w:styleId="Hipervnculovisitado">
    <w:name w:val="FollowedHyperlink"/>
    <w:uiPriority w:val="99"/>
    <w:rsid w:val="001A35D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o.org/wcmsp5/groups/public/---ed_dialogue/---actrav/documents/publication/wcms_117581.pdf" TargetMode="External"/><Relationship Id="rId1" Type="http://schemas.openxmlformats.org/officeDocument/2006/relationships/hyperlink" Target="http://www.itfglobal.org/media/1279785/14sp43cprocee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771</Words>
  <Characters>4243</Characters>
  <Application>Microsoft Office Word</Application>
  <DocSecurity>0</DocSecurity>
  <Lines>35</Lines>
  <Paragraphs>10</Paragraphs>
  <ScaleCrop>false</ScaleCrop>
  <Company>Toshiba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Dispone la gratuidad del servicio de estacionamiento de proveedores de bienes y servicios en los casos que señala</dc:title>
  <dc:subject/>
  <dc:creator>Pablo Ignacio Celedon Gonzalez</dc:creator>
  <cp:keywords/>
  <dc:description/>
  <cp:lastModifiedBy>Leonardo Lueiza Ureta</cp:lastModifiedBy>
  <cp:revision>7</cp:revision>
  <cp:lastPrinted>2017-11-22T21:53:00Z</cp:lastPrinted>
  <dcterms:created xsi:type="dcterms:W3CDTF">2017-11-02T18:48:00Z</dcterms:created>
  <dcterms:modified xsi:type="dcterms:W3CDTF">2017-11-23T15:55:00Z</dcterms:modified>
</cp:coreProperties>
</file>