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AE" w:rsidRPr="00B10973" w:rsidRDefault="00B10973" w:rsidP="004832C0">
      <w:pPr>
        <w:spacing w:line="360" w:lineRule="auto"/>
        <w:jc w:val="center"/>
        <w:rPr>
          <w:rFonts w:ascii="Book Antiqua" w:hAnsi="Book Antiqua"/>
          <w:b/>
          <w:szCs w:val="24"/>
        </w:rPr>
      </w:pPr>
      <w:r w:rsidRPr="00B10973">
        <w:rPr>
          <w:rFonts w:ascii="Book Antiqua" w:hAnsi="Book Antiqua"/>
          <w:b/>
          <w:szCs w:val="24"/>
        </w:rPr>
        <w:t>Modifica la ley N°18.918, orgánica constitucional del Congreso Nacional, con el objeto de establecer comisiones mixtas especiales para el estudio y tramitación del proyecto de Ley de Presupuestos</w:t>
      </w:r>
    </w:p>
    <w:p w:rsidR="00B10973" w:rsidRPr="00B10973" w:rsidRDefault="00B10973" w:rsidP="004832C0">
      <w:pPr>
        <w:spacing w:line="360" w:lineRule="auto"/>
        <w:jc w:val="center"/>
        <w:rPr>
          <w:rFonts w:ascii="Book Antiqua" w:hAnsi="Book Antiqua"/>
          <w:b/>
          <w:szCs w:val="24"/>
        </w:rPr>
      </w:pPr>
      <w:r>
        <w:rPr>
          <w:rFonts w:ascii="Book Antiqua" w:hAnsi="Book Antiqua"/>
          <w:b/>
          <w:szCs w:val="24"/>
        </w:rPr>
        <w:t>Boletín N°11631-07</w:t>
      </w:r>
      <w:bookmarkStart w:id="0" w:name="_GoBack"/>
      <w:bookmarkEnd w:id="0"/>
    </w:p>
    <w:p w:rsidR="009070AE" w:rsidRPr="00662272" w:rsidRDefault="009070AE" w:rsidP="00662272">
      <w:pPr>
        <w:spacing w:line="360" w:lineRule="auto"/>
        <w:jc w:val="both"/>
        <w:rPr>
          <w:rFonts w:ascii="Book Antiqua" w:hAnsi="Book Antiqua" w:cs="Verdana"/>
          <w:b/>
          <w:szCs w:val="24"/>
          <w:u w:val="single"/>
          <w:lang w:val="es-ES"/>
        </w:rPr>
      </w:pPr>
      <w:r w:rsidRPr="00662272">
        <w:rPr>
          <w:rFonts w:ascii="Book Antiqua" w:hAnsi="Book Antiqua" w:cs="Verdana"/>
          <w:b/>
          <w:szCs w:val="24"/>
          <w:u w:val="single"/>
          <w:lang w:val="es-ES"/>
        </w:rPr>
        <w:t>Fundamentos.</w:t>
      </w:r>
    </w:p>
    <w:p w:rsidR="009070AE" w:rsidRPr="00662272" w:rsidRDefault="009070AE" w:rsidP="00662272">
      <w:pPr>
        <w:pStyle w:val="HTMLconformatoprevio"/>
        <w:shd w:val="clear" w:color="auto" w:fill="FFFFFF"/>
        <w:spacing w:line="360" w:lineRule="auto"/>
        <w:jc w:val="both"/>
        <w:rPr>
          <w:rFonts w:ascii="Book Antiqua" w:hAnsi="Book Antiqua" w:cs="Verdana"/>
          <w:sz w:val="24"/>
          <w:szCs w:val="24"/>
        </w:rPr>
      </w:pPr>
      <w:r w:rsidRPr="00662272">
        <w:rPr>
          <w:rFonts w:ascii="Book Antiqua" w:hAnsi="Book Antiqua" w:cs="Verdana"/>
          <w:sz w:val="24"/>
          <w:szCs w:val="24"/>
        </w:rPr>
        <w:t xml:space="preserve">La Constitución Política de la República en su artículo </w:t>
      </w:r>
      <w:r>
        <w:rPr>
          <w:rFonts w:ascii="Book Antiqua" w:hAnsi="Book Antiqua" w:cs="Verdana"/>
          <w:sz w:val="24"/>
          <w:szCs w:val="24"/>
        </w:rPr>
        <w:t xml:space="preserve">67 </w:t>
      </w:r>
      <w:r w:rsidRPr="00662272">
        <w:rPr>
          <w:rFonts w:ascii="Book Antiqua" w:hAnsi="Book Antiqua" w:cs="Verdana"/>
          <w:sz w:val="24"/>
          <w:szCs w:val="24"/>
        </w:rPr>
        <w:t>regula la tramitación del Proyecto</w:t>
      </w:r>
      <w:r>
        <w:rPr>
          <w:rFonts w:ascii="Book Antiqua" w:hAnsi="Book Antiqua" w:cs="Verdana"/>
          <w:sz w:val="24"/>
          <w:szCs w:val="24"/>
        </w:rPr>
        <w:t xml:space="preserve"> </w:t>
      </w:r>
      <w:r w:rsidRPr="00662272">
        <w:rPr>
          <w:rFonts w:ascii="Book Antiqua" w:hAnsi="Book Antiqua" w:cs="Verdana"/>
          <w:sz w:val="24"/>
          <w:szCs w:val="24"/>
        </w:rPr>
        <w:t>de Ley de Presupuestos del sector público señalando textualmente lo siguiente:</w:t>
      </w:r>
    </w:p>
    <w:p w:rsidR="009070AE" w:rsidRPr="004832C0" w:rsidRDefault="009070AE" w:rsidP="00662272">
      <w:pPr>
        <w:pStyle w:val="HTMLconformatoprevio"/>
        <w:shd w:val="clear" w:color="auto" w:fill="FFFFFF"/>
        <w:spacing w:line="360" w:lineRule="auto"/>
        <w:jc w:val="both"/>
        <w:rPr>
          <w:rFonts w:ascii="Book Antiqua" w:hAnsi="Book Antiqua"/>
          <w:i/>
          <w:sz w:val="24"/>
          <w:szCs w:val="24"/>
        </w:rPr>
      </w:pPr>
      <w:r w:rsidRPr="004832C0">
        <w:rPr>
          <w:rFonts w:ascii="Book Antiqua" w:hAnsi="Book Antiqua" w:cs="Verdana"/>
          <w:b/>
          <w:sz w:val="24"/>
          <w:szCs w:val="24"/>
        </w:rPr>
        <w:t>“</w:t>
      </w:r>
      <w:r w:rsidRPr="004832C0">
        <w:rPr>
          <w:rFonts w:ascii="Book Antiqua" w:hAnsi="Book Antiqua"/>
          <w:i/>
          <w:sz w:val="24"/>
          <w:szCs w:val="24"/>
        </w:rPr>
        <w:t>Artículo 67.- El proyecto de Ley de Presupuestos deberá ser presentado por el Presidente de la República al Congreso Nacional, a lo menos con tres meses de anterioridad a la fecha en que debe empezar a regir; y si el Congreso no lo despachare dentro de los sesenta días contados desde su presentación, regirá el proyecto presentado por el Presidente de la República.</w:t>
      </w:r>
    </w:p>
    <w:p w:rsidR="009070AE" w:rsidRDefault="009070AE" w:rsidP="00662272">
      <w:pPr>
        <w:pStyle w:val="HTMLconformatoprevio"/>
        <w:shd w:val="clear" w:color="auto" w:fill="FFFFFF"/>
        <w:spacing w:line="360" w:lineRule="auto"/>
        <w:jc w:val="both"/>
        <w:rPr>
          <w:rFonts w:ascii="Book Antiqua" w:hAnsi="Book Antiqua"/>
          <w:i/>
          <w:sz w:val="24"/>
          <w:szCs w:val="24"/>
        </w:rPr>
      </w:pPr>
      <w:r w:rsidRPr="004832C0">
        <w:rPr>
          <w:rFonts w:ascii="Book Antiqua" w:hAnsi="Book Antiqua"/>
          <w:i/>
          <w:sz w:val="24"/>
          <w:szCs w:val="24"/>
        </w:rPr>
        <w:t>El Congreso Nacional no podrá aumentar ni disminuir la estimación de los ingresos; sólo podrá reducir los gastos contenidos en el proyecto de Ley de Presupuestos, salvo los que estén establecidos por ley permanente.</w:t>
      </w:r>
    </w:p>
    <w:p w:rsidR="009070AE" w:rsidRPr="004832C0" w:rsidRDefault="009070AE" w:rsidP="00662272">
      <w:pPr>
        <w:pStyle w:val="HTMLconformatoprevio"/>
        <w:shd w:val="clear" w:color="auto" w:fill="FFFFFF"/>
        <w:spacing w:line="360" w:lineRule="auto"/>
        <w:jc w:val="both"/>
        <w:rPr>
          <w:rFonts w:ascii="Book Antiqua" w:hAnsi="Book Antiqua"/>
          <w:i/>
          <w:sz w:val="24"/>
          <w:szCs w:val="24"/>
        </w:rPr>
      </w:pPr>
      <w:r w:rsidRPr="004832C0">
        <w:rPr>
          <w:rFonts w:ascii="Book Antiqua" w:hAnsi="Book Antiqua"/>
          <w:i/>
          <w:sz w:val="24"/>
          <w:szCs w:val="24"/>
        </w:rPr>
        <w:t xml:space="preserve"> La estimación del rendimiento de los recursos que consulta la Ley de Presupuestos y de los nuevos que establezca cualquiera otra iniciativa de ley, corresponderá exclusivamente al Presidente, previo informe de los organismos técnicos respectivos.</w:t>
      </w:r>
    </w:p>
    <w:p w:rsidR="009070AE" w:rsidRPr="004832C0" w:rsidRDefault="009070AE" w:rsidP="00662272">
      <w:pPr>
        <w:pStyle w:val="HTMLconformatoprevio"/>
        <w:shd w:val="clear" w:color="auto" w:fill="FFFFFF"/>
        <w:spacing w:line="360" w:lineRule="auto"/>
        <w:jc w:val="both"/>
        <w:rPr>
          <w:rFonts w:ascii="Book Antiqua" w:hAnsi="Book Antiqua"/>
          <w:i/>
          <w:sz w:val="24"/>
          <w:szCs w:val="24"/>
        </w:rPr>
      </w:pPr>
      <w:r w:rsidRPr="004832C0">
        <w:rPr>
          <w:rFonts w:ascii="Book Antiqua" w:hAnsi="Book Antiqua"/>
          <w:i/>
          <w:sz w:val="24"/>
          <w:szCs w:val="24"/>
        </w:rPr>
        <w:t>No podrá el Congreso aprobar ningún nuevo gasto con cargo a los fondos de la Nación sin que se indiquen, al mismo tiempo, las fuentes de recursos necesarios para atender dicho gasto.</w:t>
      </w:r>
    </w:p>
    <w:p w:rsidR="009070AE" w:rsidRDefault="009070AE" w:rsidP="00662272">
      <w:pPr>
        <w:pStyle w:val="HTMLconformatoprevio"/>
        <w:shd w:val="clear" w:color="auto" w:fill="FFFFFF"/>
        <w:spacing w:line="360" w:lineRule="auto"/>
        <w:jc w:val="both"/>
        <w:rPr>
          <w:rFonts w:ascii="Book Antiqua" w:hAnsi="Book Antiqua"/>
          <w:sz w:val="24"/>
          <w:szCs w:val="24"/>
        </w:rPr>
      </w:pPr>
      <w:r w:rsidRPr="004832C0">
        <w:rPr>
          <w:rFonts w:ascii="Book Antiqua" w:hAnsi="Book Antiqua"/>
          <w:i/>
          <w:sz w:val="24"/>
          <w:szCs w:val="24"/>
        </w:rPr>
        <w:t>Si la fuente de recursos otorgada por el Congreso fuere insuficiente para financiar cualquier nuevo gasto que se apruebe, el Presidente de la República, al promulgar la ley, previo informe favorable del servicio o institución a través del cual se recaude el nuevo ingreso, refrendado por la Contraloría General de la República, deberá reducir proporcionalmente todos los gastos, cualquiera que sea su naturaleza.</w:t>
      </w:r>
      <w:r>
        <w:rPr>
          <w:rFonts w:ascii="Book Antiqua" w:hAnsi="Book Antiqua"/>
          <w:sz w:val="24"/>
          <w:szCs w:val="24"/>
        </w:rPr>
        <w:t>”.</w:t>
      </w:r>
    </w:p>
    <w:p w:rsidR="009070AE"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Luego el artículo 19 de la Ley Nº18.918 Orgánica Constitucional del Congreso Nacional regula</w:t>
      </w:r>
      <w:r>
        <w:rPr>
          <w:rFonts w:ascii="Book Antiqua" w:hAnsi="Book Antiqua"/>
          <w:sz w:val="24"/>
          <w:szCs w:val="24"/>
        </w:rPr>
        <w:t>,</w:t>
      </w:r>
      <w:r w:rsidRPr="004832C0">
        <w:rPr>
          <w:rFonts w:ascii="Book Antiqua" w:hAnsi="Book Antiqua"/>
          <w:sz w:val="24"/>
          <w:szCs w:val="24"/>
        </w:rPr>
        <w:t xml:space="preserve"> con un cierto mayor detalle</w:t>
      </w:r>
      <w:r>
        <w:rPr>
          <w:rFonts w:ascii="Book Antiqua" w:hAnsi="Book Antiqua"/>
          <w:sz w:val="24"/>
          <w:szCs w:val="24"/>
        </w:rPr>
        <w:t>,</w:t>
      </w:r>
      <w:r w:rsidRPr="004832C0">
        <w:rPr>
          <w:rFonts w:ascii="Book Antiqua" w:hAnsi="Book Antiqua"/>
          <w:sz w:val="24"/>
          <w:szCs w:val="24"/>
        </w:rPr>
        <w:t xml:space="preserve"> la tramitación del Proyecto de Ley de </w:t>
      </w:r>
      <w:r w:rsidRPr="004832C0">
        <w:rPr>
          <w:rFonts w:ascii="Book Antiqua" w:hAnsi="Book Antiqua"/>
          <w:sz w:val="24"/>
          <w:szCs w:val="24"/>
        </w:rPr>
        <w:lastRenderedPageBreak/>
        <w:t>Presupuestos estableciendo, para la tr</w:t>
      </w:r>
      <w:r>
        <w:rPr>
          <w:rFonts w:ascii="Book Antiqua" w:hAnsi="Book Antiqua"/>
          <w:sz w:val="24"/>
          <w:szCs w:val="24"/>
        </w:rPr>
        <w:t>a</w:t>
      </w:r>
      <w:r w:rsidRPr="004832C0">
        <w:rPr>
          <w:rFonts w:ascii="Book Antiqua" w:hAnsi="Book Antiqua"/>
          <w:sz w:val="24"/>
          <w:szCs w:val="24"/>
        </w:rPr>
        <w:t>mitación de este proyecto de ley</w:t>
      </w:r>
      <w:r>
        <w:rPr>
          <w:rFonts w:ascii="Book Antiqua" w:hAnsi="Book Antiqua"/>
          <w:sz w:val="24"/>
          <w:szCs w:val="24"/>
        </w:rPr>
        <w:t xml:space="preserve"> en particular</w:t>
      </w:r>
      <w:r w:rsidRPr="004832C0">
        <w:rPr>
          <w:rFonts w:ascii="Book Antiqua" w:hAnsi="Book Antiqua"/>
          <w:sz w:val="24"/>
          <w:szCs w:val="24"/>
        </w:rPr>
        <w:t>, la existencia de una comisión especial, integrada por el mismo número de diputados y de</w:t>
      </w:r>
      <w:r>
        <w:rPr>
          <w:rFonts w:ascii="Book Antiqua" w:hAnsi="Book Antiqua"/>
          <w:sz w:val="24"/>
          <w:szCs w:val="24"/>
        </w:rPr>
        <w:t xml:space="preserve"> </w:t>
      </w:r>
      <w:r w:rsidRPr="004832C0">
        <w:rPr>
          <w:rFonts w:ascii="Book Antiqua" w:hAnsi="Book Antiqua"/>
          <w:sz w:val="24"/>
          <w:szCs w:val="24"/>
        </w:rPr>
        <w:t>senadores que establezcan las normas reglamentarias que acuerden las Cámaras</w:t>
      </w:r>
      <w:r>
        <w:rPr>
          <w:rFonts w:ascii="Book Antiqua" w:hAnsi="Book Antiqua"/>
          <w:sz w:val="24"/>
          <w:szCs w:val="24"/>
        </w:rPr>
        <w:t xml:space="preserve">, </w:t>
      </w:r>
      <w:r w:rsidRPr="004832C0">
        <w:rPr>
          <w:rFonts w:ascii="Book Antiqua" w:hAnsi="Book Antiqua"/>
          <w:sz w:val="24"/>
          <w:szCs w:val="24"/>
        </w:rPr>
        <w:t>agregando que</w:t>
      </w:r>
      <w:r>
        <w:rPr>
          <w:rFonts w:ascii="Book Antiqua" w:hAnsi="Book Antiqua"/>
          <w:sz w:val="24"/>
          <w:szCs w:val="24"/>
        </w:rPr>
        <w:t>, en todo caso,</w:t>
      </w:r>
      <w:r w:rsidRPr="004832C0">
        <w:rPr>
          <w:rFonts w:ascii="Book Antiqua" w:hAnsi="Book Antiqua"/>
          <w:sz w:val="24"/>
          <w:szCs w:val="24"/>
        </w:rPr>
        <w:t xml:space="preserve"> formaran parte de dicha comisión especial los miembros de sus respectivas </w:t>
      </w:r>
      <w:r>
        <w:rPr>
          <w:rFonts w:ascii="Book Antiqua" w:hAnsi="Book Antiqua"/>
          <w:sz w:val="24"/>
          <w:szCs w:val="24"/>
        </w:rPr>
        <w:t>C</w:t>
      </w:r>
      <w:r w:rsidRPr="004832C0">
        <w:rPr>
          <w:rFonts w:ascii="Book Antiqua" w:hAnsi="Book Antiqua"/>
          <w:sz w:val="24"/>
          <w:szCs w:val="24"/>
        </w:rPr>
        <w:t xml:space="preserve">omisiones de </w:t>
      </w:r>
      <w:r>
        <w:rPr>
          <w:rFonts w:ascii="Book Antiqua" w:hAnsi="Book Antiqua"/>
          <w:sz w:val="24"/>
          <w:szCs w:val="24"/>
        </w:rPr>
        <w:t>H</w:t>
      </w:r>
      <w:r w:rsidRPr="004832C0">
        <w:rPr>
          <w:rFonts w:ascii="Book Antiqua" w:hAnsi="Book Antiqua"/>
          <w:sz w:val="24"/>
          <w:szCs w:val="24"/>
        </w:rPr>
        <w:t>acienda.</w:t>
      </w:r>
    </w:p>
    <w:p w:rsidR="009070AE" w:rsidRPr="00614225" w:rsidRDefault="009070AE" w:rsidP="00673FBF">
      <w:pPr>
        <w:widowControl w:val="0"/>
        <w:autoSpaceDE w:val="0"/>
        <w:autoSpaceDN w:val="0"/>
        <w:adjustRightInd w:val="0"/>
        <w:spacing w:line="360" w:lineRule="auto"/>
        <w:jc w:val="both"/>
        <w:rPr>
          <w:rFonts w:ascii="Book Antiqua" w:eastAsia="MS Mincho" w:hAnsi="Book Antiqua" w:cs="Verdana"/>
          <w:bCs/>
          <w:szCs w:val="24"/>
          <w:lang w:val="es-ES"/>
        </w:rPr>
      </w:pPr>
      <w:r>
        <w:rPr>
          <w:rFonts w:ascii="Book Antiqua" w:hAnsi="Book Antiqua"/>
          <w:szCs w:val="24"/>
        </w:rPr>
        <w:t xml:space="preserve">A la fecha </w:t>
      </w:r>
      <w:r>
        <w:rPr>
          <w:rFonts w:ascii="Book Antiqua" w:hAnsi="Book Antiqua" w:cs="Verdana"/>
          <w:szCs w:val="24"/>
          <w:lang w:val="es-ES"/>
        </w:rPr>
        <w:t>l</w:t>
      </w:r>
      <w:r w:rsidRPr="00662272">
        <w:rPr>
          <w:rFonts w:ascii="Book Antiqua" w:hAnsi="Book Antiqua" w:cs="Verdana"/>
          <w:szCs w:val="24"/>
          <w:lang w:val="es-ES"/>
        </w:rPr>
        <w:t xml:space="preserve">a Comisión Especial Mixta de Presupuestos está formada por 13 senadores y 13 diputados, quienes se </w:t>
      </w:r>
      <w:r>
        <w:rPr>
          <w:rFonts w:ascii="Book Antiqua" w:hAnsi="Book Antiqua" w:cs="Verdana"/>
          <w:szCs w:val="24"/>
          <w:lang w:val="es-ES"/>
        </w:rPr>
        <w:t xml:space="preserve">distribuyen </w:t>
      </w:r>
      <w:r w:rsidRPr="00662272">
        <w:rPr>
          <w:rFonts w:ascii="Book Antiqua" w:hAnsi="Book Antiqua" w:cs="Verdana"/>
          <w:szCs w:val="24"/>
          <w:lang w:val="es-ES"/>
        </w:rPr>
        <w:t xml:space="preserve">en </w:t>
      </w:r>
      <w:r w:rsidRPr="00614225">
        <w:rPr>
          <w:rFonts w:ascii="Book Antiqua" w:hAnsi="Book Antiqua" w:cs="Verdana"/>
          <w:bCs/>
          <w:szCs w:val="24"/>
          <w:lang w:val="es-ES"/>
        </w:rPr>
        <w:t>cinco subcomisiones que deben analizar las 23 “partidas” del Presupuesto de la Nación. Estas subcomisiones son las siguientes:</w:t>
      </w:r>
    </w:p>
    <w:p w:rsidR="009070AE" w:rsidRPr="00614225" w:rsidRDefault="009070AE" w:rsidP="00673FBF">
      <w:pPr>
        <w:widowControl w:val="0"/>
        <w:autoSpaceDE w:val="0"/>
        <w:autoSpaceDN w:val="0"/>
        <w:adjustRightInd w:val="0"/>
        <w:spacing w:line="360" w:lineRule="auto"/>
        <w:jc w:val="both"/>
        <w:rPr>
          <w:rFonts w:ascii="Book Antiqua" w:hAnsi="Book Antiqua" w:cs="Tahoma"/>
          <w:szCs w:val="24"/>
          <w:lang w:val="es-ES"/>
        </w:rPr>
      </w:pPr>
      <w:r w:rsidRPr="00614225">
        <w:rPr>
          <w:rFonts w:ascii="Book Antiqua" w:hAnsi="Book Antiqua" w:cs="Arial"/>
          <w:bCs/>
          <w:szCs w:val="24"/>
          <w:lang w:val="es-ES"/>
        </w:rPr>
        <w:t>Primera Subcomisión</w:t>
      </w:r>
    </w:p>
    <w:p w:rsidR="009070AE" w:rsidRPr="00614225" w:rsidRDefault="00EA614C" w:rsidP="00673FBF">
      <w:pPr>
        <w:pStyle w:val="Prrafodelista1"/>
        <w:widowControl w:val="0"/>
        <w:numPr>
          <w:ilvl w:val="0"/>
          <w:numId w:val="4"/>
        </w:numPr>
        <w:tabs>
          <w:tab w:val="left" w:pos="220"/>
          <w:tab w:val="left" w:pos="720"/>
        </w:tabs>
        <w:autoSpaceDE w:val="0"/>
        <w:autoSpaceDN w:val="0"/>
        <w:adjustRightInd w:val="0"/>
        <w:spacing w:line="360" w:lineRule="auto"/>
        <w:jc w:val="both"/>
        <w:rPr>
          <w:rFonts w:ascii="Book Antiqua" w:hAnsi="Book Antiqua" w:cs="Georgia"/>
          <w:lang w:val="es-ES"/>
        </w:rPr>
      </w:pPr>
      <w:hyperlink r:id="rId7" w:history="1">
        <w:r w:rsidR="009070AE" w:rsidRPr="00614225">
          <w:rPr>
            <w:rStyle w:val="Hipervnculo"/>
            <w:rFonts w:ascii="Book Antiqua" w:hAnsi="Book Antiqua" w:cs="Arial"/>
            <w:color w:val="auto"/>
            <w:u w:val="none"/>
            <w:lang w:val="es-ES"/>
          </w:rPr>
          <w:t>Ministerio de Economía, Fomento y Turismo</w:t>
        </w:r>
      </w:hyperlink>
    </w:p>
    <w:p w:rsidR="009070AE" w:rsidRPr="00614225" w:rsidRDefault="00EA614C" w:rsidP="00673FBF">
      <w:pPr>
        <w:widowControl w:val="0"/>
        <w:numPr>
          <w:ilvl w:val="0"/>
          <w:numId w:val="4"/>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8" w:history="1">
        <w:r w:rsidR="009070AE" w:rsidRPr="00614225">
          <w:rPr>
            <w:rStyle w:val="Hipervnculo"/>
            <w:rFonts w:ascii="Book Antiqua" w:hAnsi="Book Antiqua" w:cs="Arial"/>
            <w:color w:val="auto"/>
            <w:szCs w:val="24"/>
            <w:u w:val="none"/>
            <w:lang w:val="es-ES"/>
          </w:rPr>
          <w:t>Ministerio de Hacienda</w:t>
        </w:r>
      </w:hyperlink>
    </w:p>
    <w:p w:rsidR="009070AE" w:rsidRPr="00614225" w:rsidRDefault="00EA614C" w:rsidP="00673FBF">
      <w:pPr>
        <w:widowControl w:val="0"/>
        <w:numPr>
          <w:ilvl w:val="0"/>
          <w:numId w:val="4"/>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9" w:history="1">
        <w:r w:rsidR="009070AE" w:rsidRPr="00614225">
          <w:rPr>
            <w:rStyle w:val="Hipervnculo"/>
            <w:rFonts w:ascii="Book Antiqua" w:hAnsi="Book Antiqua" w:cs="Arial"/>
            <w:color w:val="auto"/>
            <w:szCs w:val="24"/>
            <w:u w:val="none"/>
            <w:lang w:val="es-ES"/>
          </w:rPr>
          <w:t>Ministerio de Desarrollo Social</w:t>
        </w:r>
      </w:hyperlink>
    </w:p>
    <w:p w:rsidR="009070AE" w:rsidRPr="00614225" w:rsidRDefault="00EA614C" w:rsidP="00673FBF">
      <w:pPr>
        <w:widowControl w:val="0"/>
        <w:numPr>
          <w:ilvl w:val="0"/>
          <w:numId w:val="4"/>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0" w:history="1">
        <w:r w:rsidR="009070AE" w:rsidRPr="00614225">
          <w:rPr>
            <w:rStyle w:val="Hipervnculo"/>
            <w:rFonts w:ascii="Book Antiqua" w:hAnsi="Book Antiqua" w:cs="Arial"/>
            <w:color w:val="auto"/>
            <w:szCs w:val="24"/>
            <w:u w:val="none"/>
            <w:lang w:val="es-ES"/>
          </w:rPr>
          <w:t>Tesoro Público</w:t>
        </w:r>
      </w:hyperlink>
    </w:p>
    <w:p w:rsidR="009070AE" w:rsidRPr="00614225" w:rsidRDefault="009070AE" w:rsidP="00673FBF">
      <w:pPr>
        <w:widowControl w:val="0"/>
        <w:autoSpaceDE w:val="0"/>
        <w:autoSpaceDN w:val="0"/>
        <w:adjustRightInd w:val="0"/>
        <w:spacing w:line="360" w:lineRule="auto"/>
        <w:jc w:val="both"/>
        <w:rPr>
          <w:rFonts w:ascii="Book Antiqua" w:hAnsi="Book Antiqua" w:cs="Tahoma"/>
          <w:szCs w:val="24"/>
          <w:lang w:val="es-ES"/>
        </w:rPr>
      </w:pPr>
      <w:r w:rsidRPr="00614225">
        <w:rPr>
          <w:rFonts w:ascii="Book Antiqua" w:hAnsi="Book Antiqua" w:cs="Tahoma"/>
          <w:szCs w:val="24"/>
          <w:lang w:val="es-ES"/>
        </w:rPr>
        <w:t> </w:t>
      </w:r>
      <w:r w:rsidRPr="00614225">
        <w:rPr>
          <w:rFonts w:ascii="Book Antiqua" w:hAnsi="Book Antiqua" w:cs="Arial"/>
          <w:bCs/>
          <w:szCs w:val="24"/>
          <w:lang w:val="es-ES"/>
        </w:rPr>
        <w:t>Segunda Subcomisión</w:t>
      </w:r>
    </w:p>
    <w:p w:rsidR="009070AE" w:rsidRPr="00614225" w:rsidRDefault="00EA614C" w:rsidP="00673FBF">
      <w:pPr>
        <w:pStyle w:val="Prrafodelista1"/>
        <w:widowControl w:val="0"/>
        <w:numPr>
          <w:ilvl w:val="0"/>
          <w:numId w:val="5"/>
        </w:numPr>
        <w:tabs>
          <w:tab w:val="left" w:pos="220"/>
          <w:tab w:val="left" w:pos="720"/>
        </w:tabs>
        <w:autoSpaceDE w:val="0"/>
        <w:autoSpaceDN w:val="0"/>
        <w:adjustRightInd w:val="0"/>
        <w:spacing w:line="360" w:lineRule="auto"/>
        <w:jc w:val="both"/>
        <w:rPr>
          <w:rFonts w:ascii="Book Antiqua" w:hAnsi="Book Antiqua" w:cs="Georgia"/>
          <w:lang w:val="es-ES"/>
        </w:rPr>
      </w:pPr>
      <w:hyperlink r:id="rId11" w:history="1">
        <w:r w:rsidR="009070AE" w:rsidRPr="00614225">
          <w:rPr>
            <w:rStyle w:val="Hipervnculo"/>
            <w:rFonts w:ascii="Book Antiqua" w:hAnsi="Book Antiqua" w:cs="Arial"/>
            <w:color w:val="auto"/>
            <w:u w:val="none"/>
            <w:lang w:val="es-ES"/>
          </w:rPr>
          <w:t>Presidencia de la República</w:t>
        </w:r>
      </w:hyperlink>
    </w:p>
    <w:p w:rsidR="009070AE" w:rsidRPr="00614225" w:rsidRDefault="00EA614C" w:rsidP="00673FBF">
      <w:pPr>
        <w:widowControl w:val="0"/>
        <w:numPr>
          <w:ilvl w:val="0"/>
          <w:numId w:val="5"/>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2" w:history="1">
        <w:r w:rsidR="009070AE" w:rsidRPr="00614225">
          <w:rPr>
            <w:rStyle w:val="Hipervnculo"/>
            <w:rFonts w:ascii="Book Antiqua" w:hAnsi="Book Antiqua" w:cs="Arial"/>
            <w:color w:val="auto"/>
            <w:szCs w:val="24"/>
            <w:u w:val="none"/>
            <w:lang w:val="es-ES"/>
          </w:rPr>
          <w:t>Contraloría General de la República</w:t>
        </w:r>
      </w:hyperlink>
    </w:p>
    <w:p w:rsidR="009070AE" w:rsidRPr="00614225" w:rsidRDefault="00EA614C" w:rsidP="00673FBF">
      <w:pPr>
        <w:widowControl w:val="0"/>
        <w:numPr>
          <w:ilvl w:val="0"/>
          <w:numId w:val="5"/>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3" w:history="1">
        <w:r w:rsidR="009070AE" w:rsidRPr="00614225">
          <w:rPr>
            <w:rStyle w:val="Hipervnculo"/>
            <w:rFonts w:ascii="Book Antiqua" w:hAnsi="Book Antiqua" w:cs="Arial"/>
            <w:color w:val="auto"/>
            <w:szCs w:val="24"/>
            <w:u w:val="none"/>
            <w:lang w:val="es-ES"/>
          </w:rPr>
          <w:t>Ministerio de Defensa</w:t>
        </w:r>
      </w:hyperlink>
    </w:p>
    <w:p w:rsidR="009070AE" w:rsidRPr="00614225" w:rsidRDefault="00EA614C" w:rsidP="00673FBF">
      <w:pPr>
        <w:widowControl w:val="0"/>
        <w:numPr>
          <w:ilvl w:val="0"/>
          <w:numId w:val="5"/>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4" w:history="1">
        <w:r w:rsidR="009070AE" w:rsidRPr="00614225">
          <w:rPr>
            <w:rStyle w:val="Hipervnculo"/>
            <w:rFonts w:ascii="Book Antiqua" w:hAnsi="Book Antiqua" w:cs="Arial"/>
            <w:color w:val="auto"/>
            <w:szCs w:val="24"/>
            <w:u w:val="none"/>
            <w:lang w:val="es-ES"/>
          </w:rPr>
          <w:t>Ministerio Secretaría General de Gobierno</w:t>
        </w:r>
      </w:hyperlink>
    </w:p>
    <w:p w:rsidR="009070AE" w:rsidRPr="00614225" w:rsidRDefault="00EA614C" w:rsidP="00673FBF">
      <w:pPr>
        <w:widowControl w:val="0"/>
        <w:numPr>
          <w:ilvl w:val="0"/>
          <w:numId w:val="5"/>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5" w:history="1">
        <w:r w:rsidR="009070AE" w:rsidRPr="00614225">
          <w:rPr>
            <w:rStyle w:val="Hipervnculo"/>
            <w:rFonts w:ascii="Book Antiqua" w:hAnsi="Book Antiqua" w:cs="Arial"/>
            <w:color w:val="auto"/>
            <w:szCs w:val="24"/>
            <w:u w:val="none"/>
            <w:lang w:val="es-ES"/>
          </w:rPr>
          <w:t>Ministerio Secretaría General de la Presidencia</w:t>
        </w:r>
      </w:hyperlink>
    </w:p>
    <w:p w:rsidR="009070AE" w:rsidRPr="00614225" w:rsidRDefault="00EA614C" w:rsidP="00673FBF">
      <w:pPr>
        <w:widowControl w:val="0"/>
        <w:numPr>
          <w:ilvl w:val="0"/>
          <w:numId w:val="5"/>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6" w:history="1">
        <w:r w:rsidR="009070AE" w:rsidRPr="00614225">
          <w:rPr>
            <w:rStyle w:val="Hipervnculo"/>
            <w:rFonts w:ascii="Book Antiqua" w:hAnsi="Book Antiqua" w:cs="Arial"/>
            <w:color w:val="auto"/>
            <w:szCs w:val="24"/>
            <w:u w:val="none"/>
            <w:lang w:val="es-ES"/>
          </w:rPr>
          <w:t>Ministerio del Medio Ambiente</w:t>
        </w:r>
      </w:hyperlink>
    </w:p>
    <w:p w:rsidR="009070AE" w:rsidRPr="00614225" w:rsidRDefault="00EA614C" w:rsidP="00673FBF">
      <w:pPr>
        <w:widowControl w:val="0"/>
        <w:numPr>
          <w:ilvl w:val="0"/>
          <w:numId w:val="5"/>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7" w:history="1">
        <w:r w:rsidR="009070AE" w:rsidRPr="00614225">
          <w:rPr>
            <w:rStyle w:val="Hipervnculo"/>
            <w:rFonts w:ascii="Book Antiqua" w:hAnsi="Book Antiqua" w:cs="Arial"/>
            <w:color w:val="auto"/>
            <w:szCs w:val="24"/>
            <w:u w:val="none"/>
            <w:lang w:val="es-ES"/>
          </w:rPr>
          <w:t>Ministerio del Medio del Deporte</w:t>
        </w:r>
      </w:hyperlink>
    </w:p>
    <w:p w:rsidR="009070AE" w:rsidRPr="00614225" w:rsidRDefault="009070AE" w:rsidP="00673FBF">
      <w:pPr>
        <w:widowControl w:val="0"/>
        <w:autoSpaceDE w:val="0"/>
        <w:autoSpaceDN w:val="0"/>
        <w:adjustRightInd w:val="0"/>
        <w:spacing w:line="360" w:lineRule="auto"/>
        <w:jc w:val="both"/>
        <w:rPr>
          <w:rFonts w:ascii="Book Antiqua" w:hAnsi="Book Antiqua" w:cs="Tahoma"/>
          <w:szCs w:val="24"/>
          <w:lang w:val="es-ES"/>
        </w:rPr>
      </w:pPr>
      <w:r w:rsidRPr="00614225">
        <w:rPr>
          <w:rFonts w:ascii="Book Antiqua" w:hAnsi="Book Antiqua" w:cs="Tahoma"/>
          <w:szCs w:val="24"/>
          <w:lang w:val="es-ES"/>
        </w:rPr>
        <w:t> </w:t>
      </w:r>
      <w:r w:rsidRPr="00614225">
        <w:rPr>
          <w:rFonts w:ascii="Book Antiqua" w:hAnsi="Book Antiqua" w:cs="Arial"/>
          <w:bCs/>
          <w:szCs w:val="24"/>
          <w:lang w:val="es-ES"/>
        </w:rPr>
        <w:t>Tercera Subcomisión</w:t>
      </w:r>
    </w:p>
    <w:p w:rsidR="009070AE" w:rsidRPr="00614225" w:rsidRDefault="00EA614C" w:rsidP="00673FBF">
      <w:pPr>
        <w:pStyle w:val="Prrafodelista1"/>
        <w:widowControl w:val="0"/>
        <w:numPr>
          <w:ilvl w:val="0"/>
          <w:numId w:val="6"/>
        </w:numPr>
        <w:tabs>
          <w:tab w:val="left" w:pos="220"/>
          <w:tab w:val="left" w:pos="720"/>
        </w:tabs>
        <w:autoSpaceDE w:val="0"/>
        <w:autoSpaceDN w:val="0"/>
        <w:adjustRightInd w:val="0"/>
        <w:spacing w:line="360" w:lineRule="auto"/>
        <w:jc w:val="both"/>
        <w:rPr>
          <w:rFonts w:ascii="Book Antiqua" w:hAnsi="Book Antiqua" w:cs="Georgia"/>
          <w:lang w:val="es-ES"/>
        </w:rPr>
      </w:pPr>
      <w:hyperlink r:id="rId18" w:history="1">
        <w:r w:rsidR="009070AE" w:rsidRPr="00614225">
          <w:rPr>
            <w:rStyle w:val="Hipervnculo"/>
            <w:rFonts w:ascii="Book Antiqua" w:hAnsi="Book Antiqua" w:cs="Arial"/>
            <w:color w:val="auto"/>
            <w:u w:val="none"/>
            <w:lang w:val="es-ES"/>
          </w:rPr>
          <w:t>Poder Judicial</w:t>
        </w:r>
      </w:hyperlink>
    </w:p>
    <w:p w:rsidR="009070AE" w:rsidRPr="00614225" w:rsidRDefault="00EA614C" w:rsidP="00673FBF">
      <w:pPr>
        <w:widowControl w:val="0"/>
        <w:numPr>
          <w:ilvl w:val="0"/>
          <w:numId w:val="6"/>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19" w:history="1">
        <w:r w:rsidR="009070AE" w:rsidRPr="00614225">
          <w:rPr>
            <w:rStyle w:val="Hipervnculo"/>
            <w:rFonts w:ascii="Book Antiqua" w:hAnsi="Book Antiqua" w:cs="Arial"/>
            <w:color w:val="auto"/>
            <w:szCs w:val="24"/>
            <w:u w:val="none"/>
            <w:lang w:val="es-ES"/>
          </w:rPr>
          <w:t>Ministerio de Relaciones Exteriores</w:t>
        </w:r>
      </w:hyperlink>
    </w:p>
    <w:p w:rsidR="009070AE" w:rsidRPr="00614225" w:rsidRDefault="00EA614C" w:rsidP="00673FBF">
      <w:pPr>
        <w:widowControl w:val="0"/>
        <w:numPr>
          <w:ilvl w:val="0"/>
          <w:numId w:val="6"/>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0" w:history="1">
        <w:r w:rsidR="009070AE" w:rsidRPr="00614225">
          <w:rPr>
            <w:rStyle w:val="Hipervnculo"/>
            <w:rFonts w:ascii="Book Antiqua" w:hAnsi="Book Antiqua" w:cs="Arial"/>
            <w:color w:val="auto"/>
            <w:szCs w:val="24"/>
            <w:u w:val="none"/>
            <w:lang w:val="es-ES"/>
          </w:rPr>
          <w:t>Ministerio de Justicia</w:t>
        </w:r>
      </w:hyperlink>
      <w:r w:rsidR="009070AE" w:rsidRPr="00614225">
        <w:rPr>
          <w:rFonts w:ascii="Book Antiqua" w:hAnsi="Book Antiqua" w:cs="Arial"/>
          <w:kern w:val="2"/>
          <w:szCs w:val="24"/>
          <w:lang w:val="es-ES"/>
        </w:rPr>
        <w:t xml:space="preserve"> </w:t>
      </w:r>
    </w:p>
    <w:p w:rsidR="009070AE" w:rsidRPr="00614225" w:rsidRDefault="00EA614C" w:rsidP="00673FBF">
      <w:pPr>
        <w:widowControl w:val="0"/>
        <w:numPr>
          <w:ilvl w:val="0"/>
          <w:numId w:val="6"/>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1" w:history="1">
        <w:r w:rsidR="009070AE" w:rsidRPr="00614225">
          <w:rPr>
            <w:rStyle w:val="Hipervnculo"/>
            <w:rFonts w:ascii="Book Antiqua" w:hAnsi="Book Antiqua" w:cs="Arial"/>
            <w:color w:val="auto"/>
            <w:szCs w:val="24"/>
            <w:u w:val="none"/>
            <w:lang w:val="es-ES"/>
          </w:rPr>
          <w:t>Ministerio del Trabajo y Previsión Social</w:t>
        </w:r>
      </w:hyperlink>
    </w:p>
    <w:p w:rsidR="009070AE" w:rsidRPr="00614225" w:rsidRDefault="00EA614C" w:rsidP="00673FBF">
      <w:pPr>
        <w:widowControl w:val="0"/>
        <w:numPr>
          <w:ilvl w:val="0"/>
          <w:numId w:val="6"/>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2" w:history="1">
        <w:r w:rsidR="009070AE" w:rsidRPr="00614225">
          <w:rPr>
            <w:rStyle w:val="Hipervnculo"/>
            <w:rFonts w:ascii="Book Antiqua" w:hAnsi="Book Antiqua" w:cs="Arial"/>
            <w:color w:val="auto"/>
            <w:szCs w:val="24"/>
            <w:u w:val="none"/>
            <w:lang w:val="es-ES"/>
          </w:rPr>
          <w:t>Ministerio de Salud</w:t>
        </w:r>
      </w:hyperlink>
    </w:p>
    <w:p w:rsidR="009070AE" w:rsidRPr="00614225" w:rsidRDefault="00EA614C" w:rsidP="00673FBF">
      <w:pPr>
        <w:widowControl w:val="0"/>
        <w:numPr>
          <w:ilvl w:val="0"/>
          <w:numId w:val="6"/>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3" w:history="1">
        <w:r w:rsidR="009070AE" w:rsidRPr="00614225">
          <w:rPr>
            <w:rStyle w:val="Hipervnculo"/>
            <w:rFonts w:ascii="Book Antiqua" w:hAnsi="Book Antiqua" w:cs="Arial"/>
            <w:color w:val="auto"/>
            <w:szCs w:val="24"/>
            <w:u w:val="none"/>
            <w:lang w:val="es-ES"/>
          </w:rPr>
          <w:t>Ministerio Público</w:t>
        </w:r>
      </w:hyperlink>
    </w:p>
    <w:p w:rsidR="009070AE" w:rsidRPr="00614225" w:rsidRDefault="009070AE" w:rsidP="00673FBF">
      <w:pPr>
        <w:widowControl w:val="0"/>
        <w:autoSpaceDE w:val="0"/>
        <w:autoSpaceDN w:val="0"/>
        <w:adjustRightInd w:val="0"/>
        <w:spacing w:line="360" w:lineRule="auto"/>
        <w:jc w:val="both"/>
        <w:rPr>
          <w:rFonts w:ascii="Book Antiqua" w:hAnsi="Book Antiqua" w:cs="Tahoma"/>
          <w:szCs w:val="24"/>
          <w:lang w:val="es-ES"/>
        </w:rPr>
      </w:pPr>
      <w:r w:rsidRPr="00614225">
        <w:rPr>
          <w:rFonts w:ascii="Book Antiqua" w:hAnsi="Book Antiqua" w:cs="Arial"/>
          <w:bCs/>
          <w:szCs w:val="24"/>
          <w:lang w:val="es-ES"/>
        </w:rPr>
        <w:t>Cuarta Subcomisión</w:t>
      </w:r>
    </w:p>
    <w:p w:rsidR="009070AE" w:rsidRPr="00614225" w:rsidRDefault="00EA614C" w:rsidP="00673FBF">
      <w:pPr>
        <w:pStyle w:val="Prrafodelista1"/>
        <w:widowControl w:val="0"/>
        <w:numPr>
          <w:ilvl w:val="0"/>
          <w:numId w:val="7"/>
        </w:numPr>
        <w:tabs>
          <w:tab w:val="left" w:pos="220"/>
          <w:tab w:val="left" w:pos="720"/>
        </w:tabs>
        <w:autoSpaceDE w:val="0"/>
        <w:autoSpaceDN w:val="0"/>
        <w:adjustRightInd w:val="0"/>
        <w:spacing w:line="360" w:lineRule="auto"/>
        <w:jc w:val="both"/>
        <w:rPr>
          <w:rFonts w:ascii="Book Antiqua" w:hAnsi="Book Antiqua" w:cs="Georgia"/>
          <w:lang w:val="es-ES"/>
        </w:rPr>
      </w:pPr>
      <w:hyperlink r:id="rId24" w:history="1">
        <w:r w:rsidR="009070AE" w:rsidRPr="00614225">
          <w:rPr>
            <w:rStyle w:val="Hipervnculo"/>
            <w:rFonts w:ascii="Book Antiqua" w:hAnsi="Book Antiqua" w:cs="Arial"/>
            <w:color w:val="auto"/>
            <w:u w:val="none"/>
            <w:lang w:val="es-ES"/>
          </w:rPr>
          <w:t>Congreso Nacional</w:t>
        </w:r>
      </w:hyperlink>
    </w:p>
    <w:p w:rsidR="009070AE" w:rsidRPr="00614225" w:rsidRDefault="00EA614C" w:rsidP="00673FBF">
      <w:pPr>
        <w:widowControl w:val="0"/>
        <w:numPr>
          <w:ilvl w:val="0"/>
          <w:numId w:val="7"/>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5" w:history="1">
        <w:r w:rsidR="009070AE" w:rsidRPr="00614225">
          <w:rPr>
            <w:rStyle w:val="Hipervnculo"/>
            <w:rFonts w:ascii="Book Antiqua" w:hAnsi="Book Antiqua" w:cs="Arial"/>
            <w:color w:val="auto"/>
            <w:szCs w:val="24"/>
            <w:u w:val="none"/>
            <w:lang w:val="es-ES"/>
          </w:rPr>
          <w:t>Ministerio del Interior y Seguridad Pública</w:t>
        </w:r>
      </w:hyperlink>
    </w:p>
    <w:p w:rsidR="009070AE" w:rsidRPr="00614225" w:rsidRDefault="00EA614C" w:rsidP="00673FBF">
      <w:pPr>
        <w:widowControl w:val="0"/>
        <w:numPr>
          <w:ilvl w:val="0"/>
          <w:numId w:val="7"/>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6" w:history="1">
        <w:r w:rsidR="009070AE" w:rsidRPr="00614225">
          <w:rPr>
            <w:rStyle w:val="Hipervnculo"/>
            <w:rFonts w:ascii="Book Antiqua" w:hAnsi="Book Antiqua" w:cs="Arial"/>
            <w:color w:val="auto"/>
            <w:szCs w:val="24"/>
            <w:u w:val="none"/>
            <w:lang w:val="es-ES"/>
          </w:rPr>
          <w:t>Ministerio de Educación</w:t>
        </w:r>
      </w:hyperlink>
    </w:p>
    <w:p w:rsidR="009070AE" w:rsidRPr="00614225" w:rsidRDefault="00EA614C" w:rsidP="00673FBF">
      <w:pPr>
        <w:widowControl w:val="0"/>
        <w:numPr>
          <w:ilvl w:val="0"/>
          <w:numId w:val="7"/>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7" w:history="1">
        <w:r w:rsidR="009070AE" w:rsidRPr="00614225">
          <w:rPr>
            <w:rStyle w:val="Hipervnculo"/>
            <w:rFonts w:ascii="Book Antiqua" w:hAnsi="Book Antiqua" w:cs="Arial"/>
            <w:color w:val="auto"/>
            <w:szCs w:val="24"/>
            <w:u w:val="none"/>
            <w:lang w:val="es-ES"/>
          </w:rPr>
          <w:t>Ministerio de Bienes Nacionales</w:t>
        </w:r>
      </w:hyperlink>
    </w:p>
    <w:p w:rsidR="009070AE" w:rsidRPr="00614225" w:rsidRDefault="00EA614C" w:rsidP="00673FBF">
      <w:pPr>
        <w:widowControl w:val="0"/>
        <w:numPr>
          <w:ilvl w:val="0"/>
          <w:numId w:val="7"/>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28" w:history="1">
        <w:r w:rsidR="009070AE" w:rsidRPr="00614225">
          <w:rPr>
            <w:rStyle w:val="Hipervnculo"/>
            <w:rFonts w:ascii="Book Antiqua" w:hAnsi="Book Antiqua" w:cs="Arial"/>
            <w:color w:val="auto"/>
            <w:szCs w:val="24"/>
            <w:u w:val="none"/>
            <w:lang w:val="es-ES"/>
          </w:rPr>
          <w:t>Ministerio de Vivienda y Urbanismo</w:t>
        </w:r>
      </w:hyperlink>
    </w:p>
    <w:p w:rsidR="009070AE" w:rsidRPr="00614225" w:rsidRDefault="009070AE" w:rsidP="00673FBF">
      <w:pPr>
        <w:widowControl w:val="0"/>
        <w:autoSpaceDE w:val="0"/>
        <w:autoSpaceDN w:val="0"/>
        <w:adjustRightInd w:val="0"/>
        <w:spacing w:line="360" w:lineRule="auto"/>
        <w:jc w:val="both"/>
        <w:rPr>
          <w:rFonts w:ascii="Book Antiqua" w:hAnsi="Book Antiqua" w:cs="Tahoma"/>
          <w:szCs w:val="24"/>
          <w:lang w:val="es-ES"/>
        </w:rPr>
      </w:pPr>
      <w:r w:rsidRPr="00662272">
        <w:rPr>
          <w:rFonts w:ascii="Book Antiqua" w:hAnsi="Book Antiqua" w:cs="Tahoma"/>
          <w:szCs w:val="24"/>
          <w:lang w:val="es-ES"/>
        </w:rPr>
        <w:t> </w:t>
      </w:r>
      <w:r w:rsidRPr="00614225">
        <w:rPr>
          <w:rFonts w:ascii="Book Antiqua" w:hAnsi="Book Antiqua" w:cs="Arial"/>
          <w:bCs/>
          <w:szCs w:val="24"/>
          <w:lang w:val="es-ES"/>
        </w:rPr>
        <w:t>Quinta Subcomisión</w:t>
      </w:r>
    </w:p>
    <w:p w:rsidR="009070AE" w:rsidRPr="00614225" w:rsidRDefault="00EA614C" w:rsidP="00673FBF">
      <w:pPr>
        <w:pStyle w:val="Prrafodelista1"/>
        <w:widowControl w:val="0"/>
        <w:numPr>
          <w:ilvl w:val="0"/>
          <w:numId w:val="8"/>
        </w:numPr>
        <w:tabs>
          <w:tab w:val="left" w:pos="220"/>
          <w:tab w:val="left" w:pos="720"/>
        </w:tabs>
        <w:autoSpaceDE w:val="0"/>
        <w:autoSpaceDN w:val="0"/>
        <w:adjustRightInd w:val="0"/>
        <w:spacing w:line="360" w:lineRule="auto"/>
        <w:jc w:val="both"/>
        <w:rPr>
          <w:rFonts w:ascii="Book Antiqua" w:hAnsi="Book Antiqua" w:cs="Georgia"/>
          <w:lang w:val="es-ES"/>
        </w:rPr>
      </w:pPr>
      <w:hyperlink r:id="rId29" w:history="1">
        <w:r w:rsidR="009070AE" w:rsidRPr="00614225">
          <w:rPr>
            <w:rStyle w:val="Hipervnculo"/>
            <w:rFonts w:ascii="Book Antiqua" w:hAnsi="Book Antiqua" w:cs="Arial"/>
            <w:color w:val="auto"/>
            <w:u w:val="none"/>
            <w:lang w:val="es-ES"/>
          </w:rPr>
          <w:t>Ministerio de Obras Públicas</w:t>
        </w:r>
      </w:hyperlink>
    </w:p>
    <w:p w:rsidR="009070AE" w:rsidRPr="00614225" w:rsidRDefault="00EA614C" w:rsidP="00673FBF">
      <w:pPr>
        <w:widowControl w:val="0"/>
        <w:numPr>
          <w:ilvl w:val="0"/>
          <w:numId w:val="8"/>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30" w:history="1">
        <w:r w:rsidR="009070AE" w:rsidRPr="00614225">
          <w:rPr>
            <w:rStyle w:val="Hipervnculo"/>
            <w:rFonts w:ascii="Book Antiqua" w:hAnsi="Book Antiqua" w:cs="Arial"/>
            <w:color w:val="auto"/>
            <w:szCs w:val="24"/>
            <w:u w:val="none"/>
            <w:lang w:val="es-ES"/>
          </w:rPr>
          <w:t>Ministerio de Agricultura</w:t>
        </w:r>
      </w:hyperlink>
    </w:p>
    <w:p w:rsidR="009070AE" w:rsidRPr="00614225" w:rsidRDefault="00EA614C" w:rsidP="00673FBF">
      <w:pPr>
        <w:widowControl w:val="0"/>
        <w:numPr>
          <w:ilvl w:val="0"/>
          <w:numId w:val="8"/>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31" w:history="1">
        <w:r w:rsidR="009070AE" w:rsidRPr="00614225">
          <w:rPr>
            <w:rStyle w:val="Hipervnculo"/>
            <w:rFonts w:ascii="Book Antiqua" w:hAnsi="Book Antiqua" w:cs="Arial"/>
            <w:color w:val="auto"/>
            <w:szCs w:val="24"/>
            <w:u w:val="none"/>
            <w:lang w:val="es-ES"/>
          </w:rPr>
          <w:t>Ministerio de Minería</w:t>
        </w:r>
      </w:hyperlink>
    </w:p>
    <w:p w:rsidR="009070AE" w:rsidRPr="00614225" w:rsidRDefault="00EA614C" w:rsidP="00673FBF">
      <w:pPr>
        <w:widowControl w:val="0"/>
        <w:numPr>
          <w:ilvl w:val="0"/>
          <w:numId w:val="8"/>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32" w:history="1">
        <w:r w:rsidR="009070AE" w:rsidRPr="00614225">
          <w:rPr>
            <w:rStyle w:val="Hipervnculo"/>
            <w:rFonts w:ascii="Book Antiqua" w:hAnsi="Book Antiqua" w:cs="Arial"/>
            <w:color w:val="auto"/>
            <w:szCs w:val="24"/>
            <w:u w:val="none"/>
            <w:lang w:val="es-ES"/>
          </w:rPr>
          <w:t>Ministerio de Transportes y Telecomunicaciones</w:t>
        </w:r>
      </w:hyperlink>
    </w:p>
    <w:p w:rsidR="009070AE" w:rsidRPr="00614225" w:rsidRDefault="00EA614C" w:rsidP="00673FBF">
      <w:pPr>
        <w:widowControl w:val="0"/>
        <w:numPr>
          <w:ilvl w:val="0"/>
          <w:numId w:val="8"/>
        </w:numPr>
        <w:tabs>
          <w:tab w:val="left" w:pos="220"/>
          <w:tab w:val="left" w:pos="720"/>
        </w:tabs>
        <w:autoSpaceDE w:val="0"/>
        <w:autoSpaceDN w:val="0"/>
        <w:adjustRightInd w:val="0"/>
        <w:spacing w:before="100" w:beforeAutospacing="1" w:after="100" w:afterAutospacing="1" w:line="360" w:lineRule="auto"/>
        <w:jc w:val="both"/>
        <w:rPr>
          <w:rFonts w:ascii="Book Antiqua" w:hAnsi="Book Antiqua" w:cs="Georgia"/>
          <w:szCs w:val="24"/>
          <w:lang w:val="es-ES"/>
        </w:rPr>
      </w:pPr>
      <w:hyperlink r:id="rId33" w:history="1">
        <w:r w:rsidR="009070AE" w:rsidRPr="00614225">
          <w:rPr>
            <w:rStyle w:val="Hipervnculo"/>
            <w:rFonts w:ascii="Book Antiqua" w:hAnsi="Book Antiqua" w:cs="Arial"/>
            <w:color w:val="auto"/>
            <w:szCs w:val="24"/>
            <w:u w:val="none"/>
            <w:lang w:val="es-ES"/>
          </w:rPr>
          <w:t>Ministerio de Energía</w:t>
        </w:r>
      </w:hyperlink>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Pr>
          <w:rFonts w:ascii="Book Antiqua" w:hAnsi="Book Antiqua"/>
          <w:sz w:val="24"/>
          <w:szCs w:val="24"/>
        </w:rPr>
        <w:t>Demás esta recordar que e</w:t>
      </w:r>
      <w:r w:rsidRPr="004832C0">
        <w:rPr>
          <w:rFonts w:ascii="Book Antiqua" w:hAnsi="Book Antiqua"/>
          <w:sz w:val="24"/>
          <w:szCs w:val="24"/>
        </w:rPr>
        <w:t>sta comisión especial</w:t>
      </w:r>
      <w:r>
        <w:rPr>
          <w:rFonts w:ascii="Book Antiqua" w:hAnsi="Book Antiqua"/>
          <w:sz w:val="24"/>
          <w:szCs w:val="24"/>
        </w:rPr>
        <w:t>, y las correspondientes subcomisiones,</w:t>
      </w:r>
      <w:r w:rsidRPr="004832C0">
        <w:rPr>
          <w:rFonts w:ascii="Book Antiqua" w:hAnsi="Book Antiqua"/>
          <w:sz w:val="24"/>
          <w:szCs w:val="24"/>
        </w:rPr>
        <w:t xml:space="preserve"> sólo funciona</w:t>
      </w:r>
      <w:r>
        <w:rPr>
          <w:rFonts w:ascii="Book Antiqua" w:hAnsi="Book Antiqua"/>
          <w:sz w:val="24"/>
          <w:szCs w:val="24"/>
        </w:rPr>
        <w:t>n</w:t>
      </w:r>
      <w:r w:rsidRPr="004832C0">
        <w:rPr>
          <w:rFonts w:ascii="Book Antiqua" w:hAnsi="Book Antiqua"/>
          <w:sz w:val="24"/>
          <w:szCs w:val="24"/>
        </w:rPr>
        <w:t xml:space="preserve"> para la tramitación y seguimiento del proyecto de ley de presupuestos.</w:t>
      </w:r>
    </w:p>
    <w:p w:rsidR="009070AE"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Pues bien, la Ley de Presupuestos es una de las normas de mayor trascendencia e importancia para el funcionamiento de la Administración del Estado, sin embargo hasta la fecha, dada la forma en que éste se tramita, los miembros de las distintas comisiones permanentes de ambas cámaras del H. Congreso Nacional no han tenido una participación acabada en el trabajo legislativo de este proyecto de ley en particular.</w:t>
      </w:r>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 xml:space="preserve">Al respecto, resulta necesario relevar el trabajo que efectúa cada una de las comisiones permanentes tanto del </w:t>
      </w:r>
      <w:r>
        <w:rPr>
          <w:rFonts w:ascii="Book Antiqua" w:hAnsi="Book Antiqua"/>
          <w:sz w:val="24"/>
          <w:szCs w:val="24"/>
        </w:rPr>
        <w:t xml:space="preserve">H. </w:t>
      </w:r>
      <w:r w:rsidRPr="004832C0">
        <w:rPr>
          <w:rFonts w:ascii="Book Antiqua" w:hAnsi="Book Antiqua"/>
          <w:sz w:val="24"/>
          <w:szCs w:val="24"/>
        </w:rPr>
        <w:t xml:space="preserve">Senado como de la </w:t>
      </w:r>
      <w:r>
        <w:rPr>
          <w:rFonts w:ascii="Book Antiqua" w:hAnsi="Book Antiqua"/>
          <w:sz w:val="24"/>
          <w:szCs w:val="24"/>
        </w:rPr>
        <w:t xml:space="preserve">H. </w:t>
      </w:r>
      <w:r w:rsidRPr="004832C0">
        <w:rPr>
          <w:rFonts w:ascii="Book Antiqua" w:hAnsi="Book Antiqua"/>
          <w:sz w:val="24"/>
          <w:szCs w:val="24"/>
        </w:rPr>
        <w:t xml:space="preserve">Cámara de Diputados, </w:t>
      </w:r>
      <w:r w:rsidRPr="004832C0">
        <w:rPr>
          <w:rFonts w:ascii="Book Antiqua" w:hAnsi="Book Antiqua"/>
          <w:sz w:val="24"/>
          <w:szCs w:val="24"/>
        </w:rPr>
        <w:lastRenderedPageBreak/>
        <w:t>ya que son  los integrantes de dichas comisiones quienes tienen, como consecuencia del trabajo permanente en la materia, un mayor conocimiento tanto de la gestión ministerial como de los compromisos asumidos por el gobierno en el respectivo sector, y asimismo son quienes tienen un contacto permanente con los actores de los sectores relacionados.</w:t>
      </w:r>
      <w:r>
        <w:rPr>
          <w:rFonts w:ascii="Book Antiqua" w:hAnsi="Book Antiqua"/>
          <w:sz w:val="24"/>
          <w:szCs w:val="24"/>
        </w:rPr>
        <w:t xml:space="preserve"> De hecho si se observa la distribución de las subcomisiones que analizan el proyecto de Ley de Presupuestos se puede observar que los distintos ministerios tienen una correlación casi perfecta con las comisiones permanentes de la H. Cámara de Diputados y el H. Senado.</w:t>
      </w:r>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Es por esta razón que resulta lógico que sean los miembros de las distintas comisiones permanentes de ambas cámaras  quienes conozcan y analicen, en el proceso de discusión legislativa, el proyecto de ley de presupuestos de manera que aporten a su tramitación con el conocimiento de los proyectos de ley en tramitación, o recientemente aprobados, que afectaran el funcionamiento de los organismos públicos del sector respectivo. Asimismo, dicha intervención en la tramitación del proyecto de ley de presupuestos, en lo que se refiere al sector o área de que conocen las comisiones permanentes, sin duda será un aporte al trabajo legislativo de las mismas comisiones, ya que éstas conocerán los recursos disponibles en el sector, y la forma de su distribución, así como las necesidades y requerimientos de los organismos públicos involucrados.</w:t>
      </w:r>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Es por esta razón que los diputados firmantes proponemos una modificación al artículo 19 de la Ley Nº18.918 Orgánica Constitucional del Congreso Nacional, con el objeto</w:t>
      </w:r>
      <w:r>
        <w:rPr>
          <w:rFonts w:ascii="Book Antiqua" w:hAnsi="Book Antiqua"/>
          <w:sz w:val="24"/>
          <w:szCs w:val="24"/>
        </w:rPr>
        <w:t xml:space="preserve"> </w:t>
      </w:r>
      <w:r w:rsidRPr="004832C0">
        <w:rPr>
          <w:rFonts w:ascii="Book Antiqua" w:hAnsi="Book Antiqua"/>
          <w:sz w:val="24"/>
          <w:szCs w:val="24"/>
        </w:rPr>
        <w:t>de modificar el procedimiento de tramitación del proyecto</w:t>
      </w:r>
      <w:r>
        <w:rPr>
          <w:rFonts w:ascii="Book Antiqua" w:hAnsi="Book Antiqua"/>
          <w:sz w:val="24"/>
          <w:szCs w:val="24"/>
        </w:rPr>
        <w:t xml:space="preserve"> </w:t>
      </w:r>
      <w:r w:rsidRPr="004832C0">
        <w:rPr>
          <w:rFonts w:ascii="Book Antiqua" w:hAnsi="Book Antiqua"/>
          <w:sz w:val="24"/>
          <w:szCs w:val="24"/>
        </w:rPr>
        <w:t>de ley de presupuestos del sector público.</w:t>
      </w:r>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Por su contenido esta modificación, es materia de ley orgánica constitucional, y no se encuentra dentro de las materias que el artículo 65 de nuestra Carta Fundamental establece como iniciativa exclusiva de S. E. la Presidenta de la República, ni dentro de aquellos proyectos de ley cuya tramitación necesariamente deben iniciarse en el Senado.</w:t>
      </w:r>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lastRenderedPageBreak/>
        <w:t>La modificación propuesta consiste en que en lugar de formarse una sola Comisión Mixta de Presupu</w:t>
      </w:r>
      <w:r>
        <w:rPr>
          <w:rFonts w:ascii="Book Antiqua" w:hAnsi="Book Antiqua"/>
          <w:sz w:val="24"/>
          <w:szCs w:val="24"/>
        </w:rPr>
        <w:t>e</w:t>
      </w:r>
      <w:r w:rsidRPr="004832C0">
        <w:rPr>
          <w:rFonts w:ascii="Book Antiqua" w:hAnsi="Book Antiqua"/>
          <w:sz w:val="24"/>
          <w:szCs w:val="24"/>
        </w:rPr>
        <w:t xml:space="preserve">stos, se formen tantas comisiones mixtas como comisiones permanentes existen en ambas cámaras del H. Congreso Nacional, con una integración igualitaria entre representantes del H. </w:t>
      </w:r>
      <w:r>
        <w:rPr>
          <w:rFonts w:ascii="Book Antiqua" w:hAnsi="Book Antiqua"/>
          <w:sz w:val="24"/>
          <w:szCs w:val="24"/>
        </w:rPr>
        <w:t>S</w:t>
      </w:r>
      <w:r w:rsidRPr="004832C0">
        <w:rPr>
          <w:rFonts w:ascii="Book Antiqua" w:hAnsi="Book Antiqua"/>
          <w:sz w:val="24"/>
          <w:szCs w:val="24"/>
        </w:rPr>
        <w:t xml:space="preserve">enado y de la H. </w:t>
      </w:r>
      <w:r>
        <w:rPr>
          <w:rFonts w:ascii="Book Antiqua" w:hAnsi="Book Antiqua"/>
          <w:sz w:val="24"/>
          <w:szCs w:val="24"/>
        </w:rPr>
        <w:t>C</w:t>
      </w:r>
      <w:r w:rsidRPr="004832C0">
        <w:rPr>
          <w:rFonts w:ascii="Book Antiqua" w:hAnsi="Book Antiqua"/>
          <w:sz w:val="24"/>
          <w:szCs w:val="24"/>
        </w:rPr>
        <w:t xml:space="preserve">ámara de Diputados, materia que, por cierto, debe ser regulada acabadamente en los respectivos Reglamentos de ambas </w:t>
      </w:r>
      <w:r>
        <w:rPr>
          <w:rFonts w:ascii="Book Antiqua" w:hAnsi="Book Antiqua"/>
          <w:sz w:val="24"/>
          <w:szCs w:val="24"/>
        </w:rPr>
        <w:t>C</w:t>
      </w:r>
      <w:r w:rsidRPr="004832C0">
        <w:rPr>
          <w:rFonts w:ascii="Book Antiqua" w:hAnsi="Book Antiqua"/>
          <w:sz w:val="24"/>
          <w:szCs w:val="24"/>
        </w:rPr>
        <w:t>ámaras</w:t>
      </w:r>
      <w:r>
        <w:rPr>
          <w:rFonts w:ascii="Book Antiqua" w:hAnsi="Book Antiqua"/>
          <w:sz w:val="24"/>
          <w:szCs w:val="24"/>
        </w:rPr>
        <w:t>, d</w:t>
      </w:r>
      <w:r w:rsidRPr="004832C0">
        <w:rPr>
          <w:rFonts w:ascii="Book Antiqua" w:hAnsi="Book Antiqua"/>
          <w:sz w:val="24"/>
          <w:szCs w:val="24"/>
        </w:rPr>
        <w:t xml:space="preserve">e forma </w:t>
      </w:r>
      <w:r>
        <w:rPr>
          <w:rFonts w:ascii="Book Antiqua" w:hAnsi="Book Antiqua"/>
          <w:sz w:val="24"/>
          <w:szCs w:val="24"/>
        </w:rPr>
        <w:t xml:space="preserve">tal que, en lugar de remitirse el Proyecto de Ley de Presupuestos en su totalidad a la Comisión Mixta de Presupuestos, a fin de que ésta a su vez derive las partidas correspondientes a las distintas subcomisiones, se remitan directamente </w:t>
      </w:r>
      <w:r w:rsidRPr="004832C0">
        <w:rPr>
          <w:rFonts w:ascii="Book Antiqua" w:hAnsi="Book Antiqua"/>
          <w:sz w:val="24"/>
          <w:szCs w:val="24"/>
        </w:rPr>
        <w:t>las distintas partidas presupuestarias del Proyecto de Ley de Presupuestos serán remitidas a estas comisiones mixtas</w:t>
      </w:r>
      <w:r>
        <w:rPr>
          <w:rFonts w:ascii="Book Antiqua" w:hAnsi="Book Antiqua"/>
          <w:sz w:val="24"/>
          <w:szCs w:val="24"/>
        </w:rPr>
        <w:t xml:space="preserve"> especializadas</w:t>
      </w:r>
      <w:r w:rsidRPr="004832C0">
        <w:rPr>
          <w:rFonts w:ascii="Book Antiqua" w:hAnsi="Book Antiqua"/>
          <w:sz w:val="24"/>
          <w:szCs w:val="24"/>
        </w:rPr>
        <w:t xml:space="preserve">, </w:t>
      </w:r>
      <w:r>
        <w:rPr>
          <w:rFonts w:ascii="Book Antiqua" w:hAnsi="Book Antiqua"/>
          <w:sz w:val="24"/>
          <w:szCs w:val="24"/>
        </w:rPr>
        <w:t xml:space="preserve">las </w:t>
      </w:r>
      <w:r w:rsidRPr="004832C0">
        <w:rPr>
          <w:rFonts w:ascii="Book Antiqua" w:hAnsi="Book Antiqua"/>
          <w:sz w:val="24"/>
          <w:szCs w:val="24"/>
        </w:rPr>
        <w:t xml:space="preserve">que como se ha dicho tienen un conocimiento más acabado, tanto del funcionamiento como de los requerimientos de los organismos del </w:t>
      </w:r>
      <w:r>
        <w:rPr>
          <w:rFonts w:ascii="Book Antiqua" w:hAnsi="Book Antiqua"/>
          <w:sz w:val="24"/>
          <w:szCs w:val="24"/>
        </w:rPr>
        <w:t>S</w:t>
      </w:r>
      <w:r w:rsidRPr="004832C0">
        <w:rPr>
          <w:rFonts w:ascii="Book Antiqua" w:hAnsi="Book Antiqua"/>
          <w:sz w:val="24"/>
          <w:szCs w:val="24"/>
        </w:rPr>
        <w:t>ector Público de que se trata, como de los compromisos asumidos por el ejecutivo en la materia.</w:t>
      </w:r>
    </w:p>
    <w:p w:rsidR="009070AE" w:rsidRPr="004832C0" w:rsidRDefault="009070AE" w:rsidP="004832C0">
      <w:pPr>
        <w:pStyle w:val="HTMLconformatoprevio"/>
        <w:shd w:val="clear" w:color="auto" w:fill="FFFFFF"/>
        <w:spacing w:line="360" w:lineRule="auto"/>
        <w:jc w:val="both"/>
        <w:rPr>
          <w:rFonts w:ascii="Book Antiqua" w:hAnsi="Book Antiqua"/>
          <w:sz w:val="24"/>
          <w:szCs w:val="24"/>
        </w:rPr>
      </w:pPr>
      <w:r w:rsidRPr="004832C0">
        <w:rPr>
          <w:rFonts w:ascii="Book Antiqua" w:hAnsi="Book Antiqua"/>
          <w:sz w:val="24"/>
          <w:szCs w:val="24"/>
        </w:rPr>
        <w:t>Dado que existen partidas de la Ley de Presupuestos que corresponden naturalmente a la Comisión</w:t>
      </w:r>
      <w:r>
        <w:rPr>
          <w:rFonts w:ascii="Book Antiqua" w:hAnsi="Book Antiqua"/>
          <w:sz w:val="24"/>
          <w:szCs w:val="24"/>
        </w:rPr>
        <w:t xml:space="preserve"> </w:t>
      </w:r>
      <w:r w:rsidRPr="004832C0">
        <w:rPr>
          <w:rFonts w:ascii="Book Antiqua" w:hAnsi="Book Antiqua"/>
          <w:sz w:val="24"/>
          <w:szCs w:val="24"/>
        </w:rPr>
        <w:t>de Hacienda, ella seguirá a cargo del análisis y discusión</w:t>
      </w:r>
      <w:r>
        <w:rPr>
          <w:rFonts w:ascii="Book Antiqua" w:hAnsi="Book Antiqua"/>
          <w:sz w:val="24"/>
          <w:szCs w:val="24"/>
        </w:rPr>
        <w:t xml:space="preserve"> de dichas partidas, así como de los aspectos generales del Proyecto de Ley de Presupuestos, y adicionalmente, de todas aquellas partidas presupuestarias que por su naturaleza no correspondan al conocimiento de una comisión permanente, tal es el caso de las partidas correspondientes por ejemplo a la Contraloría General de la República, o al Tesoro Público</w:t>
      </w:r>
    </w:p>
    <w:p w:rsidR="009070AE" w:rsidRDefault="009070AE" w:rsidP="00662272">
      <w:pPr>
        <w:spacing w:line="360" w:lineRule="auto"/>
        <w:jc w:val="both"/>
        <w:rPr>
          <w:rFonts w:ascii="Book Antiqua" w:hAnsi="Book Antiqua"/>
          <w:szCs w:val="24"/>
          <w:lang w:val="es-ES"/>
        </w:rPr>
      </w:pPr>
      <w:r>
        <w:rPr>
          <w:rFonts w:ascii="Book Antiqua" w:hAnsi="Book Antiqua"/>
          <w:szCs w:val="24"/>
          <w:lang w:val="es-ES"/>
        </w:rPr>
        <w:t xml:space="preserve">Adicionalmente, y con el fin de evitar las largas jornadas de discusión y votación que han caracterizado la discusión y aprobación del proyecto de Ley de Presupuestos debido a que el Informe de la Comisión Mixta de Presupuestos se vé excesivamente sobrecargada de trabajo en la tramitación de este proyecto de ley, y como consecuencia, del nuevo sistema de tramitación propuesto, se establece que las comisiones mixtas tendrán un plazo máximo de 45 días para evacuar su informe, lo que no sólo es compatible con el tiempo de tramitación del Proyecto de Ley de Presupuestos sino que además evitará que la votación del mismo se efectúe </w:t>
      </w:r>
      <w:r>
        <w:rPr>
          <w:rFonts w:ascii="Book Antiqua" w:hAnsi="Book Antiqua"/>
          <w:szCs w:val="24"/>
          <w:lang w:val="es-ES"/>
        </w:rPr>
        <w:lastRenderedPageBreak/>
        <w:t>en los últimos días del plazo en jornadas que exceden lo razonable en cuanto a su duración.</w:t>
      </w:r>
    </w:p>
    <w:p w:rsidR="009070AE" w:rsidRPr="00662272" w:rsidRDefault="009070AE" w:rsidP="007B7035">
      <w:pPr>
        <w:widowControl w:val="0"/>
        <w:autoSpaceDE w:val="0"/>
        <w:autoSpaceDN w:val="0"/>
        <w:adjustRightInd w:val="0"/>
        <w:spacing w:line="360" w:lineRule="auto"/>
        <w:jc w:val="both"/>
        <w:rPr>
          <w:rFonts w:ascii="Book Antiqua" w:hAnsi="Book Antiqua" w:cs="Courier"/>
          <w:szCs w:val="24"/>
          <w:lang w:val="es-ES"/>
        </w:rPr>
      </w:pPr>
      <w:r>
        <w:rPr>
          <w:rFonts w:ascii="Book Antiqua" w:hAnsi="Book Antiqua"/>
          <w:szCs w:val="24"/>
          <w:lang w:val="es-ES"/>
        </w:rPr>
        <w:t xml:space="preserve">Finalmente, siguiendo el mismo espíritu se traspasa a estas comisiones mixtas especializadas la facultad de </w:t>
      </w:r>
      <w:r w:rsidRPr="00662272">
        <w:rPr>
          <w:rFonts w:ascii="Book Antiqua" w:hAnsi="Book Antiqua" w:cs="Courier"/>
          <w:szCs w:val="24"/>
          <w:lang w:val="es-ES"/>
        </w:rPr>
        <w:t>seguir funcionando</w:t>
      </w:r>
      <w:r>
        <w:rPr>
          <w:rFonts w:ascii="Book Antiqua" w:hAnsi="Book Antiqua" w:cs="Courier"/>
          <w:szCs w:val="24"/>
          <w:lang w:val="es-ES"/>
        </w:rPr>
        <w:t>,</w:t>
      </w:r>
      <w:r w:rsidRPr="00662272">
        <w:rPr>
          <w:rFonts w:ascii="Book Antiqua" w:hAnsi="Book Antiqua" w:cs="Courier"/>
          <w:szCs w:val="24"/>
          <w:lang w:val="es-ES"/>
        </w:rPr>
        <w:t xml:space="preserve"> para el solo efecto de realizar un seguimiento de la ejecución de la Ley de Presupuestos durante el</w:t>
      </w:r>
      <w:r>
        <w:rPr>
          <w:rFonts w:ascii="Book Antiqua" w:hAnsi="Book Antiqua" w:cs="Courier"/>
          <w:szCs w:val="24"/>
          <w:lang w:val="es-ES"/>
        </w:rPr>
        <w:t xml:space="preserve"> </w:t>
      </w:r>
      <w:r w:rsidRPr="00662272">
        <w:rPr>
          <w:rFonts w:ascii="Book Antiqua" w:hAnsi="Book Antiqua" w:cs="Courier"/>
          <w:szCs w:val="24"/>
          <w:lang w:val="es-ES"/>
        </w:rPr>
        <w:t>respectivo ejercicio presupuestario, hasta que se constituya la siguiente comisión especial que deba</w:t>
      </w:r>
      <w:r>
        <w:rPr>
          <w:rFonts w:ascii="Book Antiqua" w:hAnsi="Book Antiqua" w:cs="Courier"/>
          <w:szCs w:val="24"/>
          <w:lang w:val="es-ES"/>
        </w:rPr>
        <w:t xml:space="preserve"> </w:t>
      </w:r>
      <w:r w:rsidRPr="00662272">
        <w:rPr>
          <w:rFonts w:ascii="Book Antiqua" w:hAnsi="Book Antiqua" w:cs="Courier"/>
          <w:szCs w:val="24"/>
          <w:lang w:val="es-ES"/>
        </w:rPr>
        <w:t>informar un nuevo proyecto de Ley de Presupuestos.</w:t>
      </w:r>
    </w:p>
    <w:p w:rsidR="009070AE" w:rsidRPr="00642BEA" w:rsidRDefault="009070AE" w:rsidP="00662272">
      <w:pPr>
        <w:spacing w:line="360" w:lineRule="auto"/>
        <w:jc w:val="both"/>
        <w:rPr>
          <w:rFonts w:ascii="Book Antiqua" w:hAnsi="Book Antiqua"/>
          <w:szCs w:val="24"/>
          <w:lang w:val="es-ES"/>
        </w:rPr>
      </w:pPr>
      <w:r>
        <w:rPr>
          <w:rFonts w:ascii="Book Antiqua" w:hAnsi="Book Antiqua"/>
          <w:szCs w:val="24"/>
          <w:lang w:val="es-ES"/>
        </w:rPr>
        <w:t>En consecuencia tenemos el honor de proponer a la H. Cámara de Diputados el siguiente Proyecto de Ley:</w:t>
      </w:r>
    </w:p>
    <w:p w:rsidR="009070AE" w:rsidRPr="00662272" w:rsidRDefault="009070AE" w:rsidP="00662272">
      <w:pPr>
        <w:spacing w:line="360" w:lineRule="auto"/>
        <w:jc w:val="both"/>
        <w:rPr>
          <w:rFonts w:ascii="Book Antiqua" w:hAnsi="Book Antiqua"/>
          <w:szCs w:val="24"/>
        </w:rPr>
      </w:pPr>
      <w:r w:rsidRPr="00275D02">
        <w:rPr>
          <w:rFonts w:ascii="Book Antiqua" w:hAnsi="Book Antiqua"/>
          <w:b/>
          <w:szCs w:val="24"/>
        </w:rPr>
        <w:t>Artículo Unico:</w:t>
      </w:r>
      <w:r>
        <w:rPr>
          <w:rFonts w:ascii="Book Antiqua" w:hAnsi="Book Antiqua"/>
          <w:szCs w:val="24"/>
        </w:rPr>
        <w:t xml:space="preserve"> </w:t>
      </w:r>
      <w:r w:rsidRPr="00662272">
        <w:rPr>
          <w:rFonts w:ascii="Book Antiqua" w:hAnsi="Book Antiqua"/>
          <w:szCs w:val="24"/>
        </w:rPr>
        <w:t>Introducénse las siguientes modificaciones a la Ley Nº18.918 Orgánica Constitucional del Congreso Nacional:</w:t>
      </w:r>
    </w:p>
    <w:p w:rsidR="009070AE" w:rsidRPr="00662272" w:rsidRDefault="009070AE" w:rsidP="00662272">
      <w:pPr>
        <w:spacing w:line="360" w:lineRule="auto"/>
        <w:jc w:val="both"/>
        <w:rPr>
          <w:rFonts w:ascii="Book Antiqua" w:hAnsi="Book Antiqua"/>
          <w:szCs w:val="24"/>
        </w:rPr>
      </w:pPr>
      <w:r w:rsidRPr="00662272">
        <w:rPr>
          <w:rFonts w:ascii="Book Antiqua" w:hAnsi="Book Antiqua"/>
          <w:szCs w:val="24"/>
        </w:rPr>
        <w:t>1.- Modifícase el artículo 19 como sigue:</w:t>
      </w:r>
    </w:p>
    <w:p w:rsidR="009070AE" w:rsidRDefault="009070AE" w:rsidP="00662272">
      <w:pPr>
        <w:spacing w:line="360" w:lineRule="auto"/>
        <w:jc w:val="both"/>
        <w:rPr>
          <w:rFonts w:ascii="Book Antiqua" w:hAnsi="Book Antiqua" w:cs="Courier New"/>
          <w:szCs w:val="24"/>
          <w:shd w:val="clear" w:color="auto" w:fill="FFFFFF"/>
        </w:rPr>
      </w:pPr>
      <w:r w:rsidRPr="00662272">
        <w:rPr>
          <w:rFonts w:ascii="Book Antiqua" w:hAnsi="Book Antiqua"/>
          <w:szCs w:val="24"/>
        </w:rPr>
        <w:t>a) Reemplazase el inciso primero del artículo 19 por el siguiente:</w:t>
      </w:r>
      <w:r w:rsidRPr="00662272">
        <w:rPr>
          <w:rFonts w:ascii="Book Antiqua" w:hAnsi="Book Antiqua" w:cs="Courier New"/>
          <w:szCs w:val="24"/>
          <w:shd w:val="clear" w:color="auto" w:fill="FFFFFF"/>
        </w:rPr>
        <w:t xml:space="preserve"> </w:t>
      </w:r>
    </w:p>
    <w:p w:rsidR="009070AE" w:rsidRPr="00662272" w:rsidRDefault="009070AE" w:rsidP="00662272">
      <w:pPr>
        <w:spacing w:line="360" w:lineRule="auto"/>
        <w:jc w:val="both"/>
        <w:rPr>
          <w:rFonts w:ascii="Book Antiqua" w:hAnsi="Book Antiqua" w:cs="Courier New"/>
          <w:szCs w:val="24"/>
          <w:shd w:val="clear" w:color="auto" w:fill="FFFFFF"/>
        </w:rPr>
      </w:pPr>
      <w:r>
        <w:rPr>
          <w:rFonts w:ascii="Book Antiqua" w:hAnsi="Book Antiqua" w:cs="Courier New"/>
          <w:szCs w:val="24"/>
          <w:shd w:val="clear" w:color="auto" w:fill="FFFFFF"/>
        </w:rPr>
        <w:t>“</w:t>
      </w:r>
      <w:r w:rsidRPr="00662272">
        <w:rPr>
          <w:rFonts w:ascii="Book Antiqua" w:hAnsi="Book Antiqua" w:cs="Courier New"/>
          <w:szCs w:val="24"/>
          <w:shd w:val="clear" w:color="auto" w:fill="FFFFFF"/>
        </w:rPr>
        <w:t>El proyecto de Ley de Presupuestos</w:t>
      </w:r>
      <w:r>
        <w:rPr>
          <w:rFonts w:ascii="Book Antiqua" w:hAnsi="Book Antiqua" w:cs="Courier New"/>
          <w:szCs w:val="24"/>
        </w:rPr>
        <w:t xml:space="preserve"> </w:t>
      </w:r>
      <w:r w:rsidRPr="00662272">
        <w:rPr>
          <w:rFonts w:ascii="Book Antiqua" w:hAnsi="Book Antiqua" w:cs="Courier New"/>
          <w:szCs w:val="24"/>
          <w:shd w:val="clear" w:color="auto" w:fill="FFFFFF"/>
        </w:rPr>
        <w:t>será informado exclusivamente por tantas comisiones especiales como sea necesario, las que se integrarán con el mismo número de diputados y de senadores que establezcan las normas reglamentarias que acuerden las Cámaras. Formarán parte de ella, en todo caso, los miembros de sus respectivas comisiones permanentes, a las que se refiere el artículo 17 de esta Ley. Cada una de estas  comisiones será presidida por el senador o diputado que ella elija de entre sus miembros y deberá quedar</w:t>
      </w:r>
      <w:r w:rsidRPr="00662272">
        <w:rPr>
          <w:rFonts w:ascii="Book Antiqua" w:hAnsi="Book Antiqua" w:cs="Courier New"/>
          <w:szCs w:val="24"/>
        </w:rPr>
        <w:t xml:space="preserve"> </w:t>
      </w:r>
      <w:r w:rsidRPr="00662272">
        <w:rPr>
          <w:rFonts w:ascii="Book Antiqua" w:hAnsi="Book Antiqua" w:cs="Courier New"/>
          <w:szCs w:val="24"/>
          <w:shd w:val="clear" w:color="auto" w:fill="FFFFFF"/>
        </w:rPr>
        <w:t>constituida dentro del mes de septiembre de cada año.</w:t>
      </w:r>
    </w:p>
    <w:p w:rsidR="009070AE" w:rsidRPr="00662272" w:rsidRDefault="009070AE" w:rsidP="00662272">
      <w:pPr>
        <w:spacing w:line="360" w:lineRule="auto"/>
        <w:jc w:val="both"/>
        <w:rPr>
          <w:rFonts w:ascii="Book Antiqua" w:hAnsi="Book Antiqua"/>
          <w:szCs w:val="24"/>
        </w:rPr>
      </w:pPr>
      <w:r w:rsidRPr="00662272">
        <w:rPr>
          <w:rFonts w:ascii="Book Antiqua" w:hAnsi="Book Antiqua"/>
          <w:szCs w:val="24"/>
        </w:rPr>
        <w:t xml:space="preserve">b) Intercálase en el artículo </w:t>
      </w:r>
      <w:smartTag w:uri="urn:schemas-microsoft-com:office:smarttags" w:element="metricconverter">
        <w:smartTagPr>
          <w:attr w:name="ProductID" w:val="19, a"/>
        </w:smartTagPr>
        <w:r w:rsidRPr="00662272">
          <w:rPr>
            <w:rFonts w:ascii="Book Antiqua" w:hAnsi="Book Antiqua"/>
            <w:szCs w:val="24"/>
          </w:rPr>
          <w:t>19, a</w:t>
        </w:r>
      </w:smartTag>
      <w:r w:rsidRPr="00662272">
        <w:rPr>
          <w:rFonts w:ascii="Book Antiqua" w:hAnsi="Book Antiqua"/>
          <w:szCs w:val="24"/>
        </w:rPr>
        <w:t xml:space="preserve"> continuación del inciso primero, el siguiente inciso segundo, nuevo: </w:t>
      </w:r>
    </w:p>
    <w:p w:rsidR="009070AE" w:rsidRPr="00662272" w:rsidRDefault="009070AE" w:rsidP="00662272">
      <w:pPr>
        <w:spacing w:line="360" w:lineRule="auto"/>
        <w:jc w:val="both"/>
        <w:rPr>
          <w:rFonts w:ascii="Book Antiqua" w:hAnsi="Book Antiqua" w:cs="Courier New"/>
          <w:szCs w:val="24"/>
          <w:shd w:val="clear" w:color="auto" w:fill="FFFFFF"/>
        </w:rPr>
      </w:pPr>
      <w:r w:rsidRPr="00662272">
        <w:rPr>
          <w:rFonts w:ascii="Book Antiqua" w:hAnsi="Book Antiqua" w:cs="Courier New"/>
          <w:szCs w:val="24"/>
          <w:shd w:val="clear" w:color="auto" w:fill="FFFFFF"/>
        </w:rPr>
        <w:t xml:space="preserve">Cada una de las partidas del proyecto de Ley de Presupuestos se enviará, para su informe, a la comisión especial que corresponda según las comisiones permanentes que existen en la Cámara de Diputados. Tratándose de las partidas </w:t>
      </w:r>
      <w:r w:rsidRPr="00662272">
        <w:rPr>
          <w:rFonts w:ascii="Book Antiqua" w:hAnsi="Book Antiqua" w:cs="Courier New"/>
          <w:szCs w:val="24"/>
          <w:shd w:val="clear" w:color="auto" w:fill="FFFFFF"/>
        </w:rPr>
        <w:lastRenderedPageBreak/>
        <w:t xml:space="preserve">correspondientes al Tesoro Público y de todas aquellas </w:t>
      </w:r>
      <w:r>
        <w:rPr>
          <w:rFonts w:ascii="Book Antiqua" w:hAnsi="Book Antiqua" w:cs="Courier New"/>
          <w:szCs w:val="24"/>
          <w:shd w:val="clear" w:color="auto" w:fill="FFFFFF"/>
        </w:rPr>
        <w:t xml:space="preserve">otras </w:t>
      </w:r>
      <w:r w:rsidRPr="00662272">
        <w:rPr>
          <w:rFonts w:ascii="Book Antiqua" w:hAnsi="Book Antiqua" w:cs="Courier New"/>
          <w:szCs w:val="24"/>
          <w:shd w:val="clear" w:color="auto" w:fill="FFFFFF"/>
        </w:rPr>
        <w:t>partidas que se refieran a materias que no correspondan a</w:t>
      </w:r>
      <w:r>
        <w:rPr>
          <w:rFonts w:ascii="Book Antiqua" w:hAnsi="Book Antiqua" w:cs="Courier New"/>
          <w:szCs w:val="24"/>
          <w:shd w:val="clear" w:color="auto" w:fill="FFFFFF"/>
        </w:rPr>
        <w:t xml:space="preserve">quellas </w:t>
      </w:r>
      <w:r w:rsidRPr="00662272">
        <w:rPr>
          <w:rFonts w:ascii="Book Antiqua" w:hAnsi="Book Antiqua" w:cs="Courier New"/>
          <w:szCs w:val="24"/>
          <w:shd w:val="clear" w:color="auto" w:fill="FFFFFF"/>
        </w:rPr>
        <w:t>de que conoce ninguna comisión permanente, ellas serán tratadas por la Comisión Mixta de Hacienda.</w:t>
      </w:r>
    </w:p>
    <w:p w:rsidR="009070AE" w:rsidRPr="00662272" w:rsidRDefault="009070AE" w:rsidP="00662272">
      <w:pPr>
        <w:spacing w:line="360" w:lineRule="auto"/>
        <w:jc w:val="both"/>
        <w:rPr>
          <w:rFonts w:ascii="Book Antiqua" w:hAnsi="Book Antiqua"/>
          <w:szCs w:val="24"/>
        </w:rPr>
      </w:pPr>
      <w:r w:rsidRPr="00662272">
        <w:rPr>
          <w:rFonts w:ascii="Book Antiqua" w:hAnsi="Book Antiqua"/>
          <w:szCs w:val="24"/>
        </w:rPr>
        <w:t>c) Reemplazase el actual inciso segundo, que pasa a ser inciso tercero, por el siguiente:</w:t>
      </w:r>
    </w:p>
    <w:p w:rsidR="009070AE" w:rsidRPr="00662272" w:rsidRDefault="009070AE" w:rsidP="00662272">
      <w:pPr>
        <w:spacing w:line="360" w:lineRule="auto"/>
        <w:jc w:val="both"/>
        <w:rPr>
          <w:rFonts w:ascii="Book Antiqua" w:hAnsi="Book Antiqua"/>
          <w:szCs w:val="24"/>
        </w:rPr>
      </w:pPr>
      <w:r w:rsidRPr="00662272">
        <w:rPr>
          <w:rFonts w:ascii="Book Antiqua" w:hAnsi="Book Antiqua" w:cs="Courier New"/>
          <w:szCs w:val="24"/>
          <w:shd w:val="clear" w:color="auto" w:fill="FFFFFF"/>
        </w:rPr>
        <w:t>Estas comisiones especiales fijarán en cada oportunidad</w:t>
      </w:r>
      <w:r>
        <w:rPr>
          <w:rFonts w:ascii="Book Antiqua" w:hAnsi="Book Antiqua" w:cs="Courier New"/>
          <w:szCs w:val="24"/>
        </w:rPr>
        <w:t xml:space="preserve"> </w:t>
      </w:r>
      <w:r w:rsidRPr="00662272">
        <w:rPr>
          <w:rFonts w:ascii="Book Antiqua" w:hAnsi="Book Antiqua" w:cs="Courier New"/>
          <w:szCs w:val="24"/>
          <w:shd w:val="clear" w:color="auto" w:fill="FFFFFF"/>
        </w:rPr>
        <w:t>sus normas de procedimiento y deberán emitir su informe a más tardar dentro de los 45 días siguientes a su presentación.</w:t>
      </w:r>
    </w:p>
    <w:p w:rsidR="009070AE" w:rsidRPr="00662272" w:rsidRDefault="009070AE" w:rsidP="00662272">
      <w:pPr>
        <w:spacing w:line="360" w:lineRule="auto"/>
        <w:jc w:val="both"/>
        <w:rPr>
          <w:rFonts w:ascii="Book Antiqua" w:hAnsi="Book Antiqua"/>
          <w:szCs w:val="24"/>
        </w:rPr>
      </w:pPr>
      <w:r w:rsidRPr="00662272">
        <w:rPr>
          <w:rFonts w:ascii="Book Antiqua" w:hAnsi="Book Antiqua"/>
          <w:szCs w:val="24"/>
        </w:rPr>
        <w:t>d) Reemplazase en el inciso tercero, que pasa a ser inciso cuarto, la expresión “la comisión especial constituida” por la expresión “las comisiones especiales constituidas”</w:t>
      </w:r>
    </w:p>
    <w:p w:rsidR="009070AE" w:rsidRPr="00662272" w:rsidRDefault="009070AE" w:rsidP="00662272">
      <w:pPr>
        <w:spacing w:line="360" w:lineRule="auto"/>
        <w:jc w:val="both"/>
        <w:rPr>
          <w:rFonts w:ascii="Book Antiqua" w:hAnsi="Book Antiqua"/>
          <w:szCs w:val="24"/>
        </w:rPr>
      </w:pPr>
      <w:r w:rsidRPr="00662272">
        <w:rPr>
          <w:rFonts w:ascii="Book Antiqua" w:hAnsi="Book Antiqua"/>
          <w:szCs w:val="24"/>
        </w:rPr>
        <w:t>e) Reemplazase en el inciso tercero que pasa a ser inciso cuarto, la expresión “ésta podrá” que sigue a la coma (,) por la expresión “éstas podrán”</w:t>
      </w:r>
    </w:p>
    <w:p w:rsidR="009070AE" w:rsidRPr="00662272" w:rsidRDefault="009070AE" w:rsidP="00662272">
      <w:pPr>
        <w:spacing w:line="360" w:lineRule="auto"/>
        <w:jc w:val="both"/>
        <w:rPr>
          <w:rFonts w:ascii="Book Antiqua" w:hAnsi="Book Antiqua"/>
          <w:szCs w:val="24"/>
        </w:rPr>
      </w:pPr>
      <w:r w:rsidRPr="00662272">
        <w:rPr>
          <w:rFonts w:ascii="Book Antiqua" w:hAnsi="Book Antiqua"/>
          <w:szCs w:val="24"/>
        </w:rPr>
        <w:t>f) Reemplazase en el inciso cuarto, que pasa a ser inciso quinto, la expresión “la comisión especial podrá” que sigue a la coma (,) por la expresión “las comisiones especiales podrán”.</w:t>
      </w:r>
    </w:p>
    <w:p w:rsidR="009070AE" w:rsidRPr="00662272" w:rsidRDefault="009070AE" w:rsidP="00662272">
      <w:pPr>
        <w:spacing w:line="360" w:lineRule="auto"/>
        <w:jc w:val="both"/>
        <w:rPr>
          <w:rFonts w:ascii="Book Antiqua" w:hAnsi="Book Antiqua"/>
          <w:szCs w:val="24"/>
        </w:rPr>
      </w:pPr>
    </w:p>
    <w:p w:rsidR="009070AE" w:rsidRDefault="009070AE" w:rsidP="00662272">
      <w:pPr>
        <w:spacing w:line="360" w:lineRule="auto"/>
        <w:jc w:val="both"/>
        <w:rPr>
          <w:rFonts w:ascii="Book Antiqua" w:hAnsi="Book Antiqua"/>
          <w:szCs w:val="24"/>
        </w:rPr>
      </w:pPr>
    </w:p>
    <w:p w:rsidR="009070AE" w:rsidRDefault="007949A3" w:rsidP="007949A3">
      <w:pPr>
        <w:spacing w:line="240" w:lineRule="auto"/>
        <w:jc w:val="center"/>
        <w:rPr>
          <w:rFonts w:ascii="Book Antiqua" w:hAnsi="Book Antiqua"/>
          <w:szCs w:val="24"/>
        </w:rPr>
      </w:pPr>
      <w:r>
        <w:rPr>
          <w:rFonts w:ascii="Book Antiqua" w:hAnsi="Book Antiqua"/>
          <w:szCs w:val="24"/>
        </w:rPr>
        <w:t>H. Diputado</w:t>
      </w:r>
    </w:p>
    <w:p w:rsidR="007949A3" w:rsidRDefault="007949A3" w:rsidP="007949A3">
      <w:pPr>
        <w:spacing w:line="240" w:lineRule="auto"/>
        <w:jc w:val="center"/>
        <w:rPr>
          <w:rFonts w:ascii="Book Antiqua" w:hAnsi="Book Antiqua"/>
          <w:szCs w:val="24"/>
        </w:rPr>
      </w:pPr>
      <w:r>
        <w:rPr>
          <w:rFonts w:ascii="Book Antiqua" w:hAnsi="Book Antiqua"/>
          <w:szCs w:val="24"/>
        </w:rPr>
        <w:t>Jaime Pilowsky Greene</w:t>
      </w:r>
    </w:p>
    <w:p w:rsidR="009070AE" w:rsidRDefault="009070AE" w:rsidP="00662272">
      <w:pPr>
        <w:spacing w:line="360" w:lineRule="auto"/>
        <w:jc w:val="both"/>
        <w:rPr>
          <w:rFonts w:ascii="Book Antiqua" w:hAnsi="Book Antiqua"/>
          <w:szCs w:val="24"/>
        </w:rPr>
      </w:pPr>
    </w:p>
    <w:p w:rsidR="009070AE" w:rsidRDefault="009070AE" w:rsidP="00662272">
      <w:pPr>
        <w:spacing w:line="360" w:lineRule="auto"/>
        <w:jc w:val="both"/>
        <w:rPr>
          <w:rFonts w:ascii="Book Antiqua" w:hAnsi="Book Antiqua"/>
          <w:szCs w:val="24"/>
        </w:rPr>
      </w:pPr>
    </w:p>
    <w:p w:rsidR="009070AE" w:rsidRDefault="009070AE" w:rsidP="00662272">
      <w:pPr>
        <w:spacing w:line="360" w:lineRule="auto"/>
        <w:jc w:val="both"/>
        <w:rPr>
          <w:rFonts w:ascii="Book Antiqua" w:hAnsi="Book Antiqua"/>
          <w:szCs w:val="24"/>
        </w:rPr>
      </w:pPr>
    </w:p>
    <w:p w:rsidR="009070AE" w:rsidRDefault="009070AE" w:rsidP="00662272">
      <w:pPr>
        <w:spacing w:line="360" w:lineRule="auto"/>
        <w:jc w:val="both"/>
        <w:rPr>
          <w:rFonts w:ascii="Book Antiqua" w:hAnsi="Book Antiqua"/>
          <w:szCs w:val="24"/>
        </w:rPr>
      </w:pPr>
    </w:p>
    <w:p w:rsidR="009070AE" w:rsidRPr="00662272" w:rsidRDefault="009070AE" w:rsidP="00662272">
      <w:pPr>
        <w:spacing w:line="360" w:lineRule="auto"/>
        <w:jc w:val="both"/>
        <w:rPr>
          <w:rFonts w:ascii="Book Antiqua" w:hAnsi="Book Antiqua"/>
          <w:szCs w:val="24"/>
        </w:rPr>
      </w:pPr>
    </w:p>
    <w:sectPr w:rsidR="009070AE" w:rsidRPr="00662272" w:rsidSect="00AF039B">
      <w:footerReference w:type="even"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4C" w:rsidRDefault="00EA614C">
      <w:r>
        <w:separator/>
      </w:r>
    </w:p>
  </w:endnote>
  <w:endnote w:type="continuationSeparator" w:id="0">
    <w:p w:rsidR="00EA614C" w:rsidRDefault="00EA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AE" w:rsidRDefault="009070AE" w:rsidP="00FE36E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0AE" w:rsidRDefault="009070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4C" w:rsidRDefault="00EA614C">
      <w:r>
        <w:separator/>
      </w:r>
    </w:p>
  </w:footnote>
  <w:footnote w:type="continuationSeparator" w:id="0">
    <w:p w:rsidR="00EA614C" w:rsidRDefault="00EA6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8BF"/>
    <w:multiLevelType w:val="hybridMultilevel"/>
    <w:tmpl w:val="83A6F65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15:restartNumberingAfterBreak="0">
    <w:nsid w:val="2B447999"/>
    <w:multiLevelType w:val="hybridMultilevel"/>
    <w:tmpl w:val="18CEF0FC"/>
    <w:lvl w:ilvl="0" w:tplc="556A49A8">
      <w:start w:val="1"/>
      <w:numFmt w:val="upperRoman"/>
      <w:lvlText w:val="%1."/>
      <w:lvlJc w:val="left"/>
      <w:pPr>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15:restartNumberingAfterBreak="0">
    <w:nsid w:val="33B7385B"/>
    <w:multiLevelType w:val="hybridMultilevel"/>
    <w:tmpl w:val="0C4C3268"/>
    <w:lvl w:ilvl="0" w:tplc="BBD2D5AE">
      <w:start w:val="1"/>
      <w:numFmt w:val="decimal"/>
      <w:lvlText w:val="%1."/>
      <w:lvlJc w:val="left"/>
      <w:pPr>
        <w:ind w:left="740" w:hanging="38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15:restartNumberingAfterBreak="0">
    <w:nsid w:val="3BC41F11"/>
    <w:multiLevelType w:val="hybridMultilevel"/>
    <w:tmpl w:val="AC34E50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15:restartNumberingAfterBreak="0">
    <w:nsid w:val="47BD6BC5"/>
    <w:multiLevelType w:val="hybridMultilevel"/>
    <w:tmpl w:val="0238899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15:restartNumberingAfterBreak="0">
    <w:nsid w:val="4B571B88"/>
    <w:multiLevelType w:val="hybridMultilevel"/>
    <w:tmpl w:val="4A6226A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62B33C82"/>
    <w:multiLevelType w:val="hybridMultilevel"/>
    <w:tmpl w:val="B62A19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15:restartNumberingAfterBreak="0">
    <w:nsid w:val="76CD5C8A"/>
    <w:multiLevelType w:val="hybridMultilevel"/>
    <w:tmpl w:val="C420AECC"/>
    <w:lvl w:ilvl="0" w:tplc="53903B2E">
      <w:start w:val="1"/>
      <w:numFmt w:val="decimal"/>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CAF"/>
    <w:rsid w:val="000122F9"/>
    <w:rsid w:val="00020055"/>
    <w:rsid w:val="00020540"/>
    <w:rsid w:val="000237D5"/>
    <w:rsid w:val="00024E6D"/>
    <w:rsid w:val="00034629"/>
    <w:rsid w:val="00052EFC"/>
    <w:rsid w:val="000534D6"/>
    <w:rsid w:val="00055B81"/>
    <w:rsid w:val="000563F4"/>
    <w:rsid w:val="000572EC"/>
    <w:rsid w:val="00057BE8"/>
    <w:rsid w:val="00060B2D"/>
    <w:rsid w:val="000730B2"/>
    <w:rsid w:val="000751DE"/>
    <w:rsid w:val="00075B81"/>
    <w:rsid w:val="00080339"/>
    <w:rsid w:val="00080568"/>
    <w:rsid w:val="00085936"/>
    <w:rsid w:val="000A4F71"/>
    <w:rsid w:val="000C5016"/>
    <w:rsid w:val="000C5341"/>
    <w:rsid w:val="000C778F"/>
    <w:rsid w:val="000E15E5"/>
    <w:rsid w:val="000F54E5"/>
    <w:rsid w:val="00103054"/>
    <w:rsid w:val="001218F7"/>
    <w:rsid w:val="00123A3C"/>
    <w:rsid w:val="00125296"/>
    <w:rsid w:val="0012743F"/>
    <w:rsid w:val="0013022C"/>
    <w:rsid w:val="0013385F"/>
    <w:rsid w:val="001354B6"/>
    <w:rsid w:val="00144B43"/>
    <w:rsid w:val="00146C8A"/>
    <w:rsid w:val="001529C0"/>
    <w:rsid w:val="00154C60"/>
    <w:rsid w:val="001566D2"/>
    <w:rsid w:val="00157F91"/>
    <w:rsid w:val="00160099"/>
    <w:rsid w:val="00162967"/>
    <w:rsid w:val="0017164F"/>
    <w:rsid w:val="00176F60"/>
    <w:rsid w:val="0017732A"/>
    <w:rsid w:val="00180321"/>
    <w:rsid w:val="00183A0C"/>
    <w:rsid w:val="00184279"/>
    <w:rsid w:val="00186592"/>
    <w:rsid w:val="001962E1"/>
    <w:rsid w:val="001B00F1"/>
    <w:rsid w:val="001B4E4E"/>
    <w:rsid w:val="001C620F"/>
    <w:rsid w:val="001E01C1"/>
    <w:rsid w:val="0020307D"/>
    <w:rsid w:val="00205AB6"/>
    <w:rsid w:val="0020696B"/>
    <w:rsid w:val="0021400E"/>
    <w:rsid w:val="00220968"/>
    <w:rsid w:val="002245A2"/>
    <w:rsid w:val="00242453"/>
    <w:rsid w:val="00254A18"/>
    <w:rsid w:val="002606CE"/>
    <w:rsid w:val="00264CA5"/>
    <w:rsid w:val="002662A1"/>
    <w:rsid w:val="00271882"/>
    <w:rsid w:val="00275D02"/>
    <w:rsid w:val="00275F79"/>
    <w:rsid w:val="00292E9B"/>
    <w:rsid w:val="002A10A4"/>
    <w:rsid w:val="002A4207"/>
    <w:rsid w:val="002B0917"/>
    <w:rsid w:val="002C13B5"/>
    <w:rsid w:val="002D2827"/>
    <w:rsid w:val="002E1DF9"/>
    <w:rsid w:val="002F2F6B"/>
    <w:rsid w:val="002F7ADA"/>
    <w:rsid w:val="00311386"/>
    <w:rsid w:val="00313018"/>
    <w:rsid w:val="00320A70"/>
    <w:rsid w:val="0033304C"/>
    <w:rsid w:val="00340AC7"/>
    <w:rsid w:val="00352717"/>
    <w:rsid w:val="00352C95"/>
    <w:rsid w:val="003554A0"/>
    <w:rsid w:val="00360120"/>
    <w:rsid w:val="00361A59"/>
    <w:rsid w:val="00366843"/>
    <w:rsid w:val="00372DF0"/>
    <w:rsid w:val="00374B45"/>
    <w:rsid w:val="00375DC0"/>
    <w:rsid w:val="003823D4"/>
    <w:rsid w:val="00397277"/>
    <w:rsid w:val="003A16C6"/>
    <w:rsid w:val="003A4178"/>
    <w:rsid w:val="003B2483"/>
    <w:rsid w:val="003C1B70"/>
    <w:rsid w:val="003C287F"/>
    <w:rsid w:val="003E189D"/>
    <w:rsid w:val="003E25B6"/>
    <w:rsid w:val="003E2E33"/>
    <w:rsid w:val="003E2F6A"/>
    <w:rsid w:val="003E3D55"/>
    <w:rsid w:val="003E4869"/>
    <w:rsid w:val="003E5E29"/>
    <w:rsid w:val="003E7534"/>
    <w:rsid w:val="003F4549"/>
    <w:rsid w:val="003F7171"/>
    <w:rsid w:val="00402434"/>
    <w:rsid w:val="00402DA4"/>
    <w:rsid w:val="00404E6D"/>
    <w:rsid w:val="00412772"/>
    <w:rsid w:val="00424232"/>
    <w:rsid w:val="00433D6D"/>
    <w:rsid w:val="00441F66"/>
    <w:rsid w:val="00444E8C"/>
    <w:rsid w:val="004557FD"/>
    <w:rsid w:val="00461701"/>
    <w:rsid w:val="00463BDD"/>
    <w:rsid w:val="004642B9"/>
    <w:rsid w:val="0047245E"/>
    <w:rsid w:val="00474EC1"/>
    <w:rsid w:val="004832C0"/>
    <w:rsid w:val="004979C6"/>
    <w:rsid w:val="004A220D"/>
    <w:rsid w:val="004B0987"/>
    <w:rsid w:val="004B2794"/>
    <w:rsid w:val="004B60C6"/>
    <w:rsid w:val="004B61D9"/>
    <w:rsid w:val="004B6269"/>
    <w:rsid w:val="004B6898"/>
    <w:rsid w:val="004C052F"/>
    <w:rsid w:val="004C0A1F"/>
    <w:rsid w:val="004C49D5"/>
    <w:rsid w:val="004D0D48"/>
    <w:rsid w:val="004E0AE3"/>
    <w:rsid w:val="004E3045"/>
    <w:rsid w:val="004F57AD"/>
    <w:rsid w:val="004F7EAB"/>
    <w:rsid w:val="004F7FEC"/>
    <w:rsid w:val="0051253D"/>
    <w:rsid w:val="005178AE"/>
    <w:rsid w:val="00517B40"/>
    <w:rsid w:val="00522CBD"/>
    <w:rsid w:val="00523EB2"/>
    <w:rsid w:val="00531861"/>
    <w:rsid w:val="005505F3"/>
    <w:rsid w:val="00555A79"/>
    <w:rsid w:val="00563749"/>
    <w:rsid w:val="00565412"/>
    <w:rsid w:val="005659B3"/>
    <w:rsid w:val="00570D09"/>
    <w:rsid w:val="0057506B"/>
    <w:rsid w:val="00576AA6"/>
    <w:rsid w:val="00581235"/>
    <w:rsid w:val="005816CF"/>
    <w:rsid w:val="00584C15"/>
    <w:rsid w:val="00595EB8"/>
    <w:rsid w:val="005A26DE"/>
    <w:rsid w:val="005A5F84"/>
    <w:rsid w:val="005B5AAA"/>
    <w:rsid w:val="005C3266"/>
    <w:rsid w:val="005C692D"/>
    <w:rsid w:val="005D057F"/>
    <w:rsid w:val="005F19E0"/>
    <w:rsid w:val="005F258D"/>
    <w:rsid w:val="005F6F9F"/>
    <w:rsid w:val="005F7C04"/>
    <w:rsid w:val="006110CE"/>
    <w:rsid w:val="006124AB"/>
    <w:rsid w:val="00613678"/>
    <w:rsid w:val="00614225"/>
    <w:rsid w:val="006246A4"/>
    <w:rsid w:val="006249E8"/>
    <w:rsid w:val="006309A6"/>
    <w:rsid w:val="006315A5"/>
    <w:rsid w:val="0063212A"/>
    <w:rsid w:val="0063638F"/>
    <w:rsid w:val="00640329"/>
    <w:rsid w:val="00640EFF"/>
    <w:rsid w:val="00642BEA"/>
    <w:rsid w:val="00642F2D"/>
    <w:rsid w:val="006458D1"/>
    <w:rsid w:val="006475E1"/>
    <w:rsid w:val="00660091"/>
    <w:rsid w:val="0066224C"/>
    <w:rsid w:val="00662272"/>
    <w:rsid w:val="00671851"/>
    <w:rsid w:val="00672029"/>
    <w:rsid w:val="006720AB"/>
    <w:rsid w:val="00672106"/>
    <w:rsid w:val="00672F63"/>
    <w:rsid w:val="00673FBF"/>
    <w:rsid w:val="006923F5"/>
    <w:rsid w:val="0069530A"/>
    <w:rsid w:val="00695B43"/>
    <w:rsid w:val="006A175D"/>
    <w:rsid w:val="006B01B2"/>
    <w:rsid w:val="006B0CDD"/>
    <w:rsid w:val="006B29F0"/>
    <w:rsid w:val="006B2C18"/>
    <w:rsid w:val="006B7503"/>
    <w:rsid w:val="006B79E1"/>
    <w:rsid w:val="006C33CA"/>
    <w:rsid w:val="006C7592"/>
    <w:rsid w:val="006D0CCE"/>
    <w:rsid w:val="006D1C00"/>
    <w:rsid w:val="006D22B7"/>
    <w:rsid w:val="006D2B94"/>
    <w:rsid w:val="006D301A"/>
    <w:rsid w:val="006D3C9F"/>
    <w:rsid w:val="006D7A34"/>
    <w:rsid w:val="006D7AF6"/>
    <w:rsid w:val="006E24A5"/>
    <w:rsid w:val="006E59D3"/>
    <w:rsid w:val="006E7CAF"/>
    <w:rsid w:val="006F2067"/>
    <w:rsid w:val="006F3D45"/>
    <w:rsid w:val="006F5475"/>
    <w:rsid w:val="0070181F"/>
    <w:rsid w:val="00704034"/>
    <w:rsid w:val="00706F69"/>
    <w:rsid w:val="00721606"/>
    <w:rsid w:val="007239BB"/>
    <w:rsid w:val="007244DB"/>
    <w:rsid w:val="007316EB"/>
    <w:rsid w:val="00743B41"/>
    <w:rsid w:val="0074560B"/>
    <w:rsid w:val="00746938"/>
    <w:rsid w:val="00754451"/>
    <w:rsid w:val="00761C99"/>
    <w:rsid w:val="00783269"/>
    <w:rsid w:val="00792AD2"/>
    <w:rsid w:val="007939FF"/>
    <w:rsid w:val="007949A3"/>
    <w:rsid w:val="007A07BB"/>
    <w:rsid w:val="007A3593"/>
    <w:rsid w:val="007A634E"/>
    <w:rsid w:val="007B0E9B"/>
    <w:rsid w:val="007B51BD"/>
    <w:rsid w:val="007B65B3"/>
    <w:rsid w:val="007B7035"/>
    <w:rsid w:val="007C4805"/>
    <w:rsid w:val="007C5F69"/>
    <w:rsid w:val="007D372F"/>
    <w:rsid w:val="007E0D44"/>
    <w:rsid w:val="007E7DA4"/>
    <w:rsid w:val="007F1AF2"/>
    <w:rsid w:val="007F2DEB"/>
    <w:rsid w:val="00801D63"/>
    <w:rsid w:val="00804A03"/>
    <w:rsid w:val="00811879"/>
    <w:rsid w:val="00817929"/>
    <w:rsid w:val="00817C6C"/>
    <w:rsid w:val="008211AD"/>
    <w:rsid w:val="0082132B"/>
    <w:rsid w:val="00824CDF"/>
    <w:rsid w:val="0082711E"/>
    <w:rsid w:val="008302C6"/>
    <w:rsid w:val="008361D7"/>
    <w:rsid w:val="008467D4"/>
    <w:rsid w:val="00850C49"/>
    <w:rsid w:val="008510D5"/>
    <w:rsid w:val="008532DB"/>
    <w:rsid w:val="00853E32"/>
    <w:rsid w:val="00862629"/>
    <w:rsid w:val="00881167"/>
    <w:rsid w:val="00882454"/>
    <w:rsid w:val="008834E0"/>
    <w:rsid w:val="00885A92"/>
    <w:rsid w:val="00891E9E"/>
    <w:rsid w:val="008A092F"/>
    <w:rsid w:val="008B7338"/>
    <w:rsid w:val="008C1C7C"/>
    <w:rsid w:val="008C35DC"/>
    <w:rsid w:val="008C3AD9"/>
    <w:rsid w:val="008C59C0"/>
    <w:rsid w:val="008E50B1"/>
    <w:rsid w:val="008E5212"/>
    <w:rsid w:val="008F6E0D"/>
    <w:rsid w:val="009061FF"/>
    <w:rsid w:val="009070AE"/>
    <w:rsid w:val="00914987"/>
    <w:rsid w:val="00927634"/>
    <w:rsid w:val="00930B10"/>
    <w:rsid w:val="00936976"/>
    <w:rsid w:val="00952952"/>
    <w:rsid w:val="0095713A"/>
    <w:rsid w:val="009640C5"/>
    <w:rsid w:val="00966F0E"/>
    <w:rsid w:val="00973B51"/>
    <w:rsid w:val="0097710C"/>
    <w:rsid w:val="00984CD8"/>
    <w:rsid w:val="00984FE7"/>
    <w:rsid w:val="00987617"/>
    <w:rsid w:val="009927E7"/>
    <w:rsid w:val="009A1C6C"/>
    <w:rsid w:val="009A2AF0"/>
    <w:rsid w:val="009A3A46"/>
    <w:rsid w:val="009B0BA5"/>
    <w:rsid w:val="009C7CDA"/>
    <w:rsid w:val="00A0275B"/>
    <w:rsid w:val="00A077B5"/>
    <w:rsid w:val="00A1747E"/>
    <w:rsid w:val="00A40418"/>
    <w:rsid w:val="00A41E2B"/>
    <w:rsid w:val="00A571A3"/>
    <w:rsid w:val="00A62DE0"/>
    <w:rsid w:val="00A65ECE"/>
    <w:rsid w:val="00A73A57"/>
    <w:rsid w:val="00A75306"/>
    <w:rsid w:val="00A754F2"/>
    <w:rsid w:val="00A77889"/>
    <w:rsid w:val="00A87BE3"/>
    <w:rsid w:val="00A97DB5"/>
    <w:rsid w:val="00AB4478"/>
    <w:rsid w:val="00AC1A19"/>
    <w:rsid w:val="00AD0F4E"/>
    <w:rsid w:val="00AD7717"/>
    <w:rsid w:val="00AE13B9"/>
    <w:rsid w:val="00AE175D"/>
    <w:rsid w:val="00AE63E6"/>
    <w:rsid w:val="00AF039B"/>
    <w:rsid w:val="00B020E8"/>
    <w:rsid w:val="00B03D1E"/>
    <w:rsid w:val="00B05423"/>
    <w:rsid w:val="00B10748"/>
    <w:rsid w:val="00B10973"/>
    <w:rsid w:val="00B1588C"/>
    <w:rsid w:val="00B15B50"/>
    <w:rsid w:val="00B2088D"/>
    <w:rsid w:val="00B2581D"/>
    <w:rsid w:val="00B37F8A"/>
    <w:rsid w:val="00B43D87"/>
    <w:rsid w:val="00B57B17"/>
    <w:rsid w:val="00B61337"/>
    <w:rsid w:val="00B71C3E"/>
    <w:rsid w:val="00B774A9"/>
    <w:rsid w:val="00B84FC0"/>
    <w:rsid w:val="00B86097"/>
    <w:rsid w:val="00B925D7"/>
    <w:rsid w:val="00BA08E9"/>
    <w:rsid w:val="00BA31F4"/>
    <w:rsid w:val="00BA5502"/>
    <w:rsid w:val="00BA6CBD"/>
    <w:rsid w:val="00BB064E"/>
    <w:rsid w:val="00BC3015"/>
    <w:rsid w:val="00BC34FE"/>
    <w:rsid w:val="00BC7F6B"/>
    <w:rsid w:val="00BD01E5"/>
    <w:rsid w:val="00BD18C9"/>
    <w:rsid w:val="00BD4251"/>
    <w:rsid w:val="00BD44BE"/>
    <w:rsid w:val="00BD7581"/>
    <w:rsid w:val="00BE258F"/>
    <w:rsid w:val="00BE28E5"/>
    <w:rsid w:val="00BE66EC"/>
    <w:rsid w:val="00BE759F"/>
    <w:rsid w:val="00BF0815"/>
    <w:rsid w:val="00BF2CE0"/>
    <w:rsid w:val="00BF3205"/>
    <w:rsid w:val="00BF3655"/>
    <w:rsid w:val="00C011AF"/>
    <w:rsid w:val="00C04ECB"/>
    <w:rsid w:val="00C0548C"/>
    <w:rsid w:val="00C07C6E"/>
    <w:rsid w:val="00C208E3"/>
    <w:rsid w:val="00C22CE6"/>
    <w:rsid w:val="00C22D37"/>
    <w:rsid w:val="00C25D6B"/>
    <w:rsid w:val="00C273C0"/>
    <w:rsid w:val="00C32FF3"/>
    <w:rsid w:val="00C37DBF"/>
    <w:rsid w:val="00C46530"/>
    <w:rsid w:val="00C52413"/>
    <w:rsid w:val="00C54B9E"/>
    <w:rsid w:val="00C554FE"/>
    <w:rsid w:val="00C57AAB"/>
    <w:rsid w:val="00C609DA"/>
    <w:rsid w:val="00C649A9"/>
    <w:rsid w:val="00C67091"/>
    <w:rsid w:val="00C71E2A"/>
    <w:rsid w:val="00C72F7D"/>
    <w:rsid w:val="00C7480F"/>
    <w:rsid w:val="00C7737C"/>
    <w:rsid w:val="00C82C75"/>
    <w:rsid w:val="00CB0CAF"/>
    <w:rsid w:val="00CB389D"/>
    <w:rsid w:val="00CB715D"/>
    <w:rsid w:val="00CB72FF"/>
    <w:rsid w:val="00CC1CD2"/>
    <w:rsid w:val="00CC485F"/>
    <w:rsid w:val="00CC4BEC"/>
    <w:rsid w:val="00CE04C2"/>
    <w:rsid w:val="00CE2843"/>
    <w:rsid w:val="00CE3A28"/>
    <w:rsid w:val="00CF4AF1"/>
    <w:rsid w:val="00CF621A"/>
    <w:rsid w:val="00D05FD2"/>
    <w:rsid w:val="00D163AA"/>
    <w:rsid w:val="00D22C40"/>
    <w:rsid w:val="00D271CD"/>
    <w:rsid w:val="00D37FA4"/>
    <w:rsid w:val="00D44A37"/>
    <w:rsid w:val="00D47D4B"/>
    <w:rsid w:val="00D57007"/>
    <w:rsid w:val="00D571DC"/>
    <w:rsid w:val="00D575AA"/>
    <w:rsid w:val="00D63F79"/>
    <w:rsid w:val="00D70AE6"/>
    <w:rsid w:val="00D75367"/>
    <w:rsid w:val="00D80504"/>
    <w:rsid w:val="00D83DC8"/>
    <w:rsid w:val="00D84E24"/>
    <w:rsid w:val="00DA1A52"/>
    <w:rsid w:val="00DA41A5"/>
    <w:rsid w:val="00DA4EA1"/>
    <w:rsid w:val="00DA50A5"/>
    <w:rsid w:val="00DC76AD"/>
    <w:rsid w:val="00DE61F6"/>
    <w:rsid w:val="00DF0B92"/>
    <w:rsid w:val="00DF32AF"/>
    <w:rsid w:val="00DF37A8"/>
    <w:rsid w:val="00DF7230"/>
    <w:rsid w:val="00DF797A"/>
    <w:rsid w:val="00E0180B"/>
    <w:rsid w:val="00E04F1B"/>
    <w:rsid w:val="00E0563A"/>
    <w:rsid w:val="00E06C8D"/>
    <w:rsid w:val="00E212E7"/>
    <w:rsid w:val="00E2311C"/>
    <w:rsid w:val="00E26E3F"/>
    <w:rsid w:val="00E31F7B"/>
    <w:rsid w:val="00E32A77"/>
    <w:rsid w:val="00E36A1B"/>
    <w:rsid w:val="00E502FE"/>
    <w:rsid w:val="00E50507"/>
    <w:rsid w:val="00E51199"/>
    <w:rsid w:val="00E57222"/>
    <w:rsid w:val="00E72B81"/>
    <w:rsid w:val="00E74A9B"/>
    <w:rsid w:val="00E75319"/>
    <w:rsid w:val="00E774EA"/>
    <w:rsid w:val="00E80281"/>
    <w:rsid w:val="00E8250F"/>
    <w:rsid w:val="00E838EA"/>
    <w:rsid w:val="00E9428E"/>
    <w:rsid w:val="00EA0153"/>
    <w:rsid w:val="00EA614C"/>
    <w:rsid w:val="00EB2032"/>
    <w:rsid w:val="00EC0B51"/>
    <w:rsid w:val="00ED205C"/>
    <w:rsid w:val="00ED3B88"/>
    <w:rsid w:val="00EE4E95"/>
    <w:rsid w:val="00EE5FB1"/>
    <w:rsid w:val="00EF05C5"/>
    <w:rsid w:val="00F01838"/>
    <w:rsid w:val="00F05B87"/>
    <w:rsid w:val="00F115C4"/>
    <w:rsid w:val="00F169FC"/>
    <w:rsid w:val="00F21A59"/>
    <w:rsid w:val="00F23F7E"/>
    <w:rsid w:val="00F24EC7"/>
    <w:rsid w:val="00F2539A"/>
    <w:rsid w:val="00F2789B"/>
    <w:rsid w:val="00F34CE5"/>
    <w:rsid w:val="00F36692"/>
    <w:rsid w:val="00F44A44"/>
    <w:rsid w:val="00F52358"/>
    <w:rsid w:val="00F5480F"/>
    <w:rsid w:val="00F5736C"/>
    <w:rsid w:val="00F606C7"/>
    <w:rsid w:val="00F70D7B"/>
    <w:rsid w:val="00F74EB6"/>
    <w:rsid w:val="00F77CAB"/>
    <w:rsid w:val="00F81782"/>
    <w:rsid w:val="00F82634"/>
    <w:rsid w:val="00F910CE"/>
    <w:rsid w:val="00F91885"/>
    <w:rsid w:val="00F94C54"/>
    <w:rsid w:val="00FA0455"/>
    <w:rsid w:val="00FA4B77"/>
    <w:rsid w:val="00FA58A1"/>
    <w:rsid w:val="00FC410D"/>
    <w:rsid w:val="00FD04DD"/>
    <w:rsid w:val="00FD0A5E"/>
    <w:rsid w:val="00FD1635"/>
    <w:rsid w:val="00FD1D00"/>
    <w:rsid w:val="00FD3079"/>
    <w:rsid w:val="00FE00DE"/>
    <w:rsid w:val="00FE0B3B"/>
    <w:rsid w:val="00FE11F1"/>
    <w:rsid w:val="00FE32A7"/>
    <w:rsid w:val="00FE36E2"/>
    <w:rsid w:val="00FE7CF1"/>
    <w:rsid w:val="00FF0C5C"/>
    <w:rsid w:val="00FF479F"/>
    <w:rsid w:val="00FF4FE5"/>
    <w:rsid w:val="00FF5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AED0319-E205-4275-9095-60A31210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9B"/>
    <w:pPr>
      <w:spacing w:after="160" w:line="259" w:lineRule="auto"/>
    </w:pPr>
    <w:rPr>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CB0CA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CB0CAF"/>
    <w:rPr>
      <w:rFonts w:ascii="Segoe UI" w:hAnsi="Segoe UI" w:cs="Segoe UI"/>
      <w:sz w:val="18"/>
      <w:szCs w:val="18"/>
    </w:rPr>
  </w:style>
  <w:style w:type="character" w:styleId="Refdecomentario">
    <w:name w:val="annotation reference"/>
    <w:uiPriority w:val="99"/>
    <w:semiHidden/>
    <w:rsid w:val="00F910CE"/>
    <w:rPr>
      <w:rFonts w:cs="Times New Roman"/>
      <w:sz w:val="16"/>
      <w:szCs w:val="16"/>
    </w:rPr>
  </w:style>
  <w:style w:type="paragraph" w:styleId="Textocomentario">
    <w:name w:val="annotation text"/>
    <w:basedOn w:val="Normal"/>
    <w:link w:val="TextocomentarioCar"/>
    <w:uiPriority w:val="99"/>
    <w:semiHidden/>
    <w:rsid w:val="00F910CE"/>
    <w:rPr>
      <w:sz w:val="20"/>
      <w:szCs w:val="20"/>
    </w:rPr>
  </w:style>
  <w:style w:type="character" w:customStyle="1" w:styleId="TextocomentarioCar">
    <w:name w:val="Texto comentario Car"/>
    <w:link w:val="Textocomentario"/>
    <w:uiPriority w:val="99"/>
    <w:semiHidden/>
    <w:locked/>
    <w:rsid w:val="00783269"/>
    <w:rPr>
      <w:rFonts w:cs="Times New Roman"/>
      <w:sz w:val="20"/>
      <w:szCs w:val="20"/>
      <w:lang w:val="es-CL" w:eastAsia="en-US"/>
    </w:rPr>
  </w:style>
  <w:style w:type="paragraph" w:styleId="Asuntodelcomentario">
    <w:name w:val="annotation subject"/>
    <w:basedOn w:val="Textocomentario"/>
    <w:next w:val="Textocomentario"/>
    <w:link w:val="AsuntodelcomentarioCar"/>
    <w:uiPriority w:val="99"/>
    <w:semiHidden/>
    <w:rsid w:val="00F910CE"/>
    <w:rPr>
      <w:b/>
      <w:bCs/>
    </w:rPr>
  </w:style>
  <w:style w:type="character" w:customStyle="1" w:styleId="AsuntodelcomentarioCar">
    <w:name w:val="Asunto del comentario Car"/>
    <w:link w:val="Asuntodelcomentario"/>
    <w:uiPriority w:val="99"/>
    <w:semiHidden/>
    <w:locked/>
    <w:rsid w:val="00783269"/>
    <w:rPr>
      <w:rFonts w:cs="Times New Roman"/>
      <w:b/>
      <w:bCs/>
      <w:sz w:val="20"/>
      <w:szCs w:val="20"/>
      <w:lang w:val="es-CL" w:eastAsia="en-US"/>
    </w:rPr>
  </w:style>
  <w:style w:type="paragraph" w:customStyle="1" w:styleId="Prrafodelista1">
    <w:name w:val="Párrafo de lista1"/>
    <w:basedOn w:val="Normal"/>
    <w:uiPriority w:val="99"/>
    <w:rsid w:val="006309A6"/>
    <w:pPr>
      <w:spacing w:after="0" w:line="240" w:lineRule="auto"/>
      <w:ind w:left="720"/>
      <w:contextualSpacing/>
    </w:pPr>
    <w:rPr>
      <w:rFonts w:ascii="Cambria" w:eastAsia="MS Mincho" w:hAnsi="Cambria"/>
      <w:szCs w:val="24"/>
      <w:lang w:val="es-ES_tradnl" w:eastAsia="es-ES"/>
    </w:rPr>
  </w:style>
  <w:style w:type="character" w:styleId="Hipervnculo">
    <w:name w:val="Hyperlink"/>
    <w:uiPriority w:val="99"/>
    <w:rsid w:val="006309A6"/>
    <w:rPr>
      <w:rFonts w:cs="Times New Roman"/>
      <w:color w:val="0000FF"/>
      <w:u w:val="single"/>
    </w:rPr>
  </w:style>
  <w:style w:type="paragraph" w:styleId="HTMLconformatoprevio">
    <w:name w:val="HTML Preformatted"/>
    <w:basedOn w:val="Normal"/>
    <w:link w:val="HTMLconformatoprevioCar"/>
    <w:uiPriority w:val="99"/>
    <w:rsid w:val="0063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link w:val="HTMLconformatoprevio"/>
    <w:uiPriority w:val="99"/>
    <w:semiHidden/>
    <w:locked/>
    <w:rPr>
      <w:rFonts w:ascii="Courier New" w:hAnsi="Courier New" w:cs="Courier New"/>
      <w:sz w:val="20"/>
      <w:szCs w:val="20"/>
      <w:lang w:val="es-CL" w:eastAsia="en-US"/>
    </w:rPr>
  </w:style>
  <w:style w:type="table" w:styleId="Tablaconcuadrcula">
    <w:name w:val="Table Grid"/>
    <w:basedOn w:val="Tablanormal"/>
    <w:uiPriority w:val="99"/>
    <w:locked/>
    <w:rsid w:val="00614225"/>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44A37"/>
    <w:pPr>
      <w:tabs>
        <w:tab w:val="center" w:pos="4252"/>
        <w:tab w:val="right" w:pos="8504"/>
      </w:tabs>
    </w:pPr>
  </w:style>
  <w:style w:type="character" w:customStyle="1" w:styleId="PiedepginaCar">
    <w:name w:val="Pie de página Car"/>
    <w:link w:val="Piedepgina"/>
    <w:uiPriority w:val="99"/>
    <w:semiHidden/>
    <w:rsid w:val="005F4DBE"/>
    <w:rPr>
      <w:sz w:val="24"/>
      <w:lang w:val="es-CL" w:eastAsia="en-US"/>
    </w:rPr>
  </w:style>
  <w:style w:type="character" w:styleId="Nmerodepgina">
    <w:name w:val="page number"/>
    <w:uiPriority w:val="99"/>
    <w:rsid w:val="00D44A37"/>
    <w:rPr>
      <w:rFonts w:cs="Times New Roman"/>
    </w:rPr>
  </w:style>
  <w:style w:type="paragraph" w:styleId="Encabezado">
    <w:name w:val="header"/>
    <w:basedOn w:val="Normal"/>
    <w:link w:val="EncabezadoCar"/>
    <w:uiPriority w:val="99"/>
    <w:unhideWhenUsed/>
    <w:rsid w:val="007949A3"/>
    <w:pPr>
      <w:tabs>
        <w:tab w:val="center" w:pos="4419"/>
        <w:tab w:val="right" w:pos="8838"/>
      </w:tabs>
    </w:pPr>
  </w:style>
  <w:style w:type="character" w:customStyle="1" w:styleId="EncabezadoCar">
    <w:name w:val="Encabezado Car"/>
    <w:link w:val="Encabezado"/>
    <w:uiPriority w:val="99"/>
    <w:rsid w:val="007949A3"/>
    <w:rPr>
      <w:sz w:val="24"/>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34267">
      <w:marLeft w:val="0"/>
      <w:marRight w:val="0"/>
      <w:marTop w:val="0"/>
      <w:marBottom w:val="0"/>
      <w:divBdr>
        <w:top w:val="none" w:sz="0" w:space="0" w:color="auto"/>
        <w:left w:val="none" w:sz="0" w:space="0" w:color="auto"/>
        <w:bottom w:val="none" w:sz="0" w:space="0" w:color="auto"/>
        <w:right w:val="none" w:sz="0" w:space="0" w:color="auto"/>
      </w:divBdr>
    </w:div>
    <w:div w:id="849834268">
      <w:marLeft w:val="0"/>
      <w:marRight w:val="0"/>
      <w:marTop w:val="0"/>
      <w:marBottom w:val="0"/>
      <w:divBdr>
        <w:top w:val="none" w:sz="0" w:space="0" w:color="auto"/>
        <w:left w:val="none" w:sz="0" w:space="0" w:color="auto"/>
        <w:bottom w:val="none" w:sz="0" w:space="0" w:color="auto"/>
        <w:right w:val="none" w:sz="0" w:space="0" w:color="auto"/>
      </w:divBdr>
    </w:div>
    <w:div w:id="849834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index.php?mo=tramitacion&amp;ac=getDocto&amp;iddocto=17101&amp;tipodoc=info" TargetMode="External"/><Relationship Id="rId13" Type="http://schemas.openxmlformats.org/officeDocument/2006/relationships/hyperlink" Target="http://www.senado.cl/appsenado/index.php?mo=tramitacion&amp;ac=getDocto&amp;iddocto=17103&amp;tipodoc=info" TargetMode="External"/><Relationship Id="rId18" Type="http://schemas.openxmlformats.org/officeDocument/2006/relationships/hyperlink" Target="http://www.senado.cl/appsenado/index.php?mo=tramitacion&amp;ac=getDocto&amp;iddocto=17112&amp;tipodoc=info" TargetMode="External"/><Relationship Id="rId26" Type="http://schemas.openxmlformats.org/officeDocument/2006/relationships/hyperlink" Target="http://www.senado.cl/appsenado/index.php?mo=tramitacion&amp;ac=getDocto&amp;iddocto=17169&amp;tipodoc=info" TargetMode="External"/><Relationship Id="rId3" Type="http://schemas.openxmlformats.org/officeDocument/2006/relationships/settings" Target="settings.xml"/><Relationship Id="rId21" Type="http://schemas.openxmlformats.org/officeDocument/2006/relationships/hyperlink" Target="http://www.senado.cl/appsenado/index.php?mo=tramitacion&amp;ac=getDocto&amp;iddocto=17115&amp;tipodoc=info" TargetMode="External"/><Relationship Id="rId34" Type="http://schemas.openxmlformats.org/officeDocument/2006/relationships/footer" Target="footer1.xml"/><Relationship Id="rId7" Type="http://schemas.openxmlformats.org/officeDocument/2006/relationships/hyperlink" Target="http://www.senado.cl/appsenado/index.php?mo=tramitacion&amp;ac=getDocto&amp;iddocto=17124&amp;tipodoc=info" TargetMode="External"/><Relationship Id="rId12" Type="http://schemas.openxmlformats.org/officeDocument/2006/relationships/hyperlink" Target="http://www.senado.cl/appsenado/index.php?mo=tramitacion&amp;ac=getDocto&amp;iddocto=17100&amp;tipodoc=info" TargetMode="External"/><Relationship Id="rId17" Type="http://schemas.openxmlformats.org/officeDocument/2006/relationships/hyperlink" Target="http://www.senado.cl/appsenado/index.php?mo=tramitacion&amp;ac=getDocto&amp;iddocto=17125&amp;tipodoc=info" TargetMode="External"/><Relationship Id="rId25" Type="http://schemas.openxmlformats.org/officeDocument/2006/relationships/hyperlink" Target="http://www.senado.cl/appsenado/index.php?mo=tramitacion&amp;ac=getDocto&amp;iddocto=17132&amp;tipodoc=info" TargetMode="External"/><Relationship Id="rId33" Type="http://schemas.openxmlformats.org/officeDocument/2006/relationships/hyperlink" Target="http://www.senado.cl/appsenado/index.php?mo=tramitacion&amp;ac=getDocto&amp;iddocto=17110&amp;tipodoc=info" TargetMode="External"/><Relationship Id="rId2" Type="http://schemas.openxmlformats.org/officeDocument/2006/relationships/styles" Target="styles.xml"/><Relationship Id="rId16" Type="http://schemas.openxmlformats.org/officeDocument/2006/relationships/hyperlink" Target="http://www.senado.cl/appsenado/index.php?mo=tramitacion&amp;ac=getDocto&amp;iddocto=17097&amp;tipodoc=info" TargetMode="External"/><Relationship Id="rId20" Type="http://schemas.openxmlformats.org/officeDocument/2006/relationships/hyperlink" Target="http://www.senado.cl/appsenado/index.php?mo=tramitacion&amp;ac=getDocto&amp;iddocto=17102&amp;tipodoc=info" TargetMode="External"/><Relationship Id="rId29" Type="http://schemas.openxmlformats.org/officeDocument/2006/relationships/hyperlink" Target="http://www.senado.cl/appsenado/index.php?mo=tramitacion&amp;ac=getDocto&amp;iddocto=17128&amp;tipodoc=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do.cl/appsenado/index.php?mo=tramitacion&amp;ac=getDocto&amp;iddocto=17096&amp;tipodoc=info" TargetMode="External"/><Relationship Id="rId24" Type="http://schemas.openxmlformats.org/officeDocument/2006/relationships/hyperlink" Target="http://www.senado.cl/appsenado/index.php?mo=tramitacion&amp;ac=getDocto&amp;iddocto=17130&amp;tipodoc=info" TargetMode="External"/><Relationship Id="rId32" Type="http://schemas.openxmlformats.org/officeDocument/2006/relationships/hyperlink" Target="http://www.senado.cl/appsenado/index.php?mo=tramitacion&amp;ac=getDocto&amp;iddocto=17127&amp;tipodoc=info" TargetMode="External"/><Relationship Id="rId5" Type="http://schemas.openxmlformats.org/officeDocument/2006/relationships/footnotes" Target="footnotes.xml"/><Relationship Id="rId15" Type="http://schemas.openxmlformats.org/officeDocument/2006/relationships/hyperlink" Target="http://www.senado.cl/appsenado/index.php?mo=tramitacion&amp;ac=getDocto&amp;iddocto=17094&amp;tipodoc=info" TargetMode="External"/><Relationship Id="rId23" Type="http://schemas.openxmlformats.org/officeDocument/2006/relationships/hyperlink" Target="http://www.senado.cl/appsenado/index.php?mo=tramitacion&amp;ac=getDocto&amp;iddocto=17109&amp;tipodoc=info" TargetMode="External"/><Relationship Id="rId28" Type="http://schemas.openxmlformats.org/officeDocument/2006/relationships/hyperlink" Target="http://www.senado.cl/appsenado/index.php?mo=tramitacion&amp;ac=getDocto&amp;iddocto=17131&amp;tipodoc=info" TargetMode="External"/><Relationship Id="rId36" Type="http://schemas.openxmlformats.org/officeDocument/2006/relationships/theme" Target="theme/theme1.xml"/><Relationship Id="rId10" Type="http://schemas.openxmlformats.org/officeDocument/2006/relationships/hyperlink" Target="http://www.senado.cl/appsenado/index.php?mo=tramitacion&amp;ac=getDocto&amp;iddocto=17123&amp;tipodoc=info" TargetMode="External"/><Relationship Id="rId19" Type="http://schemas.openxmlformats.org/officeDocument/2006/relationships/hyperlink" Target="http://www.senado.cl/appsenado/index.php?mo=tramitacion&amp;ac=getDocto&amp;iddocto=17113&amp;tipodoc=info" TargetMode="External"/><Relationship Id="rId31" Type="http://schemas.openxmlformats.org/officeDocument/2006/relationships/hyperlink" Target="http://www.senado.cl/appsenado/index.php?mo=tramitacion&amp;ac=getDocto&amp;iddocto=17105&amp;tipodoc=info" TargetMode="External"/><Relationship Id="rId4" Type="http://schemas.openxmlformats.org/officeDocument/2006/relationships/webSettings" Target="webSettings.xml"/><Relationship Id="rId9" Type="http://schemas.openxmlformats.org/officeDocument/2006/relationships/hyperlink" Target="http://www.senado.cl/appsenado/index.php?mo=tramitacion&amp;ac=getDocto&amp;iddocto=17098&amp;tipodoc=info" TargetMode="External"/><Relationship Id="rId14" Type="http://schemas.openxmlformats.org/officeDocument/2006/relationships/hyperlink" Target="http://www.senado.cl/appsenado/index.php?mo=tramitacion&amp;ac=getDocto&amp;iddocto=17095&amp;tipodoc=info" TargetMode="External"/><Relationship Id="rId22" Type="http://schemas.openxmlformats.org/officeDocument/2006/relationships/hyperlink" Target="http://www.senado.cl/appsenado/index.php?mo=tramitacion&amp;ac=getDocto&amp;iddocto=17114&amp;tipodoc=info" TargetMode="External"/><Relationship Id="rId27" Type="http://schemas.openxmlformats.org/officeDocument/2006/relationships/hyperlink" Target="http://www.senado.cl/appsenado/index.php?mo=tramitacion&amp;ac=getDocto&amp;iddocto=17142&amp;tipodoc=info" TargetMode="External"/><Relationship Id="rId30" Type="http://schemas.openxmlformats.org/officeDocument/2006/relationships/hyperlink" Target="http://www.senado.cl/appsenado/index.php?mo=tramitacion&amp;ac=getDocto&amp;iddocto=17104&amp;tipodoc=in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Pilowsky Greene</dc:creator>
  <cp:keywords/>
  <dc:description/>
  <cp:lastModifiedBy>Leonardo Lueiza Ureta</cp:lastModifiedBy>
  <cp:revision>5</cp:revision>
  <cp:lastPrinted>2018-03-08T15:09:00Z</cp:lastPrinted>
  <dcterms:created xsi:type="dcterms:W3CDTF">2018-03-08T15:09:00Z</dcterms:created>
  <dcterms:modified xsi:type="dcterms:W3CDTF">2018-03-13T18:12:00Z</dcterms:modified>
</cp:coreProperties>
</file>