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93" w:rsidRDefault="00A85F2B" w:rsidP="00C27284">
      <w:pPr>
        <w:spacing w:line="360" w:lineRule="auto"/>
        <w:jc w:val="center"/>
        <w:rPr>
          <w:rFonts w:ascii="Book Antiqua" w:hAnsi="Book Antiqua"/>
          <w:b/>
          <w:sz w:val="24"/>
          <w:szCs w:val="24"/>
          <w:lang w:val="es-ES_tradnl"/>
        </w:rPr>
      </w:pPr>
      <w:r w:rsidRPr="00A85F2B">
        <w:rPr>
          <w:rFonts w:ascii="Book Antiqua" w:hAnsi="Book Antiqua"/>
          <w:b/>
          <w:sz w:val="24"/>
          <w:szCs w:val="24"/>
          <w:lang w:val="es-ES_tradnl"/>
        </w:rPr>
        <w:t>Modifica el Código de Justicia Militar en lo que respecta al secreto relativo a las Plantas o dotaciones de las Fuerzas Armadas y Carabineros de Chile</w:t>
      </w:r>
    </w:p>
    <w:p w:rsidR="00A85F2B" w:rsidRPr="00F415D2" w:rsidRDefault="00A85F2B" w:rsidP="00C27284">
      <w:pPr>
        <w:spacing w:line="360" w:lineRule="auto"/>
        <w:jc w:val="center"/>
        <w:rPr>
          <w:rFonts w:ascii="Book Antiqua" w:hAnsi="Book Antiqua"/>
          <w:b/>
          <w:sz w:val="24"/>
          <w:szCs w:val="24"/>
          <w:lang w:val="es-ES_tradnl"/>
        </w:rPr>
      </w:pPr>
      <w:r>
        <w:rPr>
          <w:rFonts w:ascii="Book Antiqua" w:hAnsi="Book Antiqua"/>
          <w:b/>
          <w:sz w:val="24"/>
          <w:szCs w:val="24"/>
          <w:lang w:val="es-ES_tradnl"/>
        </w:rPr>
        <w:t>Boletín N°11630-02</w:t>
      </w:r>
    </w:p>
    <w:p w:rsidR="00391781" w:rsidRPr="00F415D2" w:rsidRDefault="00391781" w:rsidP="00A85F2B">
      <w:pPr>
        <w:spacing w:after="0"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bookmarkStart w:id="0" w:name="_GoBack"/>
      <w:bookmarkEnd w:id="0"/>
    </w:p>
    <w:p w:rsidR="00C33A71" w:rsidRPr="00F415D2" w:rsidRDefault="00C27284" w:rsidP="00F415D2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I.- </w:t>
      </w:r>
      <w:r w:rsidR="00C33A71" w:rsidRPr="00F415D2">
        <w:rPr>
          <w:rFonts w:ascii="Book Antiqua" w:hAnsi="Book Antiqua"/>
          <w:b/>
          <w:sz w:val="24"/>
          <w:szCs w:val="24"/>
          <w:u w:val="single"/>
        </w:rPr>
        <w:t>ANTECEDENTES</w:t>
      </w:r>
    </w:p>
    <w:p w:rsidR="00C84CBA" w:rsidRPr="00F415D2" w:rsidRDefault="00391781" w:rsidP="00F415D2">
      <w:pPr>
        <w:spacing w:line="360" w:lineRule="auto"/>
        <w:jc w:val="both"/>
        <w:rPr>
          <w:rFonts w:ascii="Book Antiqua" w:hAnsi="Book Antiqua"/>
          <w:sz w:val="24"/>
          <w:szCs w:val="24"/>
          <w:lang w:val="es-MX"/>
        </w:rPr>
      </w:pPr>
      <w:r w:rsidRPr="00F415D2">
        <w:rPr>
          <w:rFonts w:ascii="Book Antiqua" w:hAnsi="Book Antiqua"/>
          <w:sz w:val="24"/>
          <w:szCs w:val="24"/>
          <w:lang w:val="es-MX"/>
        </w:rPr>
        <w:t xml:space="preserve">Los temas de la corrupción, probidad y transparencia son </w:t>
      </w:r>
      <w:r w:rsidR="00C84CBA" w:rsidRPr="00F415D2">
        <w:rPr>
          <w:rFonts w:ascii="Book Antiqua" w:hAnsi="Book Antiqua"/>
          <w:sz w:val="24"/>
          <w:szCs w:val="24"/>
          <w:lang w:val="es-MX"/>
        </w:rPr>
        <w:t>frecuentemente recordados por hechos que acontecen en nuestro país</w:t>
      </w:r>
      <w:r w:rsidR="00C27284">
        <w:rPr>
          <w:rFonts w:ascii="Book Antiqua" w:hAnsi="Book Antiqua"/>
          <w:sz w:val="24"/>
          <w:szCs w:val="24"/>
          <w:lang w:val="es-MX"/>
        </w:rPr>
        <w:t xml:space="preserve"> y por ello retornan </w:t>
      </w:r>
      <w:r w:rsidR="00AB6C87">
        <w:rPr>
          <w:rFonts w:ascii="Book Antiqua" w:hAnsi="Book Antiqua"/>
          <w:sz w:val="24"/>
          <w:szCs w:val="24"/>
          <w:lang w:val="es-MX"/>
        </w:rPr>
        <w:t xml:space="preserve">cada cierto tiempo </w:t>
      </w:r>
      <w:r w:rsidR="00C27284">
        <w:rPr>
          <w:rFonts w:ascii="Book Antiqua" w:hAnsi="Book Antiqua"/>
          <w:sz w:val="24"/>
          <w:szCs w:val="24"/>
          <w:lang w:val="es-MX"/>
        </w:rPr>
        <w:t xml:space="preserve">a la agenda pública. </w:t>
      </w:r>
    </w:p>
    <w:p w:rsidR="00391781" w:rsidRPr="00F415D2" w:rsidRDefault="00391781" w:rsidP="00F415D2">
      <w:pPr>
        <w:spacing w:line="360" w:lineRule="auto"/>
        <w:jc w:val="both"/>
        <w:rPr>
          <w:rFonts w:ascii="Book Antiqua" w:hAnsi="Book Antiqua"/>
          <w:sz w:val="24"/>
          <w:szCs w:val="24"/>
          <w:lang w:val="es-MX"/>
        </w:rPr>
      </w:pPr>
      <w:r w:rsidRPr="00F415D2">
        <w:rPr>
          <w:rFonts w:ascii="Book Antiqua" w:hAnsi="Book Antiqua"/>
          <w:sz w:val="24"/>
          <w:szCs w:val="24"/>
          <w:lang w:val="es-MX"/>
        </w:rPr>
        <w:t>Ellos se comenzaron a discutir de manera sistemática</w:t>
      </w:r>
      <w:r w:rsidR="00AB6C87">
        <w:rPr>
          <w:rFonts w:ascii="Book Antiqua" w:hAnsi="Book Antiqua"/>
          <w:sz w:val="24"/>
          <w:szCs w:val="24"/>
          <w:lang w:val="es-MX"/>
        </w:rPr>
        <w:t xml:space="preserve"> -</w:t>
      </w:r>
      <w:r w:rsidRPr="00F415D2">
        <w:rPr>
          <w:rFonts w:ascii="Book Antiqua" w:hAnsi="Book Antiqua"/>
          <w:sz w:val="24"/>
          <w:szCs w:val="24"/>
          <w:lang w:val="es-MX"/>
        </w:rPr>
        <w:t xml:space="preserve"> como políticas públicas</w:t>
      </w:r>
      <w:r w:rsidR="00AB6C87">
        <w:rPr>
          <w:rFonts w:ascii="Book Antiqua" w:hAnsi="Book Antiqua"/>
          <w:sz w:val="24"/>
          <w:szCs w:val="24"/>
          <w:lang w:val="es-MX"/>
        </w:rPr>
        <w:t xml:space="preserve"> -</w:t>
      </w:r>
      <w:r w:rsidRPr="00F415D2">
        <w:rPr>
          <w:rFonts w:ascii="Book Antiqua" w:hAnsi="Book Antiqua"/>
          <w:sz w:val="24"/>
          <w:szCs w:val="24"/>
          <w:lang w:val="es-MX"/>
        </w:rPr>
        <w:t xml:space="preserve"> a partir de la conformación de la Comisión Nacional de Ética Pública (año 1994), instancia de estudio, que bajo el gobierno del Ex Presidente Eduardo Frei Ruiz-Tagle, elaboró una propuesta de políticas públicas e iniciativas legales que contribuyeron a perfeccionar la democracia.</w:t>
      </w:r>
    </w:p>
    <w:p w:rsidR="00F95B9A" w:rsidRPr="00F415D2" w:rsidRDefault="00C27284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s-MX"/>
        </w:rPr>
        <w:t>U</w:t>
      </w:r>
      <w:r w:rsidR="00711A82" w:rsidRPr="00F415D2">
        <w:rPr>
          <w:rFonts w:ascii="Book Antiqua" w:hAnsi="Book Antiqua"/>
          <w:sz w:val="24"/>
          <w:szCs w:val="24"/>
          <w:lang w:val="es-MX"/>
        </w:rPr>
        <w:t xml:space="preserve">no de los avances más importantes que esta materia experimentó </w:t>
      </w:r>
      <w:r>
        <w:rPr>
          <w:rFonts w:ascii="Book Antiqua" w:hAnsi="Book Antiqua"/>
          <w:sz w:val="24"/>
          <w:szCs w:val="24"/>
          <w:lang w:val="es-MX"/>
        </w:rPr>
        <w:t xml:space="preserve">impulsados en parte por la tarea antes señalada, </w:t>
      </w:r>
      <w:r w:rsidR="00711A82" w:rsidRPr="00F415D2">
        <w:rPr>
          <w:rFonts w:ascii="Book Antiqua" w:hAnsi="Book Antiqua"/>
          <w:sz w:val="24"/>
          <w:szCs w:val="24"/>
          <w:lang w:val="es-MX"/>
        </w:rPr>
        <w:t>fue la publicación de la ley</w:t>
      </w:r>
      <w:r>
        <w:rPr>
          <w:rFonts w:ascii="Book Antiqua" w:hAnsi="Book Antiqua"/>
          <w:sz w:val="24"/>
          <w:szCs w:val="24"/>
          <w:lang w:val="es-MX"/>
        </w:rPr>
        <w:t xml:space="preserve"> N°</w:t>
      </w:r>
      <w:r w:rsidR="00711A82" w:rsidRPr="00F415D2">
        <w:rPr>
          <w:rFonts w:ascii="Book Antiqua" w:hAnsi="Book Antiqua"/>
          <w:sz w:val="24"/>
          <w:szCs w:val="24"/>
          <w:lang w:val="es-MX"/>
        </w:rPr>
        <w:t xml:space="preserve"> 20.285 sobre acceso a la información pública ya que aquella, junto </w:t>
      </w:r>
      <w:r w:rsidR="00F95B9A" w:rsidRPr="00F415D2">
        <w:rPr>
          <w:rFonts w:ascii="Book Antiqua" w:hAnsi="Book Antiqua"/>
          <w:sz w:val="24"/>
          <w:szCs w:val="24"/>
          <w:lang w:val="es-MX"/>
        </w:rPr>
        <w:t>c</w:t>
      </w:r>
      <w:r w:rsidR="00711A82" w:rsidRPr="00F415D2">
        <w:rPr>
          <w:rFonts w:ascii="Book Antiqua" w:hAnsi="Book Antiqua"/>
          <w:sz w:val="24"/>
          <w:szCs w:val="24"/>
          <w:lang w:val="es-MX"/>
        </w:rPr>
        <w:t xml:space="preserve">on la reforma constitucional </w:t>
      </w:r>
      <w:r>
        <w:rPr>
          <w:rFonts w:ascii="Book Antiqua" w:hAnsi="Book Antiqua"/>
          <w:sz w:val="24"/>
          <w:szCs w:val="24"/>
          <w:lang w:val="es-MX"/>
        </w:rPr>
        <w:t xml:space="preserve">contenida en </w:t>
      </w:r>
      <w:r w:rsidR="00711A82" w:rsidRPr="00F415D2">
        <w:rPr>
          <w:rFonts w:ascii="Book Antiqua" w:hAnsi="Book Antiqua"/>
          <w:sz w:val="24"/>
          <w:szCs w:val="24"/>
          <w:lang w:val="es-MX"/>
        </w:rPr>
        <w:t xml:space="preserve">la ley </w:t>
      </w:r>
      <w:r>
        <w:rPr>
          <w:rFonts w:ascii="Book Antiqua" w:hAnsi="Book Antiqua"/>
          <w:sz w:val="24"/>
          <w:szCs w:val="24"/>
          <w:lang w:val="es-MX"/>
        </w:rPr>
        <w:t xml:space="preserve">N° </w:t>
      </w:r>
      <w:r w:rsidR="00711A82" w:rsidRPr="00F415D2">
        <w:rPr>
          <w:rFonts w:ascii="Book Antiqua" w:hAnsi="Book Antiqua"/>
          <w:sz w:val="24"/>
          <w:szCs w:val="24"/>
          <w:lang w:val="es-MX"/>
        </w:rPr>
        <w:t>20.050</w:t>
      </w:r>
      <w:r>
        <w:rPr>
          <w:rFonts w:ascii="Book Antiqua" w:hAnsi="Book Antiqua"/>
          <w:sz w:val="24"/>
          <w:szCs w:val="24"/>
          <w:lang w:val="es-MX"/>
        </w:rPr>
        <w:t>,</w:t>
      </w:r>
      <w:r w:rsidR="00711A82" w:rsidRPr="00F415D2">
        <w:rPr>
          <w:rFonts w:ascii="Book Antiqua" w:hAnsi="Book Antiqua"/>
          <w:sz w:val="24"/>
          <w:szCs w:val="24"/>
          <w:lang w:val="es-MX"/>
        </w:rPr>
        <w:t xml:space="preserve"> instauraron como regla general </w:t>
      </w:r>
      <w:r w:rsidR="00F95B9A" w:rsidRPr="00F415D2">
        <w:rPr>
          <w:rFonts w:ascii="Book Antiqua" w:hAnsi="Book Antiqua"/>
          <w:sz w:val="24"/>
          <w:szCs w:val="24"/>
          <w:lang w:val="es-MX"/>
        </w:rPr>
        <w:t xml:space="preserve">el principio de  </w:t>
      </w:r>
      <w:r w:rsidR="00F95B9A" w:rsidRPr="00F415D2">
        <w:rPr>
          <w:rFonts w:ascii="Book Antiqua" w:hAnsi="Book Antiqua"/>
          <w:sz w:val="24"/>
          <w:szCs w:val="24"/>
        </w:rPr>
        <w:t xml:space="preserve">transparencia de la función pública, y el que los actos y resoluciones de los órganos de la Administración del Estado, sus fundamentos, los documentos que les sirvan de sustento o complemento directo y esencial, y los procedimientos que se utilicen para su dictación, son públicos, salvo las excepciones que </w:t>
      </w:r>
      <w:r>
        <w:rPr>
          <w:rFonts w:ascii="Book Antiqua" w:hAnsi="Book Antiqua"/>
          <w:sz w:val="24"/>
          <w:szCs w:val="24"/>
        </w:rPr>
        <w:t>se establecieron</w:t>
      </w:r>
      <w:r w:rsidR="00F95B9A" w:rsidRPr="00F415D2">
        <w:rPr>
          <w:rFonts w:ascii="Book Antiqua" w:hAnsi="Book Antiqua"/>
          <w:sz w:val="24"/>
          <w:szCs w:val="24"/>
        </w:rPr>
        <w:t>.</w:t>
      </w:r>
    </w:p>
    <w:p w:rsidR="00F95B9A" w:rsidRPr="00F415D2" w:rsidRDefault="001451F9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415D2">
        <w:rPr>
          <w:rFonts w:ascii="Book Antiqua" w:hAnsi="Book Antiqua"/>
          <w:sz w:val="24"/>
          <w:szCs w:val="24"/>
        </w:rPr>
        <w:t>Esta normativa</w:t>
      </w:r>
      <w:r w:rsidR="00F95B9A" w:rsidRPr="00F415D2">
        <w:rPr>
          <w:rFonts w:ascii="Book Antiqua" w:hAnsi="Book Antiqua"/>
          <w:sz w:val="24"/>
          <w:szCs w:val="24"/>
        </w:rPr>
        <w:t xml:space="preserve"> permitió grandes avances en transparencia posibilitando incluso mejorar las labores fiscalizadoras de la Cámara de Diputados y de toda la ciudadanía</w:t>
      </w:r>
      <w:r w:rsidR="00C27284">
        <w:rPr>
          <w:rFonts w:ascii="Book Antiqua" w:hAnsi="Book Antiqua"/>
          <w:sz w:val="24"/>
          <w:szCs w:val="24"/>
        </w:rPr>
        <w:t xml:space="preserve"> a través de la denominada transparencia activa así como la transparencia pasiva.</w:t>
      </w:r>
    </w:p>
    <w:p w:rsidR="00C27284" w:rsidRDefault="00F95B9A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415D2">
        <w:rPr>
          <w:rFonts w:ascii="Book Antiqua" w:hAnsi="Book Antiqua"/>
          <w:sz w:val="24"/>
          <w:szCs w:val="24"/>
        </w:rPr>
        <w:t xml:space="preserve">No obstante aquello, y como la regla general siempre posee excepciones, </w:t>
      </w:r>
      <w:r w:rsidR="00B84944" w:rsidRPr="00F415D2">
        <w:rPr>
          <w:rFonts w:ascii="Book Antiqua" w:hAnsi="Book Antiqua"/>
          <w:sz w:val="24"/>
          <w:szCs w:val="24"/>
        </w:rPr>
        <w:t xml:space="preserve">se establecieron ciertas causales de secreto o reserva en cuya virtud se puede denegar total o parcialmente el acceso a la información, considerándose entre </w:t>
      </w:r>
      <w:r w:rsidR="00B84944" w:rsidRPr="00F415D2">
        <w:rPr>
          <w:rFonts w:ascii="Book Antiqua" w:hAnsi="Book Antiqua"/>
          <w:sz w:val="24"/>
          <w:szCs w:val="24"/>
        </w:rPr>
        <w:lastRenderedPageBreak/>
        <w:t>ellas, cuando se trata de documentos, datos o informaciones que una ley de quórum calificado haya declarado reservados o secretos, de acuerdo a las causales señaladas en el artículo 8º de la Constitución Política.</w:t>
      </w:r>
      <w:r w:rsidR="00C27284">
        <w:rPr>
          <w:rFonts w:ascii="Book Antiqua" w:hAnsi="Book Antiqua"/>
          <w:sz w:val="24"/>
          <w:szCs w:val="24"/>
        </w:rPr>
        <w:t xml:space="preserve"> Esta reserva se aplica entonces en los casos de transparencia activa así como en transparencia pasiva.</w:t>
      </w:r>
    </w:p>
    <w:p w:rsidR="00B84944" w:rsidRPr="00F415D2" w:rsidRDefault="00C27284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753193" w:rsidRPr="00F415D2" w:rsidRDefault="00C27284" w:rsidP="00F415D2">
      <w:pPr>
        <w:spacing w:line="360" w:lineRule="auto"/>
        <w:rPr>
          <w:rFonts w:ascii="Book Antiqua" w:hAnsi="Book Antiqua"/>
          <w:b/>
          <w:sz w:val="24"/>
          <w:szCs w:val="24"/>
          <w:u w:val="single"/>
          <w:lang w:val="es-ES_tradnl"/>
        </w:rPr>
      </w:pPr>
      <w:r>
        <w:rPr>
          <w:rFonts w:ascii="Book Antiqua" w:hAnsi="Book Antiqua"/>
          <w:b/>
          <w:sz w:val="24"/>
          <w:szCs w:val="24"/>
          <w:u w:val="single"/>
          <w:lang w:val="es-ES_tradnl"/>
        </w:rPr>
        <w:t xml:space="preserve">II.- </w:t>
      </w:r>
      <w:r w:rsidR="00B84944" w:rsidRPr="00F415D2">
        <w:rPr>
          <w:rFonts w:ascii="Book Antiqua" w:hAnsi="Book Antiqua"/>
          <w:b/>
          <w:sz w:val="24"/>
          <w:szCs w:val="24"/>
          <w:u w:val="single"/>
          <w:lang w:val="es-ES_tradnl"/>
        </w:rPr>
        <w:t>OBJETO DEL PROYECTO.</w:t>
      </w:r>
    </w:p>
    <w:p w:rsidR="00AB6C87" w:rsidRDefault="00C27284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s-ES_tradnl"/>
        </w:rPr>
        <w:t>Dentro de este marco y c</w:t>
      </w:r>
      <w:r w:rsidR="00E62234" w:rsidRPr="00F415D2">
        <w:rPr>
          <w:rFonts w:ascii="Book Antiqua" w:hAnsi="Book Antiqua"/>
          <w:sz w:val="24"/>
          <w:szCs w:val="24"/>
          <w:lang w:val="es-ES_tradnl"/>
        </w:rPr>
        <w:t xml:space="preserve">on ocasión de las indagaciones llevada a cabo por la </w:t>
      </w:r>
      <w:r>
        <w:rPr>
          <w:rFonts w:ascii="Book Antiqua" w:hAnsi="Book Antiqua"/>
          <w:sz w:val="24"/>
          <w:szCs w:val="24"/>
          <w:lang w:val="es-ES_tradnl"/>
        </w:rPr>
        <w:t>C</w:t>
      </w:r>
      <w:r w:rsidR="00E62234" w:rsidRPr="00F415D2">
        <w:rPr>
          <w:rFonts w:ascii="Book Antiqua" w:hAnsi="Book Antiqua"/>
          <w:sz w:val="24"/>
          <w:szCs w:val="24"/>
          <w:lang w:val="es-ES_tradnl"/>
        </w:rPr>
        <w:t>om</w:t>
      </w:r>
      <w:r w:rsidR="00E62234" w:rsidRPr="00F415D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si</w:t>
      </w:r>
      <w:r w:rsidR="00E62234" w:rsidRPr="00F415D2">
        <w:rPr>
          <w:rFonts w:ascii="Book Antiqua" w:hAnsi="Book Antiqua"/>
          <w:sz w:val="24"/>
          <w:szCs w:val="24"/>
        </w:rPr>
        <w:t xml:space="preserve">ón </w:t>
      </w:r>
      <w:r>
        <w:rPr>
          <w:rFonts w:ascii="Book Antiqua" w:hAnsi="Book Antiqua"/>
          <w:sz w:val="24"/>
          <w:szCs w:val="24"/>
        </w:rPr>
        <w:t>E</w:t>
      </w:r>
      <w:r w:rsidR="00E62234" w:rsidRPr="00F415D2">
        <w:rPr>
          <w:rFonts w:ascii="Book Antiqua" w:hAnsi="Book Antiqua"/>
          <w:sz w:val="24"/>
          <w:szCs w:val="24"/>
        </w:rPr>
        <w:t xml:space="preserve">special Investigadora de las irregularidades en la gestión y administración financiera en Carabineros de Chile se pudo constatar que la </w:t>
      </w:r>
      <w:r w:rsidR="00D34EED" w:rsidRPr="00F415D2">
        <w:rPr>
          <w:rFonts w:ascii="Book Antiqua" w:hAnsi="Book Antiqua"/>
          <w:sz w:val="24"/>
          <w:szCs w:val="24"/>
        </w:rPr>
        <w:t>excepción a</w:t>
      </w:r>
      <w:r w:rsidR="000F0D45" w:rsidRPr="00F415D2">
        <w:rPr>
          <w:rFonts w:ascii="Book Antiqua" w:hAnsi="Book Antiqua"/>
          <w:sz w:val="24"/>
          <w:szCs w:val="24"/>
        </w:rPr>
        <w:t xml:space="preserve">l principio de transparencia y publicidad antes referida contribuyó </w:t>
      </w:r>
      <w:r w:rsidR="00AB6C87">
        <w:rPr>
          <w:rFonts w:ascii="Book Antiqua" w:hAnsi="Book Antiqua"/>
          <w:sz w:val="24"/>
          <w:szCs w:val="24"/>
        </w:rPr>
        <w:t>de cierta forma</w:t>
      </w:r>
      <w:r w:rsidR="000F0D45" w:rsidRPr="00F415D2">
        <w:rPr>
          <w:rFonts w:ascii="Book Antiqua" w:hAnsi="Book Antiqua"/>
          <w:sz w:val="24"/>
          <w:szCs w:val="24"/>
        </w:rPr>
        <w:t xml:space="preserve"> a </w:t>
      </w:r>
      <w:r w:rsidR="00AB6C87">
        <w:rPr>
          <w:rFonts w:ascii="Book Antiqua" w:hAnsi="Book Antiqua"/>
          <w:sz w:val="24"/>
          <w:szCs w:val="24"/>
        </w:rPr>
        <w:t xml:space="preserve">generar condiciones en la falta de control </w:t>
      </w:r>
      <w:r w:rsidR="006D677D">
        <w:rPr>
          <w:rFonts w:ascii="Book Antiqua" w:hAnsi="Book Antiqua"/>
          <w:sz w:val="24"/>
          <w:szCs w:val="24"/>
        </w:rPr>
        <w:t xml:space="preserve">externo </w:t>
      </w:r>
      <w:r w:rsidR="00AB6C87">
        <w:rPr>
          <w:rFonts w:ascii="Book Antiqua" w:hAnsi="Book Antiqua"/>
          <w:sz w:val="24"/>
          <w:szCs w:val="24"/>
        </w:rPr>
        <w:t>que permitió la comisión de los ilícitos que hoy se investiga por parte del Ministerio Público.</w:t>
      </w:r>
    </w:p>
    <w:p w:rsidR="00B84944" w:rsidRPr="00F415D2" w:rsidRDefault="001C5482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415D2">
        <w:rPr>
          <w:rFonts w:ascii="Book Antiqua" w:hAnsi="Book Antiqua"/>
          <w:sz w:val="24"/>
          <w:szCs w:val="24"/>
        </w:rPr>
        <w:t xml:space="preserve">En efecto, la falta de </w:t>
      </w:r>
      <w:r w:rsidR="00C27284">
        <w:rPr>
          <w:rFonts w:ascii="Book Antiqua" w:hAnsi="Book Antiqua"/>
          <w:sz w:val="24"/>
          <w:szCs w:val="24"/>
        </w:rPr>
        <w:t>certezas</w:t>
      </w:r>
      <w:r w:rsidRPr="00F415D2">
        <w:rPr>
          <w:rFonts w:ascii="Book Antiqua" w:hAnsi="Book Antiqua"/>
          <w:sz w:val="24"/>
          <w:szCs w:val="24"/>
        </w:rPr>
        <w:t xml:space="preserve"> acerca del</w:t>
      </w:r>
      <w:r w:rsidR="00513C52">
        <w:rPr>
          <w:rFonts w:ascii="Book Antiqua" w:hAnsi="Book Antiqua"/>
          <w:sz w:val="24"/>
          <w:szCs w:val="24"/>
        </w:rPr>
        <w:t xml:space="preserve"> número de</w:t>
      </w:r>
      <w:r w:rsidRPr="00F415D2">
        <w:rPr>
          <w:rFonts w:ascii="Book Antiqua" w:hAnsi="Book Antiqua"/>
          <w:sz w:val="24"/>
          <w:szCs w:val="24"/>
        </w:rPr>
        <w:t xml:space="preserve"> personal en servicio de Carabineros</w:t>
      </w:r>
      <w:r w:rsidR="00C27284">
        <w:rPr>
          <w:rFonts w:ascii="Book Antiqua" w:hAnsi="Book Antiqua"/>
          <w:sz w:val="24"/>
          <w:szCs w:val="24"/>
        </w:rPr>
        <w:t>,</w:t>
      </w:r>
      <w:r w:rsidRPr="00F415D2">
        <w:rPr>
          <w:rFonts w:ascii="Book Antiqua" w:hAnsi="Book Antiqua"/>
          <w:sz w:val="24"/>
          <w:szCs w:val="24"/>
        </w:rPr>
        <w:t xml:space="preserve"> facilitó que parte de los dineros </w:t>
      </w:r>
      <w:r w:rsidR="00AB6C87">
        <w:rPr>
          <w:rFonts w:ascii="Book Antiqua" w:hAnsi="Book Antiqua"/>
          <w:sz w:val="24"/>
          <w:szCs w:val="24"/>
        </w:rPr>
        <w:t xml:space="preserve">que fueron materia de apropiación </w:t>
      </w:r>
      <w:r w:rsidRPr="00F415D2">
        <w:rPr>
          <w:rFonts w:ascii="Book Antiqua" w:hAnsi="Book Antiqua"/>
          <w:sz w:val="24"/>
          <w:szCs w:val="24"/>
        </w:rPr>
        <w:t>pudieran desviarse a los integrantes de la red d</w:t>
      </w:r>
      <w:r w:rsidR="00AB6C87">
        <w:rPr>
          <w:rFonts w:ascii="Book Antiqua" w:hAnsi="Book Antiqua"/>
          <w:sz w:val="24"/>
          <w:szCs w:val="24"/>
        </w:rPr>
        <w:t>estinada a dichos efectos</w:t>
      </w:r>
      <w:r w:rsidRPr="00F415D2">
        <w:rPr>
          <w:rFonts w:ascii="Book Antiqua" w:hAnsi="Book Antiqua"/>
          <w:sz w:val="24"/>
          <w:szCs w:val="24"/>
        </w:rPr>
        <w:t xml:space="preserve">, ya que anualmente </w:t>
      </w:r>
      <w:r w:rsidR="00513C52">
        <w:rPr>
          <w:rFonts w:ascii="Book Antiqua" w:hAnsi="Book Antiqua"/>
          <w:sz w:val="24"/>
          <w:szCs w:val="24"/>
        </w:rPr>
        <w:t xml:space="preserve">quedaba </w:t>
      </w:r>
      <w:r w:rsidRPr="00F415D2">
        <w:rPr>
          <w:rFonts w:ascii="Book Antiqua" w:hAnsi="Book Antiqua"/>
          <w:sz w:val="24"/>
          <w:szCs w:val="24"/>
        </w:rPr>
        <w:t>un número importante de plazas sin llenar (vacantes)</w:t>
      </w:r>
      <w:r w:rsidR="00291FCD">
        <w:rPr>
          <w:rFonts w:ascii="Book Antiqua" w:hAnsi="Book Antiqua"/>
          <w:sz w:val="24"/>
          <w:szCs w:val="24"/>
        </w:rPr>
        <w:t>.</w:t>
      </w:r>
      <w:r w:rsidRPr="00F415D2">
        <w:rPr>
          <w:rFonts w:ascii="Book Antiqua" w:hAnsi="Book Antiqua"/>
          <w:sz w:val="24"/>
          <w:szCs w:val="24"/>
        </w:rPr>
        <w:t xml:space="preserve"> </w:t>
      </w:r>
    </w:p>
    <w:p w:rsidR="001C5482" w:rsidRPr="00F415D2" w:rsidRDefault="001C5482" w:rsidP="00F415D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415D2">
        <w:rPr>
          <w:rFonts w:ascii="Book Antiqua" w:hAnsi="Book Antiqua"/>
          <w:sz w:val="24"/>
          <w:szCs w:val="24"/>
        </w:rPr>
        <w:t>De esta forma</w:t>
      </w:r>
      <w:r w:rsidR="006D677D">
        <w:rPr>
          <w:rFonts w:ascii="Book Antiqua" w:hAnsi="Book Antiqua"/>
          <w:sz w:val="24"/>
          <w:szCs w:val="24"/>
        </w:rPr>
        <w:t xml:space="preserve">, al parecer, </w:t>
      </w:r>
      <w:r w:rsidRPr="00F415D2">
        <w:rPr>
          <w:rFonts w:ascii="Book Antiqua" w:hAnsi="Book Antiqua"/>
          <w:sz w:val="24"/>
          <w:szCs w:val="24"/>
        </w:rPr>
        <w:t xml:space="preserve"> existen plazas que </w:t>
      </w:r>
      <w:r w:rsidR="00174890" w:rsidRPr="00F415D2">
        <w:rPr>
          <w:rFonts w:ascii="Book Antiqua" w:hAnsi="Book Antiqua"/>
          <w:sz w:val="24"/>
          <w:szCs w:val="24"/>
        </w:rPr>
        <w:t>son</w:t>
      </w:r>
      <w:r w:rsidRPr="00F415D2">
        <w:rPr>
          <w:rFonts w:ascii="Book Antiqua" w:hAnsi="Book Antiqua"/>
          <w:sz w:val="24"/>
          <w:szCs w:val="24"/>
        </w:rPr>
        <w:t xml:space="preserve"> asignadas a </w:t>
      </w:r>
      <w:r w:rsidR="00C27284">
        <w:rPr>
          <w:rFonts w:ascii="Book Antiqua" w:hAnsi="Book Antiqua"/>
          <w:sz w:val="24"/>
          <w:szCs w:val="24"/>
        </w:rPr>
        <w:t>la</w:t>
      </w:r>
      <w:r w:rsidRPr="00F415D2">
        <w:rPr>
          <w:rFonts w:ascii="Book Antiqua" w:hAnsi="Book Antiqua"/>
          <w:sz w:val="24"/>
          <w:szCs w:val="24"/>
        </w:rPr>
        <w:t xml:space="preserve"> institución </w:t>
      </w:r>
      <w:r w:rsidR="00C27284">
        <w:rPr>
          <w:rFonts w:ascii="Book Antiqua" w:hAnsi="Book Antiqua"/>
          <w:sz w:val="24"/>
          <w:szCs w:val="24"/>
        </w:rPr>
        <w:t xml:space="preserve">policial </w:t>
      </w:r>
      <w:r w:rsidRPr="00F415D2">
        <w:rPr>
          <w:rFonts w:ascii="Book Antiqua" w:hAnsi="Book Antiqua"/>
          <w:sz w:val="24"/>
          <w:szCs w:val="24"/>
        </w:rPr>
        <w:t>y que por diversas razones no se emplean</w:t>
      </w:r>
      <w:r w:rsidR="00C27284">
        <w:rPr>
          <w:rFonts w:ascii="Book Antiqua" w:hAnsi="Book Antiqua"/>
          <w:sz w:val="24"/>
          <w:szCs w:val="24"/>
        </w:rPr>
        <w:t>,</w:t>
      </w:r>
      <w:r w:rsidRPr="00F415D2">
        <w:rPr>
          <w:rFonts w:ascii="Book Antiqua" w:hAnsi="Book Antiqua"/>
          <w:sz w:val="24"/>
          <w:szCs w:val="24"/>
        </w:rPr>
        <w:t xml:space="preserve"> lo que genera</w:t>
      </w:r>
      <w:r w:rsidR="006D677D">
        <w:rPr>
          <w:rFonts w:ascii="Book Antiqua" w:hAnsi="Book Antiqua"/>
          <w:sz w:val="24"/>
          <w:szCs w:val="24"/>
        </w:rPr>
        <w:t>ría</w:t>
      </w:r>
      <w:r w:rsidRPr="00F415D2">
        <w:rPr>
          <w:rFonts w:ascii="Book Antiqua" w:hAnsi="Book Antiqua"/>
          <w:sz w:val="24"/>
          <w:szCs w:val="24"/>
        </w:rPr>
        <w:t xml:space="preserve"> que </w:t>
      </w:r>
      <w:r w:rsidR="00F415D2">
        <w:rPr>
          <w:rFonts w:ascii="Book Antiqua" w:hAnsi="Book Antiqua"/>
          <w:sz w:val="24"/>
          <w:szCs w:val="24"/>
        </w:rPr>
        <w:t>se produjeran</w:t>
      </w:r>
      <w:r w:rsidR="0051524E" w:rsidRPr="00F415D2">
        <w:rPr>
          <w:rFonts w:ascii="Book Antiqua" w:hAnsi="Book Antiqua"/>
          <w:sz w:val="24"/>
          <w:szCs w:val="24"/>
        </w:rPr>
        <w:t xml:space="preserve"> excesos de recursos sin que ello pud</w:t>
      </w:r>
      <w:r w:rsidR="00513C52">
        <w:rPr>
          <w:rFonts w:ascii="Book Antiqua" w:hAnsi="Book Antiqua"/>
          <w:sz w:val="24"/>
          <w:szCs w:val="24"/>
        </w:rPr>
        <w:t>iera</w:t>
      </w:r>
      <w:r w:rsidR="0051524E" w:rsidRPr="00F415D2">
        <w:rPr>
          <w:rFonts w:ascii="Book Antiqua" w:hAnsi="Book Antiqua"/>
          <w:sz w:val="24"/>
          <w:szCs w:val="24"/>
        </w:rPr>
        <w:t xml:space="preserve"> ser fiscalizado</w:t>
      </w:r>
      <w:r w:rsidR="00F415D2">
        <w:rPr>
          <w:rFonts w:ascii="Book Antiqua" w:hAnsi="Book Antiqua"/>
          <w:sz w:val="24"/>
          <w:szCs w:val="24"/>
        </w:rPr>
        <w:t xml:space="preserve"> ni por la ciudadanía ni por el Congreso Nacional</w:t>
      </w:r>
      <w:r w:rsidR="0051524E" w:rsidRPr="00F415D2">
        <w:rPr>
          <w:rFonts w:ascii="Book Antiqua" w:hAnsi="Book Antiqua"/>
          <w:sz w:val="24"/>
          <w:szCs w:val="24"/>
        </w:rPr>
        <w:t xml:space="preserve"> </w:t>
      </w:r>
      <w:r w:rsidR="001D0F4F">
        <w:rPr>
          <w:rFonts w:ascii="Book Antiqua" w:hAnsi="Book Antiqua"/>
          <w:sz w:val="24"/>
          <w:szCs w:val="24"/>
        </w:rPr>
        <w:t>como consecuencia</w:t>
      </w:r>
      <w:r w:rsidR="0051524E" w:rsidRPr="00F415D2">
        <w:rPr>
          <w:rFonts w:ascii="Book Antiqua" w:hAnsi="Book Antiqua"/>
          <w:sz w:val="24"/>
          <w:szCs w:val="24"/>
        </w:rPr>
        <w:t xml:space="preserve"> </w:t>
      </w:r>
      <w:r w:rsidR="001D0F4F">
        <w:rPr>
          <w:rFonts w:ascii="Book Antiqua" w:hAnsi="Book Antiqua"/>
          <w:sz w:val="24"/>
          <w:szCs w:val="24"/>
        </w:rPr>
        <w:t>d</w:t>
      </w:r>
      <w:r w:rsidR="0051524E" w:rsidRPr="00F415D2">
        <w:rPr>
          <w:rFonts w:ascii="Book Antiqua" w:hAnsi="Book Antiqua"/>
          <w:sz w:val="24"/>
          <w:szCs w:val="24"/>
        </w:rPr>
        <w:t xml:space="preserve">el secreto que existe sobre esta materia que se encuentra contemplado </w:t>
      </w:r>
      <w:r w:rsidR="00C27284">
        <w:rPr>
          <w:rFonts w:ascii="Book Antiqua" w:hAnsi="Book Antiqua"/>
          <w:sz w:val="24"/>
          <w:szCs w:val="24"/>
        </w:rPr>
        <w:t xml:space="preserve">de manera expresa </w:t>
      </w:r>
      <w:r w:rsidR="0051524E" w:rsidRPr="00F415D2">
        <w:rPr>
          <w:rFonts w:ascii="Book Antiqua" w:hAnsi="Book Antiqua"/>
          <w:sz w:val="24"/>
          <w:szCs w:val="24"/>
        </w:rPr>
        <w:t>en el artículo 436 del Código de Justicia Militar.</w:t>
      </w:r>
    </w:p>
    <w:p w:rsidR="002E6AC7" w:rsidRDefault="006D677D" w:rsidP="002E6AC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Corroborando lo anterior, y </w:t>
      </w:r>
      <w:r w:rsidR="0051524E" w:rsidRPr="00F415D2">
        <w:rPr>
          <w:rFonts w:ascii="Book Antiqua" w:hAnsi="Book Antiqua"/>
          <w:sz w:val="24"/>
          <w:szCs w:val="24"/>
        </w:rPr>
        <w:t xml:space="preserve">según consta del informe </w:t>
      </w:r>
      <w:r w:rsidR="004437D0" w:rsidRPr="00F415D2">
        <w:rPr>
          <w:rFonts w:ascii="Book Antiqua" w:hAnsi="Book Antiqua"/>
          <w:sz w:val="24"/>
          <w:szCs w:val="24"/>
        </w:rPr>
        <w:t xml:space="preserve">elaborado por el departamento de estudios, extensión y publicaciones del Congreso Nacional titulado </w:t>
      </w:r>
      <w:r w:rsidR="00513C52">
        <w:rPr>
          <w:rFonts w:ascii="Book Antiqua" w:hAnsi="Book Antiqua"/>
          <w:sz w:val="24"/>
          <w:szCs w:val="24"/>
        </w:rPr>
        <w:t>“</w:t>
      </w:r>
      <w:r w:rsidR="004437D0" w:rsidRPr="002E6AC7">
        <w:rPr>
          <w:rFonts w:ascii="Book Antiqua" w:hAnsi="Book Antiqua"/>
          <w:sz w:val="24"/>
          <w:szCs w:val="24"/>
        </w:rPr>
        <w:t xml:space="preserve">Utilización del </w:t>
      </w:r>
      <w:r w:rsidR="00453B57">
        <w:rPr>
          <w:rFonts w:ascii="Book Antiqua" w:hAnsi="Book Antiqua"/>
          <w:sz w:val="24"/>
          <w:szCs w:val="24"/>
        </w:rPr>
        <w:t>A</w:t>
      </w:r>
      <w:r w:rsidR="004437D0" w:rsidRPr="002E6AC7">
        <w:rPr>
          <w:rFonts w:ascii="Book Antiqua" w:hAnsi="Book Antiqua"/>
          <w:sz w:val="24"/>
          <w:szCs w:val="24"/>
        </w:rPr>
        <w:t>rt. 436 del Código de Justicia Militar en instancias diferentes a la Justicia Militar</w:t>
      </w:r>
      <w:r w:rsidR="00513C52">
        <w:rPr>
          <w:rFonts w:ascii="Book Antiqua" w:hAnsi="Book Antiqua"/>
          <w:sz w:val="24"/>
          <w:szCs w:val="24"/>
        </w:rPr>
        <w:t>”</w:t>
      </w:r>
      <w:r w:rsidR="00F415D2" w:rsidRPr="002E6AC7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resulta que </w:t>
      </w:r>
      <w:r w:rsidR="001D0F4F">
        <w:rPr>
          <w:rFonts w:ascii="Book Antiqua" w:hAnsi="Book Antiqua"/>
          <w:sz w:val="24"/>
          <w:szCs w:val="24"/>
        </w:rPr>
        <w:t xml:space="preserve">el </w:t>
      </w:r>
      <w:r w:rsidR="003C17F0">
        <w:rPr>
          <w:rFonts w:ascii="Book Antiqua" w:hAnsi="Book Antiqua"/>
          <w:sz w:val="24"/>
          <w:szCs w:val="24"/>
        </w:rPr>
        <w:t xml:space="preserve">citado </w:t>
      </w:r>
      <w:r w:rsidR="001D0F4F">
        <w:rPr>
          <w:rFonts w:ascii="Book Antiqua" w:hAnsi="Book Antiqua"/>
          <w:sz w:val="24"/>
          <w:szCs w:val="24"/>
        </w:rPr>
        <w:t>artículo de</w:t>
      </w:r>
      <w:r w:rsidR="00C27284">
        <w:rPr>
          <w:rFonts w:ascii="Book Antiqua" w:hAnsi="Book Antiqua"/>
          <w:sz w:val="24"/>
          <w:szCs w:val="24"/>
        </w:rPr>
        <w:t xml:space="preserve"> la compilación </w:t>
      </w:r>
      <w:r w:rsidR="001D0F4F">
        <w:rPr>
          <w:rFonts w:ascii="Book Antiqua" w:hAnsi="Book Antiqua"/>
          <w:sz w:val="24"/>
          <w:szCs w:val="24"/>
        </w:rPr>
        <w:t xml:space="preserve">castrense </w:t>
      </w:r>
      <w:r w:rsidR="006D0990">
        <w:rPr>
          <w:rFonts w:ascii="Book Antiqua" w:hAnsi="Book Antiqua"/>
          <w:sz w:val="24"/>
          <w:szCs w:val="24"/>
        </w:rPr>
        <w:t xml:space="preserve">no </w:t>
      </w:r>
      <w:r w:rsidR="001D0F4F">
        <w:rPr>
          <w:rFonts w:ascii="Book Antiqua" w:hAnsi="Book Antiqua"/>
          <w:sz w:val="24"/>
          <w:szCs w:val="24"/>
        </w:rPr>
        <w:t>ha sido empleado</w:t>
      </w:r>
      <w:r w:rsidR="00453B57">
        <w:rPr>
          <w:rFonts w:ascii="Book Antiqua" w:hAnsi="Book Antiqua"/>
          <w:sz w:val="24"/>
          <w:szCs w:val="24"/>
        </w:rPr>
        <w:t xml:space="preserve"> </w:t>
      </w:r>
      <w:r w:rsidR="006D0990">
        <w:rPr>
          <w:rFonts w:ascii="Book Antiqua" w:hAnsi="Book Antiqua"/>
          <w:sz w:val="24"/>
          <w:szCs w:val="24"/>
        </w:rPr>
        <w:t>únicamente para los procedimientos propios de la Justicia Militar</w:t>
      </w:r>
      <w:r w:rsidR="00C27284">
        <w:rPr>
          <w:rFonts w:ascii="Book Antiqua" w:hAnsi="Book Antiqua"/>
          <w:sz w:val="24"/>
          <w:szCs w:val="24"/>
        </w:rPr>
        <w:t>,</w:t>
      </w:r>
      <w:r w:rsidR="006D0990">
        <w:rPr>
          <w:rFonts w:ascii="Book Antiqua" w:hAnsi="Book Antiqua"/>
          <w:sz w:val="24"/>
          <w:szCs w:val="24"/>
        </w:rPr>
        <w:t xml:space="preserve"> sino que también </w:t>
      </w:r>
      <w:r w:rsidR="00C27284">
        <w:rPr>
          <w:rFonts w:ascii="Book Antiqua" w:hAnsi="Book Antiqua"/>
          <w:sz w:val="24"/>
          <w:szCs w:val="24"/>
        </w:rPr>
        <w:t xml:space="preserve">se le ha dado </w:t>
      </w:r>
      <w:r w:rsidR="006D0990">
        <w:rPr>
          <w:rFonts w:ascii="Book Antiqua" w:hAnsi="Book Antiqua"/>
          <w:sz w:val="24"/>
          <w:szCs w:val="24"/>
        </w:rPr>
        <w:t>una aplicación general</w:t>
      </w:r>
      <w:r w:rsidR="002E6AC7">
        <w:rPr>
          <w:rFonts w:ascii="Book Antiqua" w:hAnsi="Book Antiqua"/>
          <w:sz w:val="24"/>
          <w:szCs w:val="24"/>
        </w:rPr>
        <w:t xml:space="preserve"> como </w:t>
      </w:r>
      <w:r w:rsidR="00F154DD">
        <w:rPr>
          <w:rFonts w:ascii="Book Antiqua" w:hAnsi="Book Antiqua"/>
          <w:sz w:val="24"/>
          <w:szCs w:val="24"/>
        </w:rPr>
        <w:t>su</w:t>
      </w:r>
      <w:r w:rsidR="00A86B0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lastRenderedPageBreak/>
        <w:t xml:space="preserve">uso </w:t>
      </w:r>
      <w:r w:rsidR="00A86B0A">
        <w:rPr>
          <w:rFonts w:ascii="Book Antiqua" w:hAnsi="Book Antiqua"/>
          <w:sz w:val="24"/>
          <w:szCs w:val="24"/>
        </w:rPr>
        <w:t xml:space="preserve"> en</w:t>
      </w:r>
      <w:r w:rsidR="002E6AC7" w:rsidRPr="002E6AC7">
        <w:rPr>
          <w:rFonts w:ascii="Book Antiqua" w:hAnsi="Book Antiqua"/>
          <w:sz w:val="24"/>
          <w:szCs w:val="24"/>
        </w:rPr>
        <w:t xml:space="preserve"> controversias de acceso a</w:t>
      </w:r>
      <w:r w:rsidR="002E6AC7">
        <w:rPr>
          <w:rFonts w:ascii="Book Antiqua" w:hAnsi="Book Antiqua"/>
          <w:sz w:val="24"/>
          <w:szCs w:val="24"/>
        </w:rPr>
        <w:t xml:space="preserve"> </w:t>
      </w:r>
      <w:r w:rsidR="002E6AC7" w:rsidRPr="002E6AC7">
        <w:rPr>
          <w:rFonts w:ascii="Book Antiqua" w:hAnsi="Book Antiqua"/>
          <w:sz w:val="24"/>
          <w:szCs w:val="24"/>
        </w:rPr>
        <w:t>la información pública</w:t>
      </w:r>
      <w:r w:rsidR="00A86B0A">
        <w:rPr>
          <w:rFonts w:ascii="Book Antiqua" w:hAnsi="Book Antiqua"/>
          <w:sz w:val="24"/>
          <w:szCs w:val="24"/>
        </w:rPr>
        <w:t xml:space="preserve">; </w:t>
      </w:r>
      <w:r w:rsidR="002E6AC7" w:rsidRPr="002E6AC7">
        <w:rPr>
          <w:rFonts w:ascii="Book Antiqua" w:hAnsi="Book Antiqua"/>
          <w:sz w:val="24"/>
          <w:szCs w:val="24"/>
        </w:rPr>
        <w:t>como</w:t>
      </w:r>
      <w:r w:rsidR="002E6AC7">
        <w:rPr>
          <w:rFonts w:ascii="Book Antiqua" w:hAnsi="Book Antiqua"/>
          <w:sz w:val="24"/>
          <w:szCs w:val="24"/>
        </w:rPr>
        <w:t xml:space="preserve"> </w:t>
      </w:r>
      <w:r w:rsidR="002E6AC7" w:rsidRPr="002E6AC7">
        <w:rPr>
          <w:rFonts w:ascii="Book Antiqua" w:hAnsi="Book Antiqua"/>
          <w:sz w:val="24"/>
          <w:szCs w:val="24"/>
        </w:rPr>
        <w:t>fundamento jurídico de actos</w:t>
      </w:r>
      <w:r w:rsidR="002E6AC7">
        <w:rPr>
          <w:rFonts w:ascii="Book Antiqua" w:hAnsi="Book Antiqua"/>
          <w:sz w:val="24"/>
          <w:szCs w:val="24"/>
        </w:rPr>
        <w:t xml:space="preserve"> </w:t>
      </w:r>
      <w:r w:rsidR="002E6AC7" w:rsidRPr="002E6AC7">
        <w:rPr>
          <w:rFonts w:ascii="Book Antiqua" w:hAnsi="Book Antiqua"/>
          <w:sz w:val="24"/>
          <w:szCs w:val="24"/>
        </w:rPr>
        <w:t xml:space="preserve">administrativos o </w:t>
      </w:r>
      <w:r w:rsidR="002E6AC7">
        <w:rPr>
          <w:rFonts w:ascii="Book Antiqua" w:hAnsi="Book Antiqua"/>
          <w:sz w:val="24"/>
          <w:szCs w:val="24"/>
        </w:rPr>
        <w:t xml:space="preserve">como </w:t>
      </w:r>
      <w:r w:rsidR="002E6AC7" w:rsidRPr="002E6AC7">
        <w:rPr>
          <w:rFonts w:ascii="Book Antiqua" w:hAnsi="Book Antiqua"/>
          <w:sz w:val="24"/>
          <w:szCs w:val="24"/>
        </w:rPr>
        <w:t>antecedente para</w:t>
      </w:r>
      <w:r w:rsidR="002E6AC7">
        <w:rPr>
          <w:rFonts w:ascii="Book Antiqua" w:hAnsi="Book Antiqua"/>
          <w:sz w:val="24"/>
          <w:szCs w:val="24"/>
        </w:rPr>
        <w:t xml:space="preserve"> </w:t>
      </w:r>
      <w:r w:rsidR="002E6AC7" w:rsidRPr="002E6AC7">
        <w:rPr>
          <w:rFonts w:ascii="Book Antiqua" w:hAnsi="Book Antiqua"/>
          <w:sz w:val="24"/>
          <w:szCs w:val="24"/>
        </w:rPr>
        <w:t>la redacción de contratos.</w:t>
      </w:r>
    </w:p>
    <w:p w:rsidR="00453B57" w:rsidRDefault="006D0990" w:rsidP="00453B5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El informe </w:t>
      </w:r>
      <w:r w:rsidR="00513C52">
        <w:rPr>
          <w:rFonts w:ascii="Book Antiqua" w:hAnsi="Book Antiqua"/>
          <w:sz w:val="24"/>
          <w:szCs w:val="24"/>
        </w:rPr>
        <w:t xml:space="preserve">antes señalado </w:t>
      </w:r>
      <w:r w:rsidR="00FC6843">
        <w:rPr>
          <w:rFonts w:ascii="Book Antiqua" w:hAnsi="Book Antiqua"/>
          <w:sz w:val="24"/>
          <w:szCs w:val="24"/>
        </w:rPr>
        <w:t xml:space="preserve">da cuenta que en materia de transparencia </w:t>
      </w:r>
      <w:r w:rsidR="00453B57" w:rsidRPr="00453B57">
        <w:rPr>
          <w:rFonts w:ascii="Book Antiqua" w:hAnsi="Book Antiqua"/>
          <w:sz w:val="24"/>
          <w:szCs w:val="24"/>
        </w:rPr>
        <w:t>la norma ha sido</w:t>
      </w:r>
      <w:r w:rsidR="00453B57">
        <w:rPr>
          <w:rFonts w:ascii="Book Antiqua" w:hAnsi="Book Antiqua"/>
          <w:sz w:val="24"/>
          <w:szCs w:val="24"/>
        </w:rPr>
        <w:t xml:space="preserve"> </w:t>
      </w:r>
      <w:r w:rsidR="00453B57" w:rsidRPr="00453B57">
        <w:rPr>
          <w:rFonts w:ascii="Book Antiqua" w:hAnsi="Book Antiqua"/>
          <w:sz w:val="24"/>
          <w:szCs w:val="24"/>
        </w:rPr>
        <w:t>invocada por instituciones de las Fuerzas Armadas y</w:t>
      </w:r>
      <w:r w:rsidR="00453B57">
        <w:rPr>
          <w:rFonts w:ascii="Book Antiqua" w:hAnsi="Book Antiqua"/>
          <w:sz w:val="24"/>
          <w:szCs w:val="24"/>
        </w:rPr>
        <w:t xml:space="preserve"> </w:t>
      </w:r>
      <w:r w:rsidR="00453B57" w:rsidRPr="00453B57">
        <w:rPr>
          <w:rFonts w:ascii="Book Antiqua" w:hAnsi="Book Antiqua"/>
          <w:sz w:val="24"/>
          <w:szCs w:val="24"/>
        </w:rPr>
        <w:t>Orden para negar solicitudes de acceso a la</w:t>
      </w:r>
      <w:r w:rsidR="00513C52">
        <w:rPr>
          <w:rFonts w:ascii="Book Antiqua" w:hAnsi="Book Antiqua"/>
          <w:sz w:val="24"/>
          <w:szCs w:val="24"/>
        </w:rPr>
        <w:t xml:space="preserve"> </w:t>
      </w:r>
      <w:r w:rsidR="00453B57" w:rsidRPr="00453B57">
        <w:rPr>
          <w:rFonts w:ascii="Book Antiqua" w:hAnsi="Book Antiqua"/>
          <w:sz w:val="24"/>
          <w:szCs w:val="24"/>
        </w:rPr>
        <w:t>información pública de la Ley N° 20.285</w:t>
      </w:r>
      <w:r w:rsidR="00453B57">
        <w:rPr>
          <w:rFonts w:ascii="Book Antiqua" w:hAnsi="Book Antiqua"/>
          <w:sz w:val="24"/>
          <w:szCs w:val="24"/>
        </w:rPr>
        <w:t xml:space="preserve"> </w:t>
      </w:r>
      <w:r w:rsidR="00453B57" w:rsidRPr="00453B57">
        <w:rPr>
          <w:rFonts w:ascii="Book Antiqua" w:hAnsi="Book Antiqua"/>
          <w:sz w:val="24"/>
          <w:szCs w:val="24"/>
        </w:rPr>
        <w:t>(transparencia pasiva)</w:t>
      </w:r>
      <w:r w:rsidR="00453B57">
        <w:rPr>
          <w:rFonts w:ascii="Book Antiqua" w:hAnsi="Book Antiqua"/>
          <w:sz w:val="24"/>
          <w:szCs w:val="24"/>
        </w:rPr>
        <w:t xml:space="preserve">, </w:t>
      </w:r>
      <w:r w:rsidR="00513C52">
        <w:rPr>
          <w:rFonts w:ascii="Book Antiqua" w:hAnsi="Book Antiqua"/>
          <w:sz w:val="24"/>
          <w:szCs w:val="24"/>
        </w:rPr>
        <w:t xml:space="preserve">exponiéndose </w:t>
      </w:r>
      <w:r w:rsidR="00453B57">
        <w:rPr>
          <w:rFonts w:ascii="Book Antiqua" w:hAnsi="Book Antiqua"/>
          <w:sz w:val="24"/>
          <w:szCs w:val="24"/>
        </w:rPr>
        <w:t>varios ejemplos de ello</w:t>
      </w:r>
      <w:r w:rsidR="00453B57" w:rsidRPr="00453B57">
        <w:rPr>
          <w:rFonts w:ascii="Book Antiqua" w:hAnsi="Book Antiqua"/>
          <w:sz w:val="24"/>
          <w:szCs w:val="24"/>
        </w:rPr>
        <w:t xml:space="preserve">. </w:t>
      </w:r>
    </w:p>
    <w:p w:rsidR="00453B57" w:rsidRDefault="00453B57" w:rsidP="00453B5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Lo </w:t>
      </w:r>
      <w:r w:rsidR="00A86B0A">
        <w:rPr>
          <w:rFonts w:ascii="Book Antiqua" w:hAnsi="Book Antiqua"/>
          <w:sz w:val="24"/>
          <w:szCs w:val="24"/>
        </w:rPr>
        <w:t>relevante</w:t>
      </w:r>
      <w:r>
        <w:rPr>
          <w:rFonts w:ascii="Book Antiqua" w:hAnsi="Book Antiqua"/>
          <w:sz w:val="24"/>
          <w:szCs w:val="24"/>
        </w:rPr>
        <w:t xml:space="preserve">, para los efectos de este proyecto, es que el numeral primero de la citada norma dispone: </w:t>
      </w:r>
    </w:p>
    <w:p w:rsidR="00453B57" w:rsidRPr="00453B57" w:rsidRDefault="00453B57" w:rsidP="00453B57">
      <w:pPr>
        <w:spacing w:line="360" w:lineRule="auto"/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“</w:t>
      </w:r>
      <w:r w:rsidRPr="00453B57">
        <w:rPr>
          <w:rFonts w:ascii="Book Antiqua" w:hAnsi="Book Antiqua"/>
          <w:i/>
          <w:sz w:val="24"/>
          <w:szCs w:val="24"/>
        </w:rPr>
        <w:t>Se entiende por</w:t>
      </w:r>
      <w:r w:rsidRPr="00A86B0A">
        <w:rPr>
          <w:rFonts w:ascii="Book Antiqua" w:hAnsi="Book Antiqua"/>
          <w:b/>
          <w:i/>
          <w:sz w:val="24"/>
          <w:szCs w:val="24"/>
        </w:rPr>
        <w:t xml:space="preserve"> documentos secretos</w:t>
      </w:r>
      <w:r w:rsidRPr="00453B57">
        <w:rPr>
          <w:rFonts w:ascii="Book Antiqua" w:hAnsi="Book Antiqua"/>
          <w:i/>
          <w:sz w:val="24"/>
          <w:szCs w:val="24"/>
        </w:rPr>
        <w:t xml:space="preserve"> aquellos cuyo contenido se relaciona directamente con la seguridad del Estado, la Defensa Nacional, el orden público interior o la seguridad de las personas y entre otros: 1.- </w:t>
      </w:r>
      <w:r w:rsidRPr="00A86B0A">
        <w:rPr>
          <w:rFonts w:ascii="Book Antiqua" w:hAnsi="Book Antiqua"/>
          <w:b/>
          <w:i/>
          <w:sz w:val="24"/>
          <w:szCs w:val="24"/>
        </w:rPr>
        <w:t>Los relativos a las Plantas o dotaciones</w:t>
      </w:r>
      <w:r w:rsidRPr="00453B57">
        <w:rPr>
          <w:rFonts w:ascii="Book Antiqua" w:hAnsi="Book Antiqua"/>
          <w:i/>
          <w:sz w:val="24"/>
          <w:szCs w:val="24"/>
        </w:rPr>
        <w:t xml:space="preserve"> y a la seguridad de las instituciones de las Fuerzas Armadas o de Carabineros de Chile y de su personal</w:t>
      </w:r>
      <w:r>
        <w:rPr>
          <w:rFonts w:ascii="Book Antiqua" w:hAnsi="Book Antiqua"/>
          <w:i/>
          <w:sz w:val="24"/>
          <w:szCs w:val="24"/>
        </w:rPr>
        <w:t>”</w:t>
      </w:r>
      <w:r w:rsidRPr="00453B57">
        <w:rPr>
          <w:rFonts w:ascii="Book Antiqua" w:hAnsi="Book Antiqua"/>
          <w:i/>
          <w:sz w:val="24"/>
          <w:szCs w:val="24"/>
        </w:rPr>
        <w:t>;</w:t>
      </w:r>
    </w:p>
    <w:p w:rsidR="00453B57" w:rsidRDefault="00453B57" w:rsidP="00453B5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Atendida dicha redacción</w:t>
      </w:r>
      <w:r w:rsidR="00513C52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resulta que se califica como secreta una información que debiera ser pública, que aparece en distintas revistas especializadas, y que como ya se dijo</w:t>
      </w:r>
      <w:r w:rsidR="00291FCD">
        <w:rPr>
          <w:rFonts w:ascii="Book Antiqua" w:hAnsi="Book Antiqua"/>
          <w:sz w:val="24"/>
          <w:szCs w:val="24"/>
        </w:rPr>
        <w:t xml:space="preserve"> fue uno de los elementos que facilitó</w:t>
      </w:r>
      <w:r>
        <w:rPr>
          <w:rFonts w:ascii="Book Antiqua" w:hAnsi="Book Antiqua"/>
          <w:sz w:val="24"/>
          <w:szCs w:val="24"/>
        </w:rPr>
        <w:t xml:space="preserve"> el fraude en </w:t>
      </w:r>
      <w:r w:rsidR="00A86B0A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arabineros </w:t>
      </w:r>
    </w:p>
    <w:p w:rsidR="002D054E" w:rsidRDefault="00513C52" w:rsidP="002D054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 que la</w:t>
      </w:r>
      <w:r w:rsidR="00291FCD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plantas y dotaciones </w:t>
      </w:r>
      <w:r w:rsidRPr="00A86B0A">
        <w:rPr>
          <w:rFonts w:ascii="Book Antiqua" w:hAnsi="Book Antiqua"/>
          <w:sz w:val="24"/>
          <w:szCs w:val="24"/>
        </w:rPr>
        <w:t>de</w:t>
      </w:r>
      <w:r w:rsidRPr="00513C52">
        <w:rPr>
          <w:rFonts w:ascii="Book Antiqua" w:hAnsi="Book Antiqua"/>
          <w:sz w:val="24"/>
          <w:szCs w:val="24"/>
        </w:rPr>
        <w:t xml:space="preserve"> las Fuerzas Armadas o de Carabineros de Chile</w:t>
      </w:r>
      <w:r>
        <w:rPr>
          <w:rFonts w:ascii="Book Antiqua" w:hAnsi="Book Antiqua"/>
          <w:sz w:val="24"/>
          <w:szCs w:val="24"/>
        </w:rPr>
        <w:t xml:space="preserve"> sea una materia que debe mantenerse en secreto no es admisible en una sociedad democrática</w:t>
      </w:r>
      <w:r w:rsidR="00A86B0A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ya que sustrae al dominio común, el número de personal que existe en dichas reparticiones e instituciones armadas, lo que se contrapone con las facultades del Congreso Nacional e incluso con </w:t>
      </w:r>
      <w:r w:rsidR="002D054E">
        <w:rPr>
          <w:rFonts w:ascii="Book Antiqua" w:hAnsi="Book Antiqua"/>
          <w:sz w:val="24"/>
          <w:szCs w:val="24"/>
        </w:rPr>
        <w:t xml:space="preserve">medidas de transparencia y construcción de confianza mutua que nuestro país se encuentra implementando con </w:t>
      </w:r>
      <w:r w:rsidR="00E176BF">
        <w:rPr>
          <w:rFonts w:ascii="Book Antiqua" w:hAnsi="Book Antiqua"/>
          <w:sz w:val="24"/>
          <w:szCs w:val="24"/>
        </w:rPr>
        <w:t>otros Estados en</w:t>
      </w:r>
      <w:r w:rsidR="002D054E">
        <w:rPr>
          <w:rFonts w:ascii="Book Antiqua" w:hAnsi="Book Antiqua"/>
          <w:sz w:val="24"/>
          <w:szCs w:val="24"/>
        </w:rPr>
        <w:t xml:space="preserve"> la región.</w:t>
      </w:r>
    </w:p>
    <w:p w:rsidR="00291FCD" w:rsidRDefault="00291FCD" w:rsidP="002D054E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304CA9" w:rsidRPr="00304CA9" w:rsidRDefault="00A86B0A" w:rsidP="00304CA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III.- </w:t>
      </w:r>
      <w:r w:rsidR="00304CA9" w:rsidRPr="00304CA9">
        <w:rPr>
          <w:rFonts w:ascii="Book Antiqua" w:hAnsi="Book Antiqua"/>
          <w:b/>
          <w:sz w:val="24"/>
          <w:szCs w:val="24"/>
          <w:u w:val="single"/>
        </w:rPr>
        <w:t>IDEA MATRIZ DEL PROYECTO DE LEY</w:t>
      </w:r>
    </w:p>
    <w:p w:rsidR="00E176BF" w:rsidRDefault="00304CA9" w:rsidP="00304CA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04CA9">
        <w:rPr>
          <w:rFonts w:ascii="Book Antiqua" w:hAnsi="Book Antiqua"/>
          <w:sz w:val="24"/>
          <w:szCs w:val="24"/>
          <w:lang w:val="es-ES_tradnl"/>
        </w:rPr>
        <w:t xml:space="preserve">La idea matriz del presente Proyecto de Ley es limitar </w:t>
      </w:r>
      <w:r w:rsidR="00E176BF">
        <w:rPr>
          <w:rFonts w:ascii="Book Antiqua" w:hAnsi="Book Antiqua"/>
          <w:sz w:val="24"/>
          <w:szCs w:val="24"/>
          <w:lang w:val="es-ES_tradnl"/>
        </w:rPr>
        <w:t>los casos en que se consideran secretos algunos</w:t>
      </w:r>
      <w:r w:rsidR="00E176BF" w:rsidRPr="00E176BF">
        <w:rPr>
          <w:rFonts w:ascii="Book Antiqua" w:hAnsi="Book Antiqua"/>
          <w:sz w:val="24"/>
          <w:szCs w:val="24"/>
        </w:rPr>
        <w:t xml:space="preserve"> documentos </w:t>
      </w:r>
      <w:r w:rsidR="00E176BF">
        <w:rPr>
          <w:rFonts w:ascii="Book Antiqua" w:hAnsi="Book Antiqua"/>
          <w:sz w:val="24"/>
          <w:szCs w:val="24"/>
        </w:rPr>
        <w:t xml:space="preserve">relacionados con la defensa nacional, y </w:t>
      </w:r>
      <w:r w:rsidR="00E176BF">
        <w:rPr>
          <w:rFonts w:ascii="Book Antiqua" w:hAnsi="Book Antiqua"/>
          <w:sz w:val="24"/>
          <w:szCs w:val="24"/>
        </w:rPr>
        <w:lastRenderedPageBreak/>
        <w:t xml:space="preserve">en particular aquellos que se relacionan con </w:t>
      </w:r>
      <w:r w:rsidR="00E176BF" w:rsidRPr="00E176BF">
        <w:rPr>
          <w:rFonts w:ascii="Book Antiqua" w:hAnsi="Book Antiqua"/>
          <w:sz w:val="24"/>
          <w:szCs w:val="24"/>
        </w:rPr>
        <w:t>las Plantas o dotaciones de las instituciones de las Fuerzas Armadas o de Carabineros de Chile y de su personal</w:t>
      </w:r>
      <w:r w:rsidR="00E176BF">
        <w:rPr>
          <w:rFonts w:ascii="Book Antiqua" w:hAnsi="Book Antiqua"/>
          <w:sz w:val="24"/>
          <w:szCs w:val="24"/>
        </w:rPr>
        <w:t>.</w:t>
      </w:r>
    </w:p>
    <w:p w:rsidR="00E176BF" w:rsidRPr="00E176BF" w:rsidRDefault="00E176BF" w:rsidP="00E176B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176BF">
        <w:rPr>
          <w:rFonts w:ascii="Book Antiqua" w:hAnsi="Book Antiqua"/>
          <w:sz w:val="24"/>
          <w:szCs w:val="24"/>
        </w:rPr>
        <w:t xml:space="preserve">Por </w:t>
      </w:r>
      <w:r>
        <w:rPr>
          <w:rFonts w:ascii="Book Antiqua" w:hAnsi="Book Antiqua"/>
          <w:sz w:val="24"/>
          <w:szCs w:val="24"/>
        </w:rPr>
        <w:t xml:space="preserve">ello se propone </w:t>
      </w:r>
      <w:r w:rsidRPr="00E176BF">
        <w:rPr>
          <w:rFonts w:ascii="Book Antiqua" w:hAnsi="Book Antiqua"/>
          <w:sz w:val="24"/>
          <w:szCs w:val="24"/>
        </w:rPr>
        <w:t xml:space="preserve">eliminar la mención </w:t>
      </w:r>
      <w:r w:rsidR="00C8003D">
        <w:rPr>
          <w:rFonts w:ascii="Book Antiqua" w:hAnsi="Book Antiqua"/>
          <w:sz w:val="24"/>
          <w:szCs w:val="24"/>
        </w:rPr>
        <w:t>que contiene</w:t>
      </w:r>
      <w:r w:rsidRPr="00E176B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parte del </w:t>
      </w:r>
      <w:r w:rsidR="00C8003D">
        <w:rPr>
          <w:rFonts w:ascii="Book Antiqua" w:hAnsi="Book Antiqua"/>
          <w:sz w:val="24"/>
          <w:szCs w:val="24"/>
        </w:rPr>
        <w:t xml:space="preserve">numeral </w:t>
      </w:r>
      <w:r w:rsidRPr="00E176BF">
        <w:rPr>
          <w:rFonts w:ascii="Book Antiqua" w:hAnsi="Book Antiqua"/>
          <w:sz w:val="24"/>
          <w:szCs w:val="24"/>
        </w:rPr>
        <w:t xml:space="preserve">primero del artículo 436 del Código Castrense </w:t>
      </w:r>
      <w:r w:rsidR="00C8003D">
        <w:rPr>
          <w:rFonts w:ascii="Book Antiqua" w:hAnsi="Book Antiqua"/>
          <w:sz w:val="24"/>
          <w:szCs w:val="24"/>
        </w:rPr>
        <w:t xml:space="preserve">y que se relaciona con </w:t>
      </w:r>
      <w:r w:rsidRPr="00E176BF">
        <w:rPr>
          <w:rFonts w:ascii="Book Antiqua" w:hAnsi="Book Antiqua"/>
          <w:sz w:val="24"/>
          <w:szCs w:val="24"/>
        </w:rPr>
        <w:t>las platas y dotaciones militares y de Carabineros de Chile.</w:t>
      </w:r>
    </w:p>
    <w:p w:rsidR="00304CA9" w:rsidRPr="00304CA9" w:rsidRDefault="00304CA9" w:rsidP="00304CA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04CA9">
        <w:rPr>
          <w:rFonts w:ascii="Book Antiqua" w:hAnsi="Book Antiqua"/>
          <w:sz w:val="24"/>
          <w:szCs w:val="24"/>
        </w:rPr>
        <w:t xml:space="preserve">Por lo tanto, </w:t>
      </w:r>
      <w:r w:rsidR="00291FCD">
        <w:rPr>
          <w:rFonts w:ascii="Book Antiqua" w:hAnsi="Book Antiqua"/>
          <w:sz w:val="24"/>
          <w:szCs w:val="24"/>
        </w:rPr>
        <w:t>el diputado</w:t>
      </w:r>
      <w:r w:rsidRPr="00304CA9">
        <w:rPr>
          <w:rFonts w:ascii="Book Antiqua" w:hAnsi="Book Antiqua"/>
          <w:sz w:val="24"/>
          <w:szCs w:val="24"/>
        </w:rPr>
        <w:t xml:space="preserve"> que suscrib</w:t>
      </w:r>
      <w:r w:rsidR="00291FCD">
        <w:rPr>
          <w:rFonts w:ascii="Book Antiqua" w:hAnsi="Book Antiqua"/>
          <w:sz w:val="24"/>
          <w:szCs w:val="24"/>
        </w:rPr>
        <w:t>e</w:t>
      </w:r>
      <w:r w:rsidRPr="00304CA9">
        <w:rPr>
          <w:rFonts w:ascii="Book Antiqua" w:hAnsi="Book Antiqua"/>
          <w:sz w:val="24"/>
          <w:szCs w:val="24"/>
        </w:rPr>
        <w:t xml:space="preserve">, </w:t>
      </w:r>
      <w:r w:rsidR="00291FCD">
        <w:rPr>
          <w:rFonts w:ascii="Book Antiqua" w:hAnsi="Book Antiqua"/>
          <w:sz w:val="24"/>
          <w:szCs w:val="24"/>
        </w:rPr>
        <w:t>viene</w:t>
      </w:r>
      <w:r w:rsidRPr="00304CA9">
        <w:rPr>
          <w:rFonts w:ascii="Book Antiqua" w:hAnsi="Book Antiqua"/>
          <w:sz w:val="24"/>
          <w:szCs w:val="24"/>
        </w:rPr>
        <w:t xml:space="preserve"> en presentar el siguiente:</w:t>
      </w:r>
    </w:p>
    <w:p w:rsidR="00304C6F" w:rsidRDefault="00304C6F" w:rsidP="00304CA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  <w:lang w:val="es-ES"/>
        </w:rPr>
      </w:pPr>
    </w:p>
    <w:p w:rsidR="00304CA9" w:rsidRPr="00304CA9" w:rsidRDefault="00304CA9" w:rsidP="00304CA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  <w:lang w:val="es-ES"/>
        </w:rPr>
      </w:pPr>
      <w:r w:rsidRPr="00304CA9">
        <w:rPr>
          <w:rFonts w:ascii="Book Antiqua" w:hAnsi="Book Antiqua"/>
          <w:b/>
          <w:sz w:val="24"/>
          <w:szCs w:val="24"/>
          <w:u w:val="single"/>
          <w:lang w:val="es-ES"/>
        </w:rPr>
        <w:t>PROYECTO DE LEY</w:t>
      </w:r>
    </w:p>
    <w:p w:rsidR="00291FCD" w:rsidRDefault="00291FCD" w:rsidP="00291FCD">
      <w:pPr>
        <w:spacing w:line="360" w:lineRule="auto"/>
        <w:jc w:val="both"/>
        <w:rPr>
          <w:rFonts w:ascii="Book Antiqua" w:hAnsi="Book Antiqua"/>
          <w:b/>
          <w:i/>
          <w:sz w:val="24"/>
          <w:szCs w:val="24"/>
        </w:rPr>
      </w:pPr>
      <w:r w:rsidRPr="00304CA9">
        <w:rPr>
          <w:rFonts w:ascii="Book Antiqua" w:hAnsi="Book Antiqua"/>
          <w:b/>
          <w:sz w:val="24"/>
          <w:szCs w:val="24"/>
          <w:lang w:val="es-ES"/>
        </w:rPr>
        <w:t xml:space="preserve">Artículo Único: </w:t>
      </w:r>
      <w:r w:rsidRPr="00304CA9">
        <w:rPr>
          <w:rFonts w:ascii="Book Antiqua" w:hAnsi="Book Antiqua"/>
          <w:sz w:val="24"/>
          <w:szCs w:val="24"/>
          <w:lang w:val="es-ES"/>
        </w:rPr>
        <w:t xml:space="preserve">Para </w:t>
      </w:r>
      <w:r>
        <w:rPr>
          <w:rFonts w:ascii="Book Antiqua" w:hAnsi="Book Antiqua"/>
          <w:sz w:val="24"/>
          <w:szCs w:val="24"/>
          <w:lang w:val="es-ES"/>
        </w:rPr>
        <w:t xml:space="preserve">agregar al numeral primero del artículo 436 </w:t>
      </w:r>
      <w:r w:rsidRPr="00304CA9">
        <w:rPr>
          <w:rFonts w:ascii="Book Antiqua" w:hAnsi="Book Antiqua"/>
          <w:sz w:val="24"/>
          <w:szCs w:val="24"/>
          <w:lang w:val="es-ES"/>
        </w:rPr>
        <w:t>del Código de Justicia Militar</w:t>
      </w:r>
      <w:r w:rsidR="009E422A">
        <w:rPr>
          <w:rFonts w:ascii="Book Antiqua" w:hAnsi="Book Antiqua"/>
          <w:sz w:val="24"/>
          <w:szCs w:val="24"/>
          <w:lang w:val="es-ES"/>
        </w:rPr>
        <w:t xml:space="preserve">, reemplazando el punto y coma por un punto seguido y posteriormente agregando </w:t>
      </w:r>
      <w:r>
        <w:rPr>
          <w:rFonts w:ascii="Book Antiqua" w:hAnsi="Book Antiqua"/>
          <w:sz w:val="24"/>
          <w:szCs w:val="24"/>
          <w:lang w:val="es-ES"/>
        </w:rPr>
        <w:t xml:space="preserve">la frase </w:t>
      </w:r>
      <w:bookmarkStart w:id="1" w:name="_Hlk508273307"/>
      <w:r>
        <w:rPr>
          <w:rFonts w:ascii="Book Antiqua" w:hAnsi="Book Antiqua"/>
          <w:sz w:val="24"/>
          <w:szCs w:val="24"/>
          <w:lang w:val="es-ES"/>
        </w:rPr>
        <w:t xml:space="preserve">“Ello no se aplicará respecto del número de funcionarios de </w:t>
      </w:r>
      <w:r w:rsidRPr="001308DD">
        <w:rPr>
          <w:rFonts w:ascii="Book Antiqua" w:hAnsi="Book Antiqua"/>
          <w:b/>
          <w:i/>
          <w:sz w:val="24"/>
          <w:szCs w:val="24"/>
          <w:lang w:val="es-ES"/>
        </w:rPr>
        <w:t xml:space="preserve">las </w:t>
      </w:r>
      <w:r w:rsidRPr="001308DD">
        <w:rPr>
          <w:rFonts w:ascii="Book Antiqua" w:hAnsi="Book Antiqua"/>
          <w:b/>
          <w:i/>
          <w:sz w:val="24"/>
          <w:szCs w:val="24"/>
        </w:rPr>
        <w:t xml:space="preserve">Plantas o dotaciones </w:t>
      </w:r>
      <w:r>
        <w:rPr>
          <w:rFonts w:ascii="Book Antiqua" w:hAnsi="Book Antiqua"/>
          <w:b/>
          <w:i/>
          <w:sz w:val="24"/>
          <w:szCs w:val="24"/>
        </w:rPr>
        <w:t>que, en todo</w:t>
      </w:r>
      <w:r w:rsidR="009E422A">
        <w:rPr>
          <w:rFonts w:ascii="Book Antiqua" w:hAnsi="Book Antiqua"/>
          <w:b/>
          <w:i/>
          <w:sz w:val="24"/>
          <w:szCs w:val="24"/>
        </w:rPr>
        <w:t xml:space="preserve"> caso,</w:t>
      </w:r>
      <w:r>
        <w:rPr>
          <w:rFonts w:ascii="Book Antiqua" w:hAnsi="Book Antiqua"/>
          <w:b/>
          <w:i/>
          <w:sz w:val="24"/>
          <w:szCs w:val="24"/>
        </w:rPr>
        <w:t xml:space="preserve"> deberá ser público”</w:t>
      </w:r>
      <w:bookmarkEnd w:id="1"/>
    </w:p>
    <w:p w:rsidR="00291FCD" w:rsidRDefault="00291FCD" w:rsidP="00291FC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 tal forma el numeral primero quedaría como sigue “</w:t>
      </w:r>
      <w:r w:rsidR="009E422A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 xml:space="preserve">os </w:t>
      </w:r>
      <w:r w:rsidR="009E422A">
        <w:rPr>
          <w:rFonts w:ascii="Book Antiqua" w:hAnsi="Book Antiqua"/>
          <w:sz w:val="24"/>
          <w:szCs w:val="24"/>
        </w:rPr>
        <w:t>relativos a las Plantas  dotaciones y a la seguridad de las instituciones de las Fuerzas Armadas o de Carabineros de Chile y de su personal.</w:t>
      </w:r>
      <w:r w:rsidR="009E422A" w:rsidRPr="009E422A">
        <w:rPr>
          <w:rFonts w:ascii="Book Antiqua" w:hAnsi="Book Antiqua"/>
          <w:sz w:val="24"/>
          <w:szCs w:val="24"/>
          <w:lang w:val="es-ES"/>
        </w:rPr>
        <w:t xml:space="preserve"> </w:t>
      </w:r>
      <w:r w:rsidR="009E422A">
        <w:rPr>
          <w:rFonts w:ascii="Book Antiqua" w:hAnsi="Book Antiqua"/>
          <w:sz w:val="24"/>
          <w:szCs w:val="24"/>
          <w:lang w:val="es-ES"/>
        </w:rPr>
        <w:t xml:space="preserve">Ello no se aplicará respecto del número de funcionarios de </w:t>
      </w:r>
      <w:r w:rsidR="009E422A" w:rsidRPr="001308DD">
        <w:rPr>
          <w:rFonts w:ascii="Book Antiqua" w:hAnsi="Book Antiqua"/>
          <w:b/>
          <w:i/>
          <w:sz w:val="24"/>
          <w:szCs w:val="24"/>
          <w:lang w:val="es-ES"/>
        </w:rPr>
        <w:t xml:space="preserve">las </w:t>
      </w:r>
      <w:r w:rsidR="009E422A" w:rsidRPr="001308DD">
        <w:rPr>
          <w:rFonts w:ascii="Book Antiqua" w:hAnsi="Book Antiqua"/>
          <w:b/>
          <w:i/>
          <w:sz w:val="24"/>
          <w:szCs w:val="24"/>
        </w:rPr>
        <w:t xml:space="preserve">Plantas o dotaciones </w:t>
      </w:r>
      <w:r w:rsidR="009E422A">
        <w:rPr>
          <w:rFonts w:ascii="Book Antiqua" w:hAnsi="Book Antiqua"/>
          <w:b/>
          <w:i/>
          <w:sz w:val="24"/>
          <w:szCs w:val="24"/>
        </w:rPr>
        <w:t>que, en todo caso, deberá ser público”</w:t>
      </w:r>
    </w:p>
    <w:p w:rsidR="00291FCD" w:rsidRDefault="00291FCD" w:rsidP="00304CA9">
      <w:pPr>
        <w:spacing w:line="360" w:lineRule="auto"/>
        <w:jc w:val="both"/>
        <w:rPr>
          <w:rFonts w:ascii="Book Antiqua" w:hAnsi="Book Antiqua"/>
          <w:i/>
          <w:sz w:val="24"/>
          <w:szCs w:val="24"/>
        </w:rPr>
      </w:pPr>
    </w:p>
    <w:p w:rsidR="009E422A" w:rsidRDefault="009E422A" w:rsidP="00304CA9">
      <w:pPr>
        <w:spacing w:line="360" w:lineRule="auto"/>
        <w:jc w:val="both"/>
        <w:rPr>
          <w:rFonts w:ascii="Book Antiqua" w:hAnsi="Book Antiqua"/>
          <w:i/>
          <w:sz w:val="24"/>
          <w:szCs w:val="24"/>
        </w:rPr>
      </w:pPr>
    </w:p>
    <w:p w:rsidR="009E422A" w:rsidRPr="009E422A" w:rsidRDefault="009E422A" w:rsidP="009E422A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9E422A">
        <w:rPr>
          <w:rFonts w:ascii="Book Antiqua" w:hAnsi="Book Antiqua"/>
          <w:sz w:val="24"/>
          <w:szCs w:val="24"/>
        </w:rPr>
        <w:t>Jaime Pilowsky Greene</w:t>
      </w:r>
    </w:p>
    <w:p w:rsidR="009E422A" w:rsidRPr="009E422A" w:rsidRDefault="009E422A" w:rsidP="009E422A">
      <w:pPr>
        <w:spacing w:line="360" w:lineRule="auto"/>
        <w:jc w:val="center"/>
        <w:rPr>
          <w:rFonts w:ascii="Book Antiqua" w:hAnsi="Book Antiqua"/>
          <w:b/>
          <w:i/>
          <w:sz w:val="24"/>
          <w:szCs w:val="24"/>
        </w:rPr>
      </w:pPr>
      <w:r w:rsidRPr="009E422A">
        <w:rPr>
          <w:rFonts w:ascii="Book Antiqua" w:hAnsi="Book Antiqua"/>
          <w:b/>
          <w:i/>
          <w:sz w:val="24"/>
          <w:szCs w:val="24"/>
        </w:rPr>
        <w:t>Diputado</w:t>
      </w:r>
    </w:p>
    <w:sectPr w:rsidR="009E422A" w:rsidRPr="009E422A" w:rsidSect="00286B1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53" w:rsidRDefault="005B5753" w:rsidP="00753193">
      <w:pPr>
        <w:spacing w:after="0" w:line="240" w:lineRule="auto"/>
      </w:pPr>
      <w:r>
        <w:separator/>
      </w:r>
    </w:p>
  </w:endnote>
  <w:endnote w:type="continuationSeparator" w:id="0">
    <w:p w:rsidR="005B5753" w:rsidRDefault="005B5753" w:rsidP="0075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53" w:rsidRDefault="005B5753" w:rsidP="00753193">
      <w:pPr>
        <w:spacing w:after="0" w:line="240" w:lineRule="auto"/>
      </w:pPr>
      <w:r>
        <w:separator/>
      </w:r>
    </w:p>
  </w:footnote>
  <w:footnote w:type="continuationSeparator" w:id="0">
    <w:p w:rsidR="005B5753" w:rsidRDefault="005B5753" w:rsidP="0075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93"/>
    <w:rsid w:val="000F0015"/>
    <w:rsid w:val="000F0D45"/>
    <w:rsid w:val="0010751A"/>
    <w:rsid w:val="001308DD"/>
    <w:rsid w:val="001451F9"/>
    <w:rsid w:val="00174890"/>
    <w:rsid w:val="001B42FE"/>
    <w:rsid w:val="001C5482"/>
    <w:rsid w:val="001D0F4F"/>
    <w:rsid w:val="001D4397"/>
    <w:rsid w:val="001D4A5F"/>
    <w:rsid w:val="00286B1F"/>
    <w:rsid w:val="00291FCD"/>
    <w:rsid w:val="002D054E"/>
    <w:rsid w:val="002E6AC7"/>
    <w:rsid w:val="002F7025"/>
    <w:rsid w:val="00304C6F"/>
    <w:rsid w:val="00304CA9"/>
    <w:rsid w:val="00391781"/>
    <w:rsid w:val="003C17F0"/>
    <w:rsid w:val="004437D0"/>
    <w:rsid w:val="00453B57"/>
    <w:rsid w:val="0047648E"/>
    <w:rsid w:val="00513C52"/>
    <w:rsid w:val="0051524E"/>
    <w:rsid w:val="005B5753"/>
    <w:rsid w:val="005D2C11"/>
    <w:rsid w:val="006411E4"/>
    <w:rsid w:val="00652F03"/>
    <w:rsid w:val="006D0990"/>
    <w:rsid w:val="006D677D"/>
    <w:rsid w:val="00711A82"/>
    <w:rsid w:val="00750D97"/>
    <w:rsid w:val="00753193"/>
    <w:rsid w:val="00755CE7"/>
    <w:rsid w:val="009A0AFF"/>
    <w:rsid w:val="009E422A"/>
    <w:rsid w:val="00A85F2B"/>
    <w:rsid w:val="00A86B0A"/>
    <w:rsid w:val="00AA4693"/>
    <w:rsid w:val="00AB1107"/>
    <w:rsid w:val="00AB6C87"/>
    <w:rsid w:val="00B26BFD"/>
    <w:rsid w:val="00B84944"/>
    <w:rsid w:val="00C27284"/>
    <w:rsid w:val="00C33A71"/>
    <w:rsid w:val="00C8003D"/>
    <w:rsid w:val="00C84CBA"/>
    <w:rsid w:val="00D34EED"/>
    <w:rsid w:val="00DC2333"/>
    <w:rsid w:val="00DF6834"/>
    <w:rsid w:val="00E176BF"/>
    <w:rsid w:val="00E56B59"/>
    <w:rsid w:val="00E62234"/>
    <w:rsid w:val="00E757F0"/>
    <w:rsid w:val="00F154DD"/>
    <w:rsid w:val="00F415D2"/>
    <w:rsid w:val="00F654D9"/>
    <w:rsid w:val="00F70C58"/>
    <w:rsid w:val="00F95B9A"/>
    <w:rsid w:val="00FC6843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B5AFA2-8F32-4954-8C48-A998B92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3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75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customStyle="1" w:styleId="TextonotapieCar">
    <w:name w:val="Texto nota pie Car"/>
    <w:basedOn w:val="Fuentedeprrafopredeter"/>
    <w:link w:val="Textonotapie"/>
    <w:rsid w:val="00753193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rsid w:val="00753193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494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4944"/>
    <w:rPr>
      <w:rFonts w:ascii="Consolas" w:hAnsi="Consolas" w:cs="Consolas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2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C54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5482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0" w:color="E4E5E6"/>
            <w:right w:val="none" w:sz="0" w:space="0" w:color="auto"/>
          </w:divBdr>
        </w:div>
      </w:divsChild>
    </w:div>
    <w:div w:id="257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0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7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43265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cristian concha puigrredon</dc:creator>
  <cp:keywords/>
  <dc:description/>
  <cp:lastModifiedBy>Leonardo Lueiza Ureta</cp:lastModifiedBy>
  <cp:revision>4</cp:revision>
  <cp:lastPrinted>2018-03-08T15:01:00Z</cp:lastPrinted>
  <dcterms:created xsi:type="dcterms:W3CDTF">2018-03-08T15:01:00Z</dcterms:created>
  <dcterms:modified xsi:type="dcterms:W3CDTF">2018-03-13T18:36:00Z</dcterms:modified>
</cp:coreProperties>
</file>