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9E" w:rsidRDefault="00A41E3F" w:rsidP="00A41E3F">
      <w:pPr>
        <w:spacing w:line="360" w:lineRule="auto"/>
        <w:jc w:val="center"/>
        <w:rPr>
          <w:rFonts w:ascii="Palatino Linotype" w:hAnsi="Palatino Linotype"/>
          <w:b/>
          <w:smallCaps/>
          <w:sz w:val="24"/>
          <w:lang w:val="es-CL"/>
        </w:rPr>
      </w:pPr>
      <w:r w:rsidRPr="00A41E3F">
        <w:rPr>
          <w:rFonts w:ascii="Palatino Linotype" w:hAnsi="Palatino Linotype"/>
          <w:b/>
          <w:smallCaps/>
          <w:sz w:val="24"/>
          <w:lang w:val="es-CL"/>
        </w:rPr>
        <w:t>Modifica el Código Civil y la ley N°20.830, que Crea el Acuerdo de Unión Civil, para eliminar la prohibición impuesta a la mujer de contraer nuevo matrimonio o celebrar un nuevo acuerdo de unión civil, tras la disolución del anterior vínculo, y regular en consecuencia la presunción de paternidad</w:t>
      </w:r>
    </w:p>
    <w:p w:rsidR="00A41E3F" w:rsidRPr="0069720B" w:rsidRDefault="00A41E3F" w:rsidP="00A41E3F">
      <w:pPr>
        <w:spacing w:line="360" w:lineRule="auto"/>
        <w:jc w:val="center"/>
        <w:rPr>
          <w:rFonts w:ascii="Palatino Linotype" w:hAnsi="Palatino Linotype"/>
          <w:b/>
          <w:smallCaps/>
          <w:sz w:val="24"/>
          <w:lang w:val="es-CL"/>
        </w:rPr>
      </w:pPr>
      <w:r>
        <w:rPr>
          <w:rFonts w:ascii="Palatino Linotype" w:hAnsi="Palatino Linotype"/>
          <w:b/>
          <w:smallCaps/>
          <w:sz w:val="24"/>
          <w:lang w:val="es-CL"/>
        </w:rPr>
        <w:t>Boletín N°11767-18</w:t>
      </w:r>
    </w:p>
    <w:p w:rsidR="00783E19" w:rsidRDefault="00783E19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Las personas pueden, en nuestra regulación, contraer segundas nupcias libremente</w:t>
      </w:r>
      <w:r w:rsidR="0069720B">
        <w:rPr>
          <w:rFonts w:ascii="Palatino Linotype" w:hAnsi="Palatino Linotype"/>
          <w:sz w:val="24"/>
          <w:lang w:val="es-CL"/>
        </w:rPr>
        <w:t xml:space="preserve"> una vez que el anterior matrimonio ha sido disuelto, con la sola limitación que establece el Título V del Libro Primero del Código Civil. Este título establece limitaciones en 2 casos: 1) Para el que tiene hijos de precedente matrimonio bajo su patria potestad, tutela o curaduría, quien para volver a casarse deberá realizar inventario solemne de los bienes que esté administrando y les pertenezcan como herederos de su cónyuge difunto; y, 2) Para la mujer, que no podrá volver a contraer matrimonio estando embarazada o, en todo caso, antes de 270 días desde la disolución o declaración de nulidad del matrimonio, </w:t>
      </w:r>
      <w:r w:rsidR="00D92608">
        <w:rPr>
          <w:rFonts w:ascii="Palatino Linotype" w:hAnsi="Palatino Linotype"/>
          <w:sz w:val="24"/>
          <w:lang w:val="es-CL"/>
        </w:rPr>
        <w:t>plazo que se reduce por el tiempo que</w:t>
      </w:r>
      <w:r w:rsidR="0069720B">
        <w:rPr>
          <w:rFonts w:ascii="Palatino Linotype" w:hAnsi="Palatino Linotype"/>
          <w:sz w:val="24"/>
          <w:lang w:val="es-CL"/>
        </w:rPr>
        <w:t xml:space="preserve"> la mujer pruebe judicialmente que no hay posibilidad de que el marido del matrimonio disuelto no pudo tener posibilidad de embarazarla.</w:t>
      </w:r>
    </w:p>
    <w:p w:rsidR="00E1504E" w:rsidRDefault="00E1504E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</w:p>
    <w:p w:rsidR="0069720B" w:rsidRDefault="00D92608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En el caso de la limitación a la mujer que intenta contraer segundas nupcias, esta norma cobra sentido en el contexto de la creación de nuestro Código Civil, a mediados del siglo XIX, en que resultaba dificultoso, por no existir los medios científicos que se poseen ahora, determinar la paternidad de un niño, más aún c</w:t>
      </w:r>
      <w:r w:rsidR="00720EFC">
        <w:rPr>
          <w:rFonts w:ascii="Palatino Linotype" w:hAnsi="Palatino Linotype"/>
          <w:sz w:val="24"/>
          <w:lang w:val="es-CL"/>
        </w:rPr>
        <w:t>uando opera una presunción de paternidad sobre el marido que persiste por 300 días siguientes a la disolución del matrimonio, pudiendo ocurrir una duplicidad de presunción si la mujer contrae matrimonio nuevamente dentro de dicho plazo. Es para evitar la duplicidad en dicha presunción del artículo 184 y la confusión de paternidad, que el legislador estableció en el artículo 128 una limitante a la mujer de volver a contraer matrimonio antes del parto si estuviere embarazada o antes de 270 días, en caso que no hubiere señales de aquello.</w:t>
      </w:r>
    </w:p>
    <w:p w:rsidR="00DA37B5" w:rsidRDefault="00720EFC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Esta limitación, sin embargo, no tiene sentido en nuestros días, ya que es posible por los avances científicos determinar la paternidad de un niño, aun dentro del vientre materno, y determinar en forma fehaciente el e</w:t>
      </w:r>
      <w:r w:rsidR="00DA37B5">
        <w:rPr>
          <w:rFonts w:ascii="Palatino Linotype" w:hAnsi="Palatino Linotype"/>
          <w:sz w:val="24"/>
          <w:lang w:val="es-CL"/>
        </w:rPr>
        <w:t>stado de gravidez de una mujer.</w:t>
      </w:r>
    </w:p>
    <w:p w:rsidR="00E1504E" w:rsidRDefault="00E1504E" w:rsidP="00A41E3F">
      <w:pPr>
        <w:spacing w:line="24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bookmarkStart w:id="0" w:name="_GoBack"/>
      <w:bookmarkEnd w:id="0"/>
    </w:p>
    <w:p w:rsidR="00DA37B5" w:rsidRDefault="00DA37B5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Asimismo, la Ley N°19.947 estableció la Nueva Ley de Matrimonio Civil en 2004, derogando a la antigua Ley de Matrimonio Civil que databa del siglo XIX, y estableció el divorcio, que puede ser unilateral o bilateral, pero que en ambos casos requieren de al menos</w:t>
      </w:r>
      <w:r w:rsidR="00620413">
        <w:rPr>
          <w:rFonts w:ascii="Palatino Linotype" w:hAnsi="Palatino Linotype"/>
          <w:sz w:val="24"/>
          <w:lang w:val="es-CL"/>
        </w:rPr>
        <w:t xml:space="preserve"> un</w:t>
      </w:r>
      <w:r>
        <w:rPr>
          <w:rFonts w:ascii="Palatino Linotype" w:hAnsi="Palatino Linotype"/>
          <w:sz w:val="24"/>
          <w:lang w:val="es-CL"/>
        </w:rPr>
        <w:t xml:space="preserve"> añ</w:t>
      </w:r>
      <w:r w:rsidR="00620413">
        <w:rPr>
          <w:rFonts w:ascii="Palatino Linotype" w:hAnsi="Palatino Linotype"/>
          <w:sz w:val="24"/>
          <w:lang w:val="es-CL"/>
        </w:rPr>
        <w:t xml:space="preserve">o de </w:t>
      </w:r>
      <w:proofErr w:type="gramStart"/>
      <w:r w:rsidR="00620413">
        <w:rPr>
          <w:rFonts w:ascii="Palatino Linotype" w:hAnsi="Palatino Linotype"/>
          <w:sz w:val="24"/>
          <w:lang w:val="es-CL"/>
        </w:rPr>
        <w:lastRenderedPageBreak/>
        <w:t>separación</w:t>
      </w:r>
      <w:proofErr w:type="gramEnd"/>
      <w:r w:rsidR="00620413">
        <w:rPr>
          <w:rFonts w:ascii="Palatino Linotype" w:hAnsi="Palatino Linotype"/>
          <w:sz w:val="24"/>
          <w:lang w:val="es-CL"/>
        </w:rPr>
        <w:t xml:space="preserve"> de los cónyuges. </w:t>
      </w:r>
      <w:r w:rsidR="009D57A1">
        <w:rPr>
          <w:rFonts w:ascii="Palatino Linotype" w:hAnsi="Palatino Linotype"/>
          <w:sz w:val="24"/>
          <w:lang w:val="es-CL"/>
        </w:rPr>
        <w:t>Al respecto, es pertinente resaltar que dicho</w:t>
      </w:r>
      <w:r>
        <w:rPr>
          <w:rFonts w:ascii="Palatino Linotype" w:hAnsi="Palatino Linotype"/>
          <w:sz w:val="24"/>
          <w:lang w:val="es-CL"/>
        </w:rPr>
        <w:t xml:space="preserve"> </w:t>
      </w:r>
      <w:r w:rsidR="00620413">
        <w:rPr>
          <w:rFonts w:ascii="Palatino Linotype" w:hAnsi="Palatino Linotype"/>
          <w:sz w:val="24"/>
          <w:lang w:val="es-CL"/>
        </w:rPr>
        <w:t xml:space="preserve">plazo legal comienza a regir desde el momento que se notifica del cese de convivencia, hecho cierto y concreto que </w:t>
      </w:r>
      <w:r w:rsidR="005412C0">
        <w:rPr>
          <w:rFonts w:ascii="Palatino Linotype" w:hAnsi="Palatino Linotype"/>
          <w:sz w:val="24"/>
          <w:lang w:val="es-CL"/>
        </w:rPr>
        <w:t xml:space="preserve">se </w:t>
      </w:r>
      <w:r w:rsidR="00620413">
        <w:rPr>
          <w:rFonts w:ascii="Palatino Linotype" w:hAnsi="Palatino Linotype"/>
          <w:sz w:val="24"/>
          <w:lang w:val="es-CL"/>
        </w:rPr>
        <w:t xml:space="preserve">contradice </w:t>
      </w:r>
      <w:r w:rsidR="005412C0">
        <w:rPr>
          <w:rFonts w:ascii="Palatino Linotype" w:hAnsi="Palatino Linotype"/>
          <w:sz w:val="24"/>
          <w:lang w:val="es-CL"/>
        </w:rPr>
        <w:t>con las normas</w:t>
      </w:r>
      <w:r w:rsidR="00620413">
        <w:rPr>
          <w:rFonts w:ascii="Palatino Linotype" w:hAnsi="Palatino Linotype"/>
          <w:sz w:val="24"/>
          <w:lang w:val="es-CL"/>
        </w:rPr>
        <w:t xml:space="preserve"> vigentes en relación a las presunciones de </w:t>
      </w:r>
      <w:r w:rsidR="005412C0">
        <w:rPr>
          <w:rFonts w:ascii="Palatino Linotype" w:hAnsi="Palatino Linotype"/>
          <w:sz w:val="24"/>
          <w:lang w:val="es-CL"/>
        </w:rPr>
        <w:t>paternidad dispuestas en el Código Civil.</w:t>
      </w:r>
    </w:p>
    <w:p w:rsidR="00E1504E" w:rsidRDefault="00E1504E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</w:p>
    <w:p w:rsidR="00720EFC" w:rsidRDefault="00720EFC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 xml:space="preserve">Por ello, una norma que limite a la mujer a contraer segundas nupcias inmediatamente es innecesaria y produce, por el contrario, </w:t>
      </w:r>
      <w:r w:rsidR="006114EA">
        <w:rPr>
          <w:rFonts w:ascii="Palatino Linotype" w:hAnsi="Palatino Linotype"/>
          <w:sz w:val="24"/>
          <w:lang w:val="es-CL"/>
        </w:rPr>
        <w:t xml:space="preserve">una desigualdad de género en el que la mujer está obligada a esperar 9 meses (o iniciar gestiones judiciales con los costos que ello implica) para volver a </w:t>
      </w:r>
      <w:r w:rsidR="00ED1627">
        <w:rPr>
          <w:rFonts w:ascii="Palatino Linotype" w:hAnsi="Palatino Linotype"/>
          <w:sz w:val="24"/>
          <w:lang w:val="es-CL"/>
        </w:rPr>
        <w:t>celebrar un matrimonio, cuando un hombre en las mismas circunstancias que su ex</w:t>
      </w:r>
      <w:r w:rsidR="00620413">
        <w:rPr>
          <w:rFonts w:ascii="Palatino Linotype" w:hAnsi="Palatino Linotype"/>
          <w:sz w:val="24"/>
          <w:lang w:val="es-CL"/>
        </w:rPr>
        <w:t xml:space="preserve"> </w:t>
      </w:r>
      <w:r w:rsidR="00ED1627">
        <w:rPr>
          <w:rFonts w:ascii="Palatino Linotype" w:hAnsi="Palatino Linotype"/>
          <w:sz w:val="24"/>
          <w:lang w:val="es-CL"/>
        </w:rPr>
        <w:t xml:space="preserve">cónyuge </w:t>
      </w:r>
      <w:r w:rsidR="00620413">
        <w:rPr>
          <w:rFonts w:ascii="Palatino Linotype" w:hAnsi="Palatino Linotype"/>
          <w:sz w:val="24"/>
          <w:lang w:val="es-CL"/>
        </w:rPr>
        <w:t xml:space="preserve">– ella </w:t>
      </w:r>
      <w:r w:rsidR="00ED1627">
        <w:rPr>
          <w:rFonts w:ascii="Palatino Linotype" w:hAnsi="Palatino Linotype"/>
          <w:sz w:val="24"/>
          <w:lang w:val="es-CL"/>
        </w:rPr>
        <w:t>se encuentre embarazada</w:t>
      </w:r>
      <w:r w:rsidR="00620413">
        <w:rPr>
          <w:rFonts w:ascii="Palatino Linotype" w:hAnsi="Palatino Linotype"/>
          <w:sz w:val="24"/>
          <w:lang w:val="es-CL"/>
        </w:rPr>
        <w:t xml:space="preserve">- </w:t>
      </w:r>
      <w:r w:rsidR="00ED1627">
        <w:rPr>
          <w:rFonts w:ascii="Palatino Linotype" w:hAnsi="Palatino Linotype"/>
          <w:sz w:val="24"/>
          <w:lang w:val="es-CL"/>
        </w:rPr>
        <w:t xml:space="preserve"> puede contraer matrimonio inmediatamente.</w:t>
      </w:r>
    </w:p>
    <w:p w:rsidR="00E1504E" w:rsidRDefault="00E1504E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</w:p>
    <w:p w:rsidR="006552A3" w:rsidRDefault="00ED1627" w:rsidP="00E1504E">
      <w:pPr>
        <w:spacing w:line="360" w:lineRule="auto"/>
        <w:ind w:firstLine="709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Esta desigualdad sobre la mujer que ha sido mantenida hasta nuestros días, y más aún renovada en la institución del Acuerdo de Unión Civil establecido por la Ley N°20.830, debe ser modificada, en consideración a los avances científicos que permiten evitar una confusión de paternidad.</w:t>
      </w:r>
    </w:p>
    <w:p w:rsidR="00E1504E" w:rsidRDefault="00E1504E" w:rsidP="00E1504E">
      <w:pPr>
        <w:spacing w:line="360" w:lineRule="auto"/>
        <w:ind w:firstLine="709"/>
        <w:jc w:val="both"/>
        <w:rPr>
          <w:rFonts w:ascii="Palatino Linotype" w:hAnsi="Palatino Linotype"/>
          <w:b/>
          <w:sz w:val="24"/>
          <w:lang w:val="es-CL"/>
        </w:rPr>
      </w:pPr>
    </w:p>
    <w:p w:rsidR="00783E19" w:rsidRDefault="00783E19" w:rsidP="00E1504E">
      <w:pPr>
        <w:spacing w:line="360" w:lineRule="auto"/>
        <w:ind w:firstLine="709"/>
        <w:jc w:val="both"/>
        <w:rPr>
          <w:rFonts w:ascii="Palatino Linotype" w:hAnsi="Palatino Linotype"/>
          <w:b/>
          <w:sz w:val="24"/>
          <w:lang w:val="es-CL"/>
        </w:rPr>
      </w:pPr>
      <w:r>
        <w:rPr>
          <w:rFonts w:ascii="Palatino Linotype" w:hAnsi="Palatino Linotype"/>
          <w:b/>
          <w:sz w:val="24"/>
          <w:lang w:val="es-CL"/>
        </w:rPr>
        <w:t>IDEAS MATRICES:</w:t>
      </w:r>
    </w:p>
    <w:p w:rsidR="00783E19" w:rsidRPr="00783E19" w:rsidRDefault="00783E19" w:rsidP="00E1504E">
      <w:p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 xml:space="preserve">Este proyecto se propone modificar la institución de segundas nupcias para la mujer, de forma que esta no deba esperar 270 días desde el término del matrimonio </w:t>
      </w:r>
      <w:r w:rsidR="00ED1627">
        <w:rPr>
          <w:rFonts w:ascii="Palatino Linotype" w:hAnsi="Palatino Linotype"/>
          <w:sz w:val="24"/>
          <w:lang w:val="es-CL"/>
        </w:rPr>
        <w:t xml:space="preserve">o Acuerdo de Unión Civil </w:t>
      </w:r>
      <w:r>
        <w:rPr>
          <w:rFonts w:ascii="Palatino Linotype" w:hAnsi="Palatino Linotype"/>
          <w:sz w:val="24"/>
          <w:lang w:val="es-CL"/>
        </w:rPr>
        <w:t>para volver a contraerlo, en igualdad a la situación del hombre.</w:t>
      </w:r>
    </w:p>
    <w:p w:rsidR="00BB1C88" w:rsidRDefault="00BB1C88" w:rsidP="00E1504E">
      <w:pPr>
        <w:spacing w:line="360" w:lineRule="auto"/>
        <w:jc w:val="center"/>
        <w:rPr>
          <w:rFonts w:ascii="Palatino Linotype" w:hAnsi="Palatino Linotype"/>
          <w:b/>
          <w:sz w:val="24"/>
          <w:lang w:val="es-CL"/>
        </w:rPr>
      </w:pPr>
    </w:p>
    <w:p w:rsidR="00DF3FCD" w:rsidRPr="00935040" w:rsidRDefault="00AE336D" w:rsidP="00E1504E">
      <w:pPr>
        <w:spacing w:line="360" w:lineRule="auto"/>
        <w:jc w:val="center"/>
        <w:rPr>
          <w:rFonts w:ascii="Palatino Linotype" w:hAnsi="Palatino Linotype"/>
          <w:b/>
          <w:sz w:val="24"/>
          <w:lang w:val="es-CL"/>
        </w:rPr>
      </w:pPr>
      <w:r w:rsidRPr="00935040">
        <w:rPr>
          <w:rFonts w:ascii="Palatino Linotype" w:hAnsi="Palatino Linotype"/>
          <w:b/>
          <w:sz w:val="24"/>
          <w:lang w:val="es-CL"/>
        </w:rPr>
        <w:t>PROYECTO DE LEY</w:t>
      </w:r>
    </w:p>
    <w:p w:rsidR="00AE336D" w:rsidRDefault="00AE336D" w:rsidP="00E1504E">
      <w:p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 w:rsidRPr="00935040">
        <w:rPr>
          <w:rFonts w:ascii="Palatino Linotype" w:hAnsi="Palatino Linotype"/>
          <w:b/>
          <w:sz w:val="24"/>
          <w:lang w:val="es-CL"/>
        </w:rPr>
        <w:t xml:space="preserve">Artículo </w:t>
      </w:r>
      <w:r w:rsidR="00ED1627">
        <w:rPr>
          <w:rFonts w:ascii="Palatino Linotype" w:hAnsi="Palatino Linotype"/>
          <w:b/>
          <w:sz w:val="24"/>
          <w:lang w:val="es-CL"/>
        </w:rPr>
        <w:t>1°</w:t>
      </w:r>
      <w:r w:rsidRPr="00935040">
        <w:rPr>
          <w:rFonts w:ascii="Palatino Linotype" w:hAnsi="Palatino Linotype"/>
          <w:b/>
          <w:sz w:val="24"/>
          <w:lang w:val="es-CL"/>
        </w:rPr>
        <w:t>:</w:t>
      </w:r>
      <w:r w:rsidR="00935040">
        <w:rPr>
          <w:rFonts w:ascii="Palatino Linotype" w:hAnsi="Palatino Linotype"/>
          <w:b/>
          <w:sz w:val="24"/>
          <w:lang w:val="es-CL"/>
        </w:rPr>
        <w:t xml:space="preserve"> </w:t>
      </w:r>
      <w:r w:rsidR="00963252">
        <w:rPr>
          <w:rFonts w:ascii="Palatino Linotype" w:hAnsi="Palatino Linotype"/>
          <w:sz w:val="24"/>
          <w:lang w:val="es-CL"/>
        </w:rPr>
        <w:t>Modifíquese el Código Civil</w:t>
      </w:r>
      <w:r w:rsidR="003C02C3">
        <w:rPr>
          <w:rFonts w:ascii="Palatino Linotype" w:hAnsi="Palatino Linotype"/>
          <w:sz w:val="24"/>
          <w:lang w:val="es-CL"/>
        </w:rPr>
        <w:t xml:space="preserve"> cuyo texto refundido se encuentra en el Decreto con Fuerza de Ley N°1 del Ministerio de Justicia del año 2000,</w:t>
      </w:r>
      <w:r w:rsidR="00963252">
        <w:rPr>
          <w:rFonts w:ascii="Palatino Linotype" w:hAnsi="Palatino Linotype"/>
          <w:sz w:val="24"/>
          <w:lang w:val="es-CL"/>
        </w:rPr>
        <w:t xml:space="preserve"> en el siguiente sentido:</w:t>
      </w:r>
    </w:p>
    <w:p w:rsidR="00386A7D" w:rsidRDefault="00D92608" w:rsidP="00E1504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Al artículo 128, para derogarlo.</w:t>
      </w:r>
    </w:p>
    <w:p w:rsidR="00B62C19" w:rsidRDefault="00B62C19" w:rsidP="00E1504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 xml:space="preserve">Al artículo 129, para </w:t>
      </w:r>
      <w:r w:rsidR="00D92608">
        <w:rPr>
          <w:rFonts w:ascii="Palatino Linotype" w:hAnsi="Palatino Linotype"/>
          <w:sz w:val="24"/>
          <w:lang w:val="es-CL"/>
        </w:rPr>
        <w:t>derogarlo</w:t>
      </w:r>
      <w:r>
        <w:rPr>
          <w:rFonts w:ascii="Palatino Linotype" w:hAnsi="Palatino Linotype"/>
          <w:sz w:val="24"/>
          <w:lang w:val="es-CL"/>
        </w:rPr>
        <w:t>.</w:t>
      </w:r>
    </w:p>
    <w:p w:rsidR="00ED1627" w:rsidRDefault="00ED1627" w:rsidP="00E1504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Al artículo 130</w:t>
      </w:r>
      <w:r w:rsidR="003C02C3">
        <w:rPr>
          <w:rFonts w:ascii="Palatino Linotype" w:hAnsi="Palatino Linotype"/>
          <w:sz w:val="24"/>
          <w:lang w:val="es-CL"/>
        </w:rPr>
        <w:t xml:space="preserve">, para </w:t>
      </w:r>
      <w:r w:rsidR="00DA37B5">
        <w:rPr>
          <w:rFonts w:ascii="Palatino Linotype" w:hAnsi="Palatino Linotype"/>
          <w:sz w:val="24"/>
          <w:lang w:val="es-CL"/>
        </w:rPr>
        <w:t>derogarlo.</w:t>
      </w:r>
    </w:p>
    <w:p w:rsidR="00BB1C88" w:rsidRDefault="002C609E" w:rsidP="00E1504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Al artículo 184</w:t>
      </w:r>
      <w:r w:rsidR="00BB1C88">
        <w:rPr>
          <w:rFonts w:ascii="Palatino Linotype" w:hAnsi="Palatino Linotype"/>
          <w:sz w:val="24"/>
          <w:lang w:val="es-CL"/>
        </w:rPr>
        <w:t>:</w:t>
      </w:r>
    </w:p>
    <w:p w:rsidR="00BB1C88" w:rsidRPr="00BB1C88" w:rsidRDefault="00BB1C88" w:rsidP="00E1504E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 xml:space="preserve">Para reemplazar en el inciso primero la frase “a su disolución o a la separación judicial de los cónyuges” por la siguiente: “a la separación judicial de los cónyuges </w:t>
      </w:r>
      <w:r>
        <w:rPr>
          <w:rFonts w:ascii="Palatino Linotype" w:hAnsi="Palatino Linotype"/>
          <w:sz w:val="24"/>
          <w:lang w:val="es-CL"/>
        </w:rPr>
        <w:lastRenderedPageBreak/>
        <w:t>o a la expiración del matrimonio por muerte del cónyuge. Si el matrimonio terminare por divorcio culposo en los términos del artículo 54 de la Ley N°19.947, el plazo de trescientos días iniciará desde que sea notificada la demanda de divorcio.”</w:t>
      </w:r>
    </w:p>
    <w:p w:rsidR="00BB1C88" w:rsidRPr="00386A7D" w:rsidRDefault="00BB1C88" w:rsidP="00E1504E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sz w:val="24"/>
          <w:lang w:val="es-CL"/>
        </w:rPr>
        <w:t>Para intercalar un nuevo inciso cuarto, pasando el actual a ser quinto y final, del siguiente tenor: “</w:t>
      </w:r>
      <w:r w:rsidRPr="00620413">
        <w:rPr>
          <w:rFonts w:ascii="Palatino Linotype" w:hAnsi="Palatino Linotype"/>
          <w:sz w:val="24"/>
          <w:lang w:val="es-CL"/>
        </w:rPr>
        <w:t xml:space="preserve">Con todo, si la madre </w:t>
      </w:r>
      <w:r w:rsidR="002F2814" w:rsidRPr="00620413">
        <w:rPr>
          <w:rFonts w:ascii="Palatino Linotype" w:hAnsi="Palatino Linotype"/>
          <w:sz w:val="24"/>
          <w:lang w:val="es-CL"/>
        </w:rPr>
        <w:t xml:space="preserve">celebrare acuerdo de </w:t>
      </w:r>
      <w:r w:rsidR="00E1504E" w:rsidRPr="00620413">
        <w:rPr>
          <w:rFonts w:ascii="Palatino Linotype" w:hAnsi="Palatino Linotype"/>
          <w:sz w:val="24"/>
          <w:lang w:val="es-CL"/>
        </w:rPr>
        <w:t>unión</w:t>
      </w:r>
      <w:r w:rsidR="002F2814" w:rsidRPr="00620413">
        <w:rPr>
          <w:rFonts w:ascii="Palatino Linotype" w:hAnsi="Palatino Linotype"/>
          <w:sz w:val="24"/>
          <w:lang w:val="es-CL"/>
        </w:rPr>
        <w:t xml:space="preserve"> civil o matrimonio</w:t>
      </w:r>
      <w:r w:rsidRPr="00620413">
        <w:rPr>
          <w:rFonts w:ascii="Palatino Linotype" w:hAnsi="Palatino Linotype"/>
          <w:sz w:val="24"/>
          <w:lang w:val="es-CL"/>
        </w:rPr>
        <w:t xml:space="preserve"> en forma sucesiva a aquel </w:t>
      </w:r>
      <w:r w:rsidR="002F2814" w:rsidRPr="00620413">
        <w:rPr>
          <w:rFonts w:ascii="Palatino Linotype" w:hAnsi="Palatino Linotype"/>
          <w:sz w:val="24"/>
          <w:lang w:val="es-CL"/>
        </w:rPr>
        <w:t xml:space="preserve">acuerdo de </w:t>
      </w:r>
      <w:r w:rsidR="00E1504E" w:rsidRPr="00620413">
        <w:rPr>
          <w:rFonts w:ascii="Palatino Linotype" w:hAnsi="Palatino Linotype"/>
          <w:sz w:val="24"/>
          <w:lang w:val="es-CL"/>
        </w:rPr>
        <w:t>unión</w:t>
      </w:r>
      <w:r w:rsidR="002F2814" w:rsidRPr="00620413">
        <w:rPr>
          <w:rFonts w:ascii="Palatino Linotype" w:hAnsi="Palatino Linotype"/>
          <w:sz w:val="24"/>
          <w:lang w:val="es-CL"/>
        </w:rPr>
        <w:t xml:space="preserve"> civil expirado, se presumirá hijo del ex conviviente </w:t>
      </w:r>
      <w:r w:rsidRPr="00620413">
        <w:rPr>
          <w:rFonts w:ascii="Palatino Linotype" w:hAnsi="Palatino Linotype"/>
          <w:sz w:val="24"/>
          <w:lang w:val="es-CL"/>
        </w:rPr>
        <w:t xml:space="preserve">al nacido dentro de los trescientos días siguientes a la expiración del </w:t>
      </w:r>
      <w:r w:rsidR="002F2814" w:rsidRPr="00620413">
        <w:rPr>
          <w:rFonts w:ascii="Palatino Linotype" w:hAnsi="Palatino Linotype"/>
          <w:sz w:val="24"/>
          <w:lang w:val="es-CL"/>
        </w:rPr>
        <w:t xml:space="preserve">acuerdo de </w:t>
      </w:r>
      <w:r w:rsidR="00E1504E" w:rsidRPr="00620413">
        <w:rPr>
          <w:rFonts w:ascii="Palatino Linotype" w:hAnsi="Palatino Linotype"/>
          <w:sz w:val="24"/>
          <w:lang w:val="es-CL"/>
        </w:rPr>
        <w:t>unión</w:t>
      </w:r>
      <w:r w:rsidR="002F2814" w:rsidRPr="00620413">
        <w:rPr>
          <w:rFonts w:ascii="Palatino Linotype" w:hAnsi="Palatino Linotype"/>
          <w:sz w:val="24"/>
          <w:lang w:val="es-CL"/>
        </w:rPr>
        <w:t xml:space="preserve"> civil</w:t>
      </w:r>
      <w:r w:rsidRPr="00620413">
        <w:rPr>
          <w:rFonts w:ascii="Palatino Linotype" w:hAnsi="Palatino Linotype"/>
          <w:sz w:val="24"/>
          <w:lang w:val="es-CL"/>
        </w:rPr>
        <w:t>. La presunción establecida en este artículo admite prueba en contrario.”</w:t>
      </w:r>
    </w:p>
    <w:p w:rsidR="00AE336D" w:rsidRPr="003C02C3" w:rsidRDefault="003C02C3" w:rsidP="00E1504E">
      <w:pPr>
        <w:spacing w:line="360" w:lineRule="auto"/>
        <w:rPr>
          <w:rFonts w:ascii="Palatino Linotype" w:hAnsi="Palatino Linotype"/>
          <w:sz w:val="24"/>
          <w:lang w:val="es-CL"/>
        </w:rPr>
      </w:pPr>
      <w:r>
        <w:rPr>
          <w:rFonts w:ascii="Palatino Linotype" w:hAnsi="Palatino Linotype"/>
          <w:b/>
          <w:sz w:val="24"/>
          <w:lang w:val="es-CL"/>
        </w:rPr>
        <w:t>Artículo 2°:</w:t>
      </w:r>
      <w:r>
        <w:rPr>
          <w:rFonts w:ascii="Palatino Linotype" w:hAnsi="Palatino Linotype"/>
          <w:sz w:val="24"/>
          <w:lang w:val="es-CL"/>
        </w:rPr>
        <w:t xml:space="preserve"> Derogase el artículo 11 de la Ley N°20.830 que Crea el Acuerdo de Unión Civil.</w:t>
      </w:r>
    </w:p>
    <w:p w:rsidR="00AE336D" w:rsidRPr="00935040" w:rsidRDefault="00AE336D" w:rsidP="00E1504E">
      <w:pPr>
        <w:spacing w:line="360" w:lineRule="auto"/>
        <w:rPr>
          <w:rFonts w:ascii="Palatino Linotype" w:hAnsi="Palatino Linotype"/>
          <w:sz w:val="24"/>
          <w:lang w:val="es-CL"/>
        </w:rPr>
      </w:pPr>
    </w:p>
    <w:p w:rsidR="00AE336D" w:rsidRDefault="00AE336D" w:rsidP="00E1504E">
      <w:pPr>
        <w:spacing w:line="360" w:lineRule="auto"/>
        <w:jc w:val="center"/>
        <w:rPr>
          <w:rFonts w:ascii="Palatino Linotype" w:hAnsi="Palatino Linotype"/>
          <w:sz w:val="24"/>
          <w:lang w:val="es-CL"/>
        </w:rPr>
      </w:pPr>
    </w:p>
    <w:p w:rsidR="008459F7" w:rsidRDefault="008459F7" w:rsidP="00E1504E">
      <w:pPr>
        <w:spacing w:line="360" w:lineRule="auto"/>
        <w:jc w:val="center"/>
        <w:rPr>
          <w:rFonts w:ascii="Palatino Linotype" w:hAnsi="Palatino Linotype"/>
          <w:sz w:val="24"/>
          <w:lang w:val="es-CL"/>
        </w:rPr>
      </w:pPr>
    </w:p>
    <w:p w:rsidR="008459F7" w:rsidRDefault="008459F7" w:rsidP="00E1504E">
      <w:pPr>
        <w:spacing w:line="360" w:lineRule="auto"/>
        <w:jc w:val="center"/>
        <w:rPr>
          <w:rFonts w:ascii="Palatino Linotype" w:hAnsi="Palatino Linotype"/>
          <w:sz w:val="24"/>
          <w:lang w:val="es-CL"/>
        </w:rPr>
      </w:pPr>
    </w:p>
    <w:sectPr w:rsidR="008459F7" w:rsidSect="00BB1C88">
      <w:pgSz w:w="12240" w:h="18720" w:code="14"/>
      <w:pgMar w:top="1134" w:right="104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E7B5A"/>
    <w:multiLevelType w:val="hybridMultilevel"/>
    <w:tmpl w:val="154C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6D"/>
    <w:rsid w:val="002C609E"/>
    <w:rsid w:val="002F2814"/>
    <w:rsid w:val="00386A7D"/>
    <w:rsid w:val="003A24BE"/>
    <w:rsid w:val="003C02C3"/>
    <w:rsid w:val="005412C0"/>
    <w:rsid w:val="00566858"/>
    <w:rsid w:val="005A249A"/>
    <w:rsid w:val="006114EA"/>
    <w:rsid w:val="00620413"/>
    <w:rsid w:val="006552A3"/>
    <w:rsid w:val="0069720B"/>
    <w:rsid w:val="00720EFC"/>
    <w:rsid w:val="00724A9A"/>
    <w:rsid w:val="00783E19"/>
    <w:rsid w:val="008459F7"/>
    <w:rsid w:val="008844EE"/>
    <w:rsid w:val="00935040"/>
    <w:rsid w:val="00963252"/>
    <w:rsid w:val="009D57A1"/>
    <w:rsid w:val="00A41E3F"/>
    <w:rsid w:val="00AE336D"/>
    <w:rsid w:val="00B52D72"/>
    <w:rsid w:val="00B62C19"/>
    <w:rsid w:val="00BB1C88"/>
    <w:rsid w:val="00D92608"/>
    <w:rsid w:val="00DA268B"/>
    <w:rsid w:val="00DA2C3F"/>
    <w:rsid w:val="00DA37B5"/>
    <w:rsid w:val="00DF3FCD"/>
    <w:rsid w:val="00E1504E"/>
    <w:rsid w:val="00E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497413-735F-4046-8286-3E374C90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2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David Gutiérrez Castro</dc:creator>
  <cp:keywords/>
  <dc:description/>
  <cp:lastModifiedBy>Leonardo Lueiza Ureta</cp:lastModifiedBy>
  <cp:revision>3</cp:revision>
  <cp:lastPrinted>2018-05-30T13:56:00Z</cp:lastPrinted>
  <dcterms:created xsi:type="dcterms:W3CDTF">2018-05-31T12:43:00Z</dcterms:created>
  <dcterms:modified xsi:type="dcterms:W3CDTF">2018-05-31T15:51:00Z</dcterms:modified>
</cp:coreProperties>
</file>