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79" w:rsidRDefault="00573CBA" w:rsidP="00A92DCE">
      <w:pPr>
        <w:spacing w:before="120" w:after="120" w:line="276" w:lineRule="auto"/>
        <w:jc w:val="center"/>
        <w:rPr>
          <w:b/>
        </w:rPr>
      </w:pPr>
      <w:r w:rsidRPr="00573CBA">
        <w:rPr>
          <w:b/>
        </w:rPr>
        <w:t xml:space="preserve">Modifica diversos textos legales en lo que respecta a las facultades de las </w:t>
      </w:r>
      <w:proofErr w:type="spellStart"/>
      <w:r w:rsidRPr="00573CBA">
        <w:rPr>
          <w:b/>
        </w:rPr>
        <w:t>Isapres</w:t>
      </w:r>
      <w:proofErr w:type="spellEnd"/>
      <w:r w:rsidRPr="00573CBA">
        <w:rPr>
          <w:b/>
        </w:rPr>
        <w:t xml:space="preserve"> para modificar o rechazar las licencias médicas y al pago del subsidio por incapacidad laboral</w:t>
      </w:r>
    </w:p>
    <w:p w:rsidR="00984EEB" w:rsidRDefault="00573CBA" w:rsidP="00A92DCE">
      <w:pPr>
        <w:spacing w:before="120" w:after="120" w:line="276" w:lineRule="auto"/>
        <w:jc w:val="center"/>
        <w:rPr>
          <w:b/>
        </w:rPr>
      </w:pPr>
      <w:r>
        <w:rPr>
          <w:b/>
        </w:rPr>
        <w:t>Boletín N°11779-11</w:t>
      </w:r>
      <w:bookmarkStart w:id="0" w:name="_GoBack"/>
      <w:bookmarkEnd w:id="0"/>
    </w:p>
    <w:p w:rsidR="00F72360" w:rsidRDefault="00F72360" w:rsidP="00F72360">
      <w:pPr>
        <w:spacing w:before="120" w:after="120" w:line="276" w:lineRule="auto"/>
        <w:jc w:val="both"/>
        <w:rPr>
          <w:b/>
        </w:rPr>
      </w:pPr>
      <w:r>
        <w:rPr>
          <w:b/>
        </w:rPr>
        <w:t>Antecedentes</w:t>
      </w:r>
    </w:p>
    <w:p w:rsidR="002C7171" w:rsidRDefault="00AA48F9" w:rsidP="00F72360">
      <w:pPr>
        <w:spacing w:before="120" w:after="120" w:line="276" w:lineRule="auto"/>
        <w:jc w:val="both"/>
      </w:pPr>
      <w:r>
        <w:t>El Subsidio por Incapacidad Laboral (</w:t>
      </w:r>
      <w:r w:rsidR="002B4FC8">
        <w:t xml:space="preserve">SIL) es una prestación pecuniaria que reemplaza la remuneración de los trabajadores </w:t>
      </w:r>
      <w:r w:rsidR="000F24EE">
        <w:t xml:space="preserve">y trabajadoras </w:t>
      </w:r>
      <w:r w:rsidR="002B4FC8">
        <w:t xml:space="preserve">acogidos al sistema de salud tanto público como privado, cuando se encuentre afecto a enfermedades curativas o comunes en relación con </w:t>
      </w:r>
      <w:r w:rsidR="00966383">
        <w:t>la ocurrencia de diversas situaciones o contingencias de</w:t>
      </w:r>
      <w:r w:rsidR="002B4FC8">
        <w:t xml:space="preserve"> salud</w:t>
      </w:r>
      <w:r w:rsidR="00966383">
        <w:t>,</w:t>
      </w:r>
      <w:r w:rsidR="002B4FC8">
        <w:t xml:space="preserve"> que </w:t>
      </w:r>
      <w:r w:rsidR="00966383">
        <w:t>dificulten o impidan</w:t>
      </w:r>
      <w:r w:rsidR="002B4FC8">
        <w:t xml:space="preserve"> de manera parcial o total </w:t>
      </w:r>
      <w:r w:rsidR="00966383">
        <w:t>la</w:t>
      </w:r>
      <w:r w:rsidR="002B4FC8">
        <w:t xml:space="preserve"> </w:t>
      </w:r>
      <w:r w:rsidR="00966383">
        <w:t xml:space="preserve">actividad laboral, </w:t>
      </w:r>
      <w:r w:rsidR="002B4FC8">
        <w:t xml:space="preserve">cuestión que se acredita mediante la </w:t>
      </w:r>
      <w:r w:rsidR="002C7171">
        <w:t xml:space="preserve">correspondiente </w:t>
      </w:r>
      <w:r w:rsidR="002B4FC8">
        <w:t xml:space="preserve">licencia médica debidamente otorgada por un facultativo. </w:t>
      </w:r>
    </w:p>
    <w:p w:rsidR="009D46AC" w:rsidRDefault="0051455F" w:rsidP="00C56494">
      <w:pPr>
        <w:spacing w:before="120" w:after="120" w:line="276" w:lineRule="auto"/>
        <w:jc w:val="both"/>
      </w:pPr>
      <w:r>
        <w:t xml:space="preserve">Según lo estipula el artículo 1° del </w:t>
      </w:r>
      <w:r w:rsidR="00385D3B">
        <w:t xml:space="preserve">DS 3 de Salud que </w:t>
      </w:r>
      <w:r w:rsidR="00385D3B" w:rsidRPr="00385D3B">
        <w:t xml:space="preserve">aprueba reglamento de autorización de Licencias Médicas por las COMPIN </w:t>
      </w:r>
      <w:r w:rsidR="00385D3B">
        <w:t>e</w:t>
      </w:r>
      <w:r w:rsidR="00385D3B" w:rsidRPr="00385D3B">
        <w:t xml:space="preserve"> Instituciones De Salud Previsional</w:t>
      </w:r>
      <w:r w:rsidR="00E8512D">
        <w:t>, la licencia médica es “</w:t>
      </w:r>
      <w:r w:rsidRPr="0051455F">
        <w:t>el derecho que tiene el</w:t>
      </w:r>
      <w:r w:rsidR="00E8512D">
        <w:t xml:space="preserve"> </w:t>
      </w:r>
      <w:r w:rsidRPr="0051455F">
        <w:t>trabajador de ausentarse</w:t>
      </w:r>
      <w:r w:rsidR="00E8512D">
        <w:t xml:space="preserve"> </w:t>
      </w:r>
      <w:r w:rsidRPr="0051455F">
        <w:t>o reducir su jornada de trabajo, durante un determinado lapso de tiempo, en cumplimiento de una indicación profesional certificada por un médico-cirujano, cirujano-dentista o matrona</w:t>
      </w:r>
      <w:r w:rsidR="00D50F22">
        <w:t>”, la cual debe ser autorizada por</w:t>
      </w:r>
      <w:r w:rsidRPr="0051455F">
        <w:t xml:space="preserve"> la Comisión de M</w:t>
      </w:r>
      <w:r w:rsidR="00D50F22">
        <w:t xml:space="preserve">edicina Preventiva e Invalidez </w:t>
      </w:r>
      <w:r w:rsidRPr="0051455F">
        <w:t>"</w:t>
      </w:r>
      <w:r w:rsidR="004D03C1">
        <w:t>COMPIN</w:t>
      </w:r>
      <w:r w:rsidRPr="0051455F">
        <w:t xml:space="preserve">", o </w:t>
      </w:r>
      <w:r w:rsidR="00D50F22">
        <w:t xml:space="preserve">por la ISAPRE a que esté afiliado el trabajador. Durante el período de duración de la licencia, el trabajador </w:t>
      </w:r>
      <w:r w:rsidRPr="0051455F">
        <w:t>podrá gozar de</w:t>
      </w:r>
      <w:r w:rsidR="009D46AC">
        <w:t>l</w:t>
      </w:r>
      <w:r w:rsidRPr="0051455F">
        <w:t xml:space="preserve"> </w:t>
      </w:r>
      <w:r w:rsidR="009D46AC">
        <w:t>Subsidio por Incapacidad Laboral</w:t>
      </w:r>
      <w:r w:rsidR="004D03C1">
        <w:t>.</w:t>
      </w:r>
      <w:r w:rsidRPr="0051455F">
        <w:t xml:space="preserve"> </w:t>
      </w:r>
    </w:p>
    <w:p w:rsidR="00C56494" w:rsidRPr="00C56494" w:rsidRDefault="004D03C1" w:rsidP="00C56494">
      <w:pPr>
        <w:spacing w:before="120" w:after="120" w:line="276" w:lineRule="auto"/>
        <w:jc w:val="both"/>
      </w:pPr>
      <w:r>
        <w:t>En términos concretos, l</w:t>
      </w:r>
      <w:r w:rsidR="002C7171" w:rsidRPr="00143A59">
        <w:t xml:space="preserve">a licencia médica es </w:t>
      </w:r>
      <w:r w:rsidR="00C56494" w:rsidRPr="00143A59">
        <w:t xml:space="preserve">un documento médico administrativo </w:t>
      </w:r>
      <w:r w:rsidR="0043207B" w:rsidRPr="00143A59">
        <w:t>emitido por un </w:t>
      </w:r>
      <w:r w:rsidR="0043207B" w:rsidRPr="00143A59">
        <w:rPr>
          <w:bCs/>
        </w:rPr>
        <w:t>profesional</w:t>
      </w:r>
      <w:r w:rsidR="0043207B" w:rsidRPr="00143A59">
        <w:t> habilitado respecto de un</w:t>
      </w:r>
      <w:r w:rsidR="00C56494" w:rsidRPr="00143A59">
        <w:rPr>
          <w:bCs/>
        </w:rPr>
        <w:t xml:space="preserve"> </w:t>
      </w:r>
      <w:r w:rsidR="00143A59" w:rsidRPr="00143A59">
        <w:rPr>
          <w:bCs/>
        </w:rPr>
        <w:t>trabajador</w:t>
      </w:r>
      <w:r w:rsidR="00143A59" w:rsidRPr="00143A59">
        <w:t> que</w:t>
      </w:r>
      <w:r w:rsidR="0043207B" w:rsidRPr="00143A59">
        <w:t xml:space="preserve"> se encuentra </w:t>
      </w:r>
      <w:r w:rsidR="00B30820" w:rsidRPr="00143A59">
        <w:t>afectado por una contingencia</w:t>
      </w:r>
      <w:r w:rsidR="00143A59">
        <w:t xml:space="preserve"> de salud que impacta en su trabajo</w:t>
      </w:r>
      <w:r w:rsidR="00B30820" w:rsidRPr="00143A59">
        <w:t>. La licencia</w:t>
      </w:r>
      <w:r w:rsidR="00323991">
        <w:t xml:space="preserve"> la entrega el trabajador para que</w:t>
      </w:r>
      <w:r w:rsidR="00B30820" w:rsidRPr="00143A59">
        <w:t xml:space="preserve"> se</w:t>
      </w:r>
      <w:r w:rsidR="00323991">
        <w:t>a</w:t>
      </w:r>
      <w:r w:rsidR="00C56494" w:rsidRPr="00143A59">
        <w:t xml:space="preserve"> tramita</w:t>
      </w:r>
      <w:r w:rsidR="00323991">
        <w:t>da</w:t>
      </w:r>
      <w:r w:rsidR="00B30820" w:rsidRPr="00143A59">
        <w:t xml:space="preserve"> por el empleador ante</w:t>
      </w:r>
      <w:r w:rsidR="00C56494" w:rsidRPr="00143A59">
        <w:t xml:space="preserve"> la </w:t>
      </w:r>
      <w:r w:rsidR="00323991">
        <w:rPr>
          <w:bCs/>
        </w:rPr>
        <w:t>COMPIN</w:t>
      </w:r>
      <w:r w:rsidR="00C56494" w:rsidRPr="00143A59">
        <w:rPr>
          <w:bCs/>
        </w:rPr>
        <w:t xml:space="preserve"> o </w:t>
      </w:r>
      <w:r w:rsidR="00323991">
        <w:rPr>
          <w:bCs/>
        </w:rPr>
        <w:t>ISAPRE</w:t>
      </w:r>
      <w:r w:rsidR="00C56494" w:rsidRPr="00143A59">
        <w:t> competente, que la autoriza, rechaza o modifica, y la </w:t>
      </w:r>
      <w:r w:rsidR="00C56494" w:rsidRPr="00143A59">
        <w:rPr>
          <w:bCs/>
        </w:rPr>
        <w:t>entidad pagadora del subsidio por incapacidad laboral</w:t>
      </w:r>
      <w:r w:rsidR="00C56494" w:rsidRPr="00143A59">
        <w:t>, cuando corresponda.</w:t>
      </w:r>
      <w:r w:rsidR="00C43FFE">
        <w:t xml:space="preserve"> L</w:t>
      </w:r>
      <w:r w:rsidR="00C56494" w:rsidRPr="00C56494">
        <w:t xml:space="preserve">a licencia </w:t>
      </w:r>
      <w:r w:rsidR="00C43FFE" w:rsidRPr="00C56494">
        <w:t>médica,</w:t>
      </w:r>
      <w:r w:rsidR="00C43FFE">
        <w:t xml:space="preserve"> además,</w:t>
      </w:r>
      <w:r w:rsidR="00C56494" w:rsidRPr="00C56494">
        <w:t xml:space="preserve"> </w:t>
      </w:r>
      <w:r w:rsidR="00C43FFE">
        <w:t>otorga al trabajador o trabajadora el</w:t>
      </w:r>
      <w:r w:rsidR="00C56494" w:rsidRPr="00C56494">
        <w:t xml:space="preserve"> derecho al reposo con fines terapéuticos, </w:t>
      </w:r>
      <w:r w:rsidR="00C43FFE">
        <w:t>sirviendo como</w:t>
      </w:r>
      <w:r w:rsidR="00C56494" w:rsidRPr="00C56494">
        <w:t xml:space="preserve"> justificativo </w:t>
      </w:r>
      <w:r w:rsidR="00C43FFE">
        <w:t xml:space="preserve">suficiente </w:t>
      </w:r>
      <w:r w:rsidR="00C56494" w:rsidRPr="00C56494">
        <w:t xml:space="preserve">para ausentarse del trabajo </w:t>
      </w:r>
      <w:r w:rsidR="00C43FFE">
        <w:t>según la indicación médica que contenga</w:t>
      </w:r>
      <w:r w:rsidR="000F24EE">
        <w:t xml:space="preserve">, estipulando cual es el </w:t>
      </w:r>
      <w:r w:rsidR="00C56494" w:rsidRPr="00C56494">
        <w:t>período necesario para su recuperación.</w:t>
      </w:r>
    </w:p>
    <w:p w:rsidR="00F72360" w:rsidRDefault="000F24EE" w:rsidP="00F72360">
      <w:pPr>
        <w:spacing w:before="120" w:after="120" w:line="276" w:lineRule="auto"/>
        <w:jc w:val="both"/>
      </w:pPr>
      <w:r>
        <w:t xml:space="preserve">Según </w:t>
      </w:r>
      <w:r w:rsidR="002C7171">
        <w:t>lo ha señalado el colegio médico, “</w:t>
      </w:r>
      <w:r w:rsidR="00F72360">
        <w:t xml:space="preserve">el otorgamiento de licencia por parte de un facultativo, debe entenderse como parte del acto médico, pues el descanso forma parte de la terapia y, por consiguiente, el médico no sólo tiene la facultad de </w:t>
      </w:r>
      <w:r w:rsidR="002C7171">
        <w:lastRenderedPageBreak/>
        <w:t>otorgarla,</w:t>
      </w:r>
      <w:r w:rsidR="00F72360">
        <w:t xml:space="preserve"> sino que tiene la obligación de hacerlo, cuando corresponda de acuerdo con l</w:t>
      </w:r>
      <w:r w:rsidR="009B7858">
        <w:t>a</w:t>
      </w:r>
      <w:r w:rsidR="00F72360">
        <w:t xml:space="preserve"> </w:t>
      </w:r>
      <w:proofErr w:type="spellStart"/>
      <w:r w:rsidR="00F72360">
        <w:t>lex</w:t>
      </w:r>
      <w:proofErr w:type="spellEnd"/>
      <w:r w:rsidR="00F72360">
        <w:t xml:space="preserve"> </w:t>
      </w:r>
      <w:proofErr w:type="spellStart"/>
      <w:r w:rsidR="00F72360">
        <w:t>artis</w:t>
      </w:r>
      <w:proofErr w:type="spellEnd"/>
      <w:r w:rsidR="00F72360">
        <w:t>.</w:t>
      </w:r>
      <w:r w:rsidR="002C7171">
        <w:t>”</w:t>
      </w:r>
      <w:r w:rsidR="009B7858">
        <w:rPr>
          <w:rStyle w:val="Refdenotaalpie"/>
        </w:rPr>
        <w:footnoteReference w:id="1"/>
      </w:r>
    </w:p>
    <w:p w:rsidR="00C21038" w:rsidRDefault="00566C7F" w:rsidP="00F72360">
      <w:pPr>
        <w:spacing w:before="120" w:after="120" w:line="276" w:lineRule="auto"/>
        <w:jc w:val="both"/>
        <w:rPr>
          <w:b/>
        </w:rPr>
      </w:pPr>
      <w:r>
        <w:rPr>
          <w:b/>
        </w:rPr>
        <w:t>Las licencias médicas y e</w:t>
      </w:r>
      <w:r w:rsidR="00CA5C59">
        <w:rPr>
          <w:b/>
        </w:rPr>
        <w:t>l seguro privado de salud.</w:t>
      </w:r>
    </w:p>
    <w:p w:rsidR="00CA5C59" w:rsidRDefault="00566C7F" w:rsidP="00CA5C59">
      <w:pPr>
        <w:spacing w:before="120" w:after="120" w:line="276" w:lineRule="auto"/>
        <w:jc w:val="both"/>
      </w:pPr>
      <w:r>
        <w:t>Las Instituciones de Salud Previsional (ISAPRE) s</w:t>
      </w:r>
      <w:r w:rsidR="00CA5C59" w:rsidRPr="00CA5C59">
        <w:t xml:space="preserve">on </w:t>
      </w:r>
      <w:r w:rsidR="00B36D3E">
        <w:t>empresas</w:t>
      </w:r>
      <w:r w:rsidR="00CA5C59" w:rsidRPr="00CA5C59">
        <w:t xml:space="preserve"> privadas </w:t>
      </w:r>
      <w:r w:rsidR="008A3A52" w:rsidRPr="00CA5C59">
        <w:t>que,</w:t>
      </w:r>
      <w:r w:rsidR="008A3A52">
        <w:t xml:space="preserve"> </w:t>
      </w:r>
      <w:r w:rsidR="00CE7415">
        <w:t>mediante el cobro y captación de</w:t>
      </w:r>
      <w:r w:rsidR="00CA5C59" w:rsidRPr="00CA5C59">
        <w:t xml:space="preserve"> la</w:t>
      </w:r>
      <w:r w:rsidR="00CA5C59">
        <w:t xml:space="preserve"> </w:t>
      </w:r>
      <w:r w:rsidR="00CA5C59" w:rsidRPr="00CA5C59">
        <w:t xml:space="preserve">cotización obligatoria de </w:t>
      </w:r>
      <w:r w:rsidR="00CE7415">
        <w:t>salud</w:t>
      </w:r>
      <w:r w:rsidR="00DC56F9">
        <w:t>, (mas otros aranceles dependiendo del plan contratado)</w:t>
      </w:r>
      <w:r w:rsidR="00CE7415">
        <w:t xml:space="preserve"> de </w:t>
      </w:r>
      <w:r w:rsidR="00CA5C59" w:rsidRPr="00CA5C59">
        <w:t>los trabajadores y</w:t>
      </w:r>
      <w:r w:rsidR="00CA5C59">
        <w:t xml:space="preserve"> </w:t>
      </w:r>
      <w:r w:rsidR="00CE7415">
        <w:t xml:space="preserve">trabajadoras que se encuentran afiliados </w:t>
      </w:r>
      <w:r w:rsidR="00CA5C59" w:rsidRPr="00CA5C59">
        <w:t xml:space="preserve">a ellas, </w:t>
      </w:r>
      <w:r w:rsidR="00DC56F9">
        <w:t>otorgan</w:t>
      </w:r>
      <w:r w:rsidR="00CA5C59">
        <w:t xml:space="preserve"> </w:t>
      </w:r>
      <w:r w:rsidR="00CA5C59" w:rsidRPr="00CA5C59">
        <w:t>servicios de financiamiento de prestaciones</w:t>
      </w:r>
      <w:r w:rsidR="00CA5C59">
        <w:t xml:space="preserve"> </w:t>
      </w:r>
      <w:r w:rsidR="00CA5C59" w:rsidRPr="00CA5C59">
        <w:t>de salud y SIL para los afiliados y sus</w:t>
      </w:r>
      <w:r w:rsidR="00CA5C59">
        <w:t xml:space="preserve"> </w:t>
      </w:r>
      <w:r w:rsidR="00CA5C59" w:rsidRPr="00CA5C59">
        <w:t xml:space="preserve">beneficiarios. </w:t>
      </w:r>
    </w:p>
    <w:p w:rsidR="009207D2" w:rsidRDefault="009207D2" w:rsidP="009207D2">
      <w:pPr>
        <w:spacing w:before="120" w:after="120" w:line="276" w:lineRule="auto"/>
        <w:jc w:val="both"/>
      </w:pPr>
      <w:r>
        <w:t xml:space="preserve">El subsidio por incapacidad laboral (SIL) funciona como un seguro ante la eventual pérdida de ingresos, incorporado en los planes de salud. </w:t>
      </w:r>
      <w:r w:rsidR="006A2E83">
        <w:t>Si bien e</w:t>
      </w:r>
      <w:r>
        <w:t xml:space="preserve">l monto </w:t>
      </w:r>
      <w:r w:rsidR="006A2E83">
        <w:t xml:space="preserve">del subsidio históricamente </w:t>
      </w:r>
      <w:r>
        <w:t xml:space="preserve">ha </w:t>
      </w:r>
      <w:r w:rsidR="006A2E83">
        <w:t xml:space="preserve">ido variando y además </w:t>
      </w:r>
      <w:r>
        <w:t xml:space="preserve">dependiendo de </w:t>
      </w:r>
      <w:r w:rsidR="006A2E83">
        <w:t xml:space="preserve">factores como el tiempo de duración </w:t>
      </w:r>
      <w:r>
        <w:t>la licencia, disminuyendo</w:t>
      </w:r>
      <w:r w:rsidR="00B14620">
        <w:t xml:space="preserve"> su entidad</w:t>
      </w:r>
      <w:r>
        <w:t xml:space="preserve"> a medida que aumenta </w:t>
      </w:r>
      <w:r w:rsidR="00B14620">
        <w:t>el tiempo de reposo diagnosticado</w:t>
      </w:r>
      <w:r>
        <w:t xml:space="preserve">, </w:t>
      </w:r>
      <w:r w:rsidR="00A428AC">
        <w:t xml:space="preserve">o cubriendo sólo el </w:t>
      </w:r>
      <w:r>
        <w:t xml:space="preserve">85% </w:t>
      </w:r>
      <w:r w:rsidR="009F0D92">
        <w:t>del salario. H</w:t>
      </w:r>
      <w:r w:rsidR="00A428AC">
        <w:t>oy en día el valor es equivalente al 100% de la remuneración</w:t>
      </w:r>
      <w:r w:rsidR="009F0D92">
        <w:t xml:space="preserve"> y no depende de la duración de la licencia</w:t>
      </w:r>
      <w:r>
        <w:t>.</w:t>
      </w:r>
    </w:p>
    <w:p w:rsidR="00C1018E" w:rsidRDefault="002309F0" w:rsidP="005A2C72">
      <w:pPr>
        <w:spacing w:before="120" w:after="120" w:line="276" w:lineRule="auto"/>
        <w:jc w:val="both"/>
      </w:pPr>
      <w:r>
        <w:t xml:space="preserve">Hay muchas críticas respecto del </w:t>
      </w:r>
      <w:r w:rsidR="005A2C72" w:rsidRPr="005A2C72">
        <w:t>funcionamiento</w:t>
      </w:r>
      <w:r w:rsidR="005A2C72">
        <w:t xml:space="preserve"> </w:t>
      </w:r>
      <w:r w:rsidR="005A2C72" w:rsidRPr="005A2C72">
        <w:t>del SIL</w:t>
      </w:r>
      <w:r>
        <w:t>, y en particular su administración por las Instituciones de Salud Previsional</w:t>
      </w:r>
      <w:r w:rsidR="005A2C72" w:rsidRPr="005A2C72">
        <w:t xml:space="preserve">. </w:t>
      </w:r>
    </w:p>
    <w:p w:rsidR="00C1018E" w:rsidRDefault="00E1527B" w:rsidP="005A2C72">
      <w:pPr>
        <w:spacing w:before="120" w:after="120" w:line="276" w:lineRule="auto"/>
        <w:jc w:val="both"/>
      </w:pPr>
      <w:r>
        <w:t>En primer lugar, se reprocha la</w:t>
      </w:r>
      <w:r w:rsidR="005A2C72" w:rsidRPr="005A2C72">
        <w:t xml:space="preserve"> </w:t>
      </w:r>
      <w:r>
        <w:t>ausencia</w:t>
      </w:r>
      <w:r w:rsidR="005A2C72" w:rsidRPr="005A2C72">
        <w:t xml:space="preserve"> de continuidad de los ingresos</w:t>
      </w:r>
      <w:r>
        <w:t xml:space="preserve"> de los trabajadores y trabajadoras </w:t>
      </w:r>
      <w:r w:rsidR="00C1018E">
        <w:t>en uso de l</w:t>
      </w:r>
      <w:r w:rsidR="00B74C03">
        <w:t xml:space="preserve">icencias </w:t>
      </w:r>
      <w:r w:rsidR="00C1018E">
        <w:t>m</w:t>
      </w:r>
      <w:r w:rsidR="00B74C03">
        <w:t>édicas</w:t>
      </w:r>
      <w:r w:rsidR="005A2C72" w:rsidRPr="005A2C72">
        <w:t>,</w:t>
      </w:r>
      <w:r w:rsidR="005A2C72">
        <w:t xml:space="preserve"> </w:t>
      </w:r>
      <w:r w:rsidR="005A2C72" w:rsidRPr="005A2C72">
        <w:t>asociados a la falta de oportunidad en el pago</w:t>
      </w:r>
      <w:r w:rsidR="005A2C72">
        <w:t xml:space="preserve"> </w:t>
      </w:r>
      <w:r w:rsidR="005A2C72" w:rsidRPr="005A2C72">
        <w:t xml:space="preserve">de </w:t>
      </w:r>
      <w:r w:rsidR="00B74C03">
        <w:t>SIL</w:t>
      </w:r>
      <w:r w:rsidR="005A2C72" w:rsidRPr="005A2C72">
        <w:t xml:space="preserve">, </w:t>
      </w:r>
      <w:r w:rsidR="00B74C03">
        <w:t>debido a</w:t>
      </w:r>
      <w:r w:rsidR="005A2C72" w:rsidRPr="005A2C72">
        <w:t xml:space="preserve"> </w:t>
      </w:r>
      <w:r w:rsidR="00B74C03">
        <w:t>importantes atrasos en</w:t>
      </w:r>
      <w:r w:rsidR="005A2C72" w:rsidRPr="005A2C72">
        <w:t xml:space="preserve"> los procesos de gestión, fiscalización y</w:t>
      </w:r>
      <w:r w:rsidR="005A2C72">
        <w:t xml:space="preserve"> </w:t>
      </w:r>
      <w:r w:rsidR="005A2C72" w:rsidRPr="005A2C72">
        <w:t xml:space="preserve">autorización de </w:t>
      </w:r>
      <w:r w:rsidR="00C716BA">
        <w:t>las licencias</w:t>
      </w:r>
      <w:r w:rsidR="005A2C72" w:rsidRPr="005A2C72">
        <w:t xml:space="preserve"> </w:t>
      </w:r>
      <w:r w:rsidR="00C1018E">
        <w:t>además de</w:t>
      </w:r>
      <w:r w:rsidR="005A2C72" w:rsidRPr="005A2C72">
        <w:t xml:space="preserve"> los engorrosos</w:t>
      </w:r>
      <w:r w:rsidR="00C1018E">
        <w:t xml:space="preserve"> y complejos</w:t>
      </w:r>
      <w:r w:rsidR="005A2C72" w:rsidRPr="005A2C72">
        <w:t xml:space="preserve"> </w:t>
      </w:r>
      <w:r w:rsidR="00C1018E">
        <w:t xml:space="preserve">mecanismos </w:t>
      </w:r>
      <w:r w:rsidR="005A2C72" w:rsidRPr="005A2C72">
        <w:t xml:space="preserve">de </w:t>
      </w:r>
      <w:r w:rsidR="00C1018E">
        <w:t xml:space="preserve">reclamo </w:t>
      </w:r>
      <w:r w:rsidR="005A2C72" w:rsidRPr="005A2C72">
        <w:t>frente a un</w:t>
      </w:r>
      <w:r w:rsidR="00C1018E">
        <w:t>a modificación o</w:t>
      </w:r>
      <w:r w:rsidR="005A2C72" w:rsidRPr="005A2C72">
        <w:t xml:space="preserve"> rechazo. </w:t>
      </w:r>
    </w:p>
    <w:p w:rsidR="005A2C72" w:rsidRDefault="00C1018E" w:rsidP="008E42E2">
      <w:pPr>
        <w:spacing w:before="120" w:after="120" w:line="276" w:lineRule="auto"/>
        <w:jc w:val="both"/>
      </w:pPr>
      <w:r>
        <w:t xml:space="preserve">En segundo lugar, existe una fuerte desconfianza </w:t>
      </w:r>
      <w:r w:rsidR="006F08AC">
        <w:t>respecto d</w:t>
      </w:r>
      <w:r w:rsidR="005A2C72" w:rsidRPr="005A2C72">
        <w:t>el sistema</w:t>
      </w:r>
      <w:r w:rsidR="006F08AC">
        <w:t xml:space="preserve"> de autorización y pago de licencias médicas</w:t>
      </w:r>
      <w:r w:rsidR="005A2C72" w:rsidRPr="005A2C72">
        <w:t xml:space="preserve">, </w:t>
      </w:r>
      <w:r w:rsidR="00D331F6">
        <w:t>puesto que es</w:t>
      </w:r>
      <w:r w:rsidR="005A2C72" w:rsidRPr="005A2C72">
        <w:t xml:space="preserve"> la</w:t>
      </w:r>
      <w:r w:rsidR="005A2C72">
        <w:t xml:space="preserve"> </w:t>
      </w:r>
      <w:r w:rsidR="005A2C72" w:rsidRPr="005A2C72">
        <w:t>misma institucio</w:t>
      </w:r>
      <w:r w:rsidR="00B36D3E">
        <w:t xml:space="preserve">nalidad en el caso de la </w:t>
      </w:r>
      <w:proofErr w:type="spellStart"/>
      <w:r w:rsidR="00B36D3E">
        <w:t>ISAPREs</w:t>
      </w:r>
      <w:proofErr w:type="spellEnd"/>
      <w:r w:rsidR="00D331F6">
        <w:t xml:space="preserve"> quien reúne todas las potestades, siendo la ISAPRE quien está encargada de dar curso, autorizar y modificar las mismas licencias respecto de las cuales es además la institución pagadora, haciendo las veces de “</w:t>
      </w:r>
      <w:r w:rsidR="005A2C72" w:rsidRPr="005A2C72">
        <w:t>juez y parte</w:t>
      </w:r>
      <w:r w:rsidR="00D331F6">
        <w:t>”</w:t>
      </w:r>
      <w:r w:rsidR="005A2C72" w:rsidRPr="005A2C72">
        <w:t xml:space="preserve"> </w:t>
      </w:r>
      <w:r w:rsidR="008E42E2">
        <w:t>sin contrapeso ni independencia.</w:t>
      </w:r>
    </w:p>
    <w:p w:rsidR="00096DFD" w:rsidRDefault="00096DFD" w:rsidP="008E42E2">
      <w:pPr>
        <w:spacing w:before="120" w:after="120" w:line="276" w:lineRule="auto"/>
        <w:jc w:val="both"/>
        <w:rPr>
          <w:b/>
        </w:rPr>
      </w:pPr>
      <w:r>
        <w:rPr>
          <w:b/>
        </w:rPr>
        <w:t>El pago de subsidio de incapacidad laboral en la práctica.</w:t>
      </w:r>
    </w:p>
    <w:p w:rsidR="004C4E52" w:rsidRDefault="00284DED" w:rsidP="008E42E2">
      <w:pPr>
        <w:spacing w:before="120" w:after="120" w:line="276" w:lineRule="auto"/>
        <w:jc w:val="both"/>
      </w:pPr>
      <w:r>
        <w:t>El sistema relacionado con el subsidio de incapacidad laboral y el análisis de las licencias médicas para otorgarlo, adolece de problemas relativos a la institucionalidad relacionada con dicho sistema</w:t>
      </w:r>
      <w:r w:rsidR="005C7D7D">
        <w:t xml:space="preserve">, dificultando no sólo la fiscalización, monitoreo y seguimiento de la tramitación de las licencias, sino su pago efectivo y la continuidad </w:t>
      </w:r>
      <w:proofErr w:type="spellStart"/>
      <w:r w:rsidR="005C7D7D">
        <w:t>remuneracional</w:t>
      </w:r>
      <w:proofErr w:type="spellEnd"/>
      <w:r w:rsidR="005C7D7D">
        <w:t xml:space="preserve"> de los trabajadores y trabajadoras. </w:t>
      </w:r>
    </w:p>
    <w:p w:rsidR="00783EB2" w:rsidRPr="0084033F" w:rsidRDefault="00550F91" w:rsidP="008E42E2">
      <w:pPr>
        <w:spacing w:before="120" w:after="120" w:line="276" w:lineRule="auto"/>
        <w:jc w:val="both"/>
      </w:pPr>
      <w:r>
        <w:lastRenderedPageBreak/>
        <w:t xml:space="preserve">Un problema </w:t>
      </w:r>
      <w:r w:rsidR="00D92ED5">
        <w:t>que no ha encontrado solución,</w:t>
      </w:r>
      <w:r>
        <w:t xml:space="preserve"> es la dificultad en el proceso de resolución y gestión de las licencias, el que está </w:t>
      </w:r>
      <w:r w:rsidR="00FE0334">
        <w:t>dividido y fraccionado en distintos organismos y unidades tanto dentro de las instituciones, como exteriores a las mismas, (unidades de Licencias Médicas, unidades dependientes de los servicios de salud, y unidades de subsidios y pagos de las C</w:t>
      </w:r>
      <w:r w:rsidR="00B36D3E">
        <w:t xml:space="preserve">CAF, contralorías de las </w:t>
      </w:r>
      <w:proofErr w:type="spellStart"/>
      <w:r w:rsidR="00B36D3E">
        <w:t>ISAPREs</w:t>
      </w:r>
      <w:proofErr w:type="spellEnd"/>
      <w:r w:rsidR="00FE0334">
        <w:t>, etc.)</w:t>
      </w:r>
      <w:r w:rsidR="0084033F">
        <w:t>. L</w:t>
      </w:r>
      <w:r w:rsidR="00783EB2">
        <w:t xml:space="preserve">a tramitación de una licencia médica y el pago del subsidio </w:t>
      </w:r>
      <w:r w:rsidR="0084033F">
        <w:t>parecieran ser muy di</w:t>
      </w:r>
      <w:r w:rsidR="00602CCD">
        <w:t xml:space="preserve">stintas desde la perspectiva de </w:t>
      </w:r>
      <w:r w:rsidR="004C4E52">
        <w:t xml:space="preserve">la </w:t>
      </w:r>
      <w:r w:rsidR="00602CCD">
        <w:t>institución</w:t>
      </w:r>
      <w:r w:rsidR="0084033F">
        <w:t xml:space="preserve"> </w:t>
      </w:r>
      <w:r w:rsidR="004C4E52">
        <w:t xml:space="preserve">a la cual </w:t>
      </w:r>
      <w:r w:rsidR="00783EB2">
        <w:t xml:space="preserve">el trabajador </w:t>
      </w:r>
      <w:r w:rsidR="00602CCD">
        <w:t xml:space="preserve">o trabajadora </w:t>
      </w:r>
      <w:r w:rsidR="004C4E52">
        <w:t>se encuentre</w:t>
      </w:r>
      <w:r w:rsidR="00783EB2">
        <w:t xml:space="preserve"> afiliado y de si pertenece </w:t>
      </w:r>
      <w:r w:rsidR="004C4E52">
        <w:t xml:space="preserve">o no </w:t>
      </w:r>
      <w:r w:rsidR="00783EB2">
        <w:t>al sector público.</w:t>
      </w:r>
    </w:p>
    <w:tbl>
      <w:tblPr>
        <w:tblW w:w="5000" w:type="pct"/>
        <w:tblCellMar>
          <w:left w:w="70" w:type="dxa"/>
          <w:right w:w="70" w:type="dxa"/>
        </w:tblCellMar>
        <w:tblLook w:val="04A0" w:firstRow="1" w:lastRow="0" w:firstColumn="1" w:lastColumn="0" w:noHBand="0" w:noVBand="1"/>
      </w:tblPr>
      <w:tblGrid>
        <w:gridCol w:w="1418"/>
        <w:gridCol w:w="78"/>
        <w:gridCol w:w="2448"/>
        <w:gridCol w:w="27"/>
        <w:gridCol w:w="2409"/>
        <w:gridCol w:w="12"/>
        <w:gridCol w:w="2446"/>
      </w:tblGrid>
      <w:tr w:rsidR="00D13B80" w:rsidRPr="00D13B80" w:rsidTr="001157CE">
        <w:trPr>
          <w:trHeight w:val="340"/>
        </w:trPr>
        <w:tc>
          <w:tcPr>
            <w:tcW w:w="5000" w:type="pct"/>
            <w:gridSpan w:val="7"/>
            <w:tcBorders>
              <w:top w:val="nil"/>
              <w:left w:val="nil"/>
              <w:bottom w:val="single" w:sz="4" w:space="0" w:color="auto"/>
              <w:right w:val="nil"/>
            </w:tcBorders>
            <w:shd w:val="clear" w:color="auto" w:fill="auto"/>
            <w:vAlign w:val="center"/>
            <w:hideMark/>
          </w:tcPr>
          <w:p w:rsidR="00D13B80" w:rsidRPr="00D13B80" w:rsidRDefault="00F2047D" w:rsidP="004675FF">
            <w:pPr>
              <w:spacing w:before="120" w:after="120" w:line="240" w:lineRule="auto"/>
              <w:jc w:val="center"/>
              <w:rPr>
                <w:rFonts w:eastAsia="Times New Roman"/>
                <w:b/>
                <w:bCs/>
                <w:color w:val="000000"/>
                <w:sz w:val="20"/>
                <w:szCs w:val="20"/>
                <w:lang w:eastAsia="es-CL"/>
              </w:rPr>
            </w:pPr>
            <w:r>
              <w:rPr>
                <w:rFonts w:eastAsia="Times New Roman"/>
                <w:b/>
                <w:bCs/>
                <w:color w:val="000000"/>
                <w:sz w:val="20"/>
                <w:szCs w:val="20"/>
                <w:lang w:eastAsia="es-CL"/>
              </w:rPr>
              <w:t xml:space="preserve">Cuadro 1: </w:t>
            </w:r>
            <w:r w:rsidR="00A279A5">
              <w:rPr>
                <w:rFonts w:eastAsia="Times New Roman"/>
                <w:b/>
                <w:bCs/>
                <w:color w:val="000000"/>
                <w:sz w:val="20"/>
                <w:szCs w:val="20"/>
                <w:lang w:eastAsia="es-CL"/>
              </w:rPr>
              <w:t>L</w:t>
            </w:r>
            <w:r w:rsidR="00D13B80" w:rsidRPr="00D13B80">
              <w:rPr>
                <w:rFonts w:eastAsia="Times New Roman"/>
                <w:b/>
                <w:bCs/>
                <w:color w:val="000000"/>
                <w:sz w:val="20"/>
                <w:szCs w:val="20"/>
                <w:lang w:eastAsia="es-CL"/>
              </w:rPr>
              <w:t>icencias médicas autorizadas, según se</w:t>
            </w:r>
            <w:r w:rsidR="00A279A5">
              <w:rPr>
                <w:rFonts w:eastAsia="Times New Roman"/>
                <w:b/>
                <w:bCs/>
                <w:color w:val="000000"/>
                <w:sz w:val="20"/>
                <w:szCs w:val="20"/>
                <w:lang w:eastAsia="es-CL"/>
              </w:rPr>
              <w:t>guro de salud años 2012-2016</w:t>
            </w:r>
          </w:p>
        </w:tc>
      </w:tr>
      <w:tr w:rsidR="001157CE" w:rsidRPr="00D13B80" w:rsidTr="001157CE">
        <w:trPr>
          <w:trHeight w:val="340"/>
        </w:trPr>
        <w:tc>
          <w:tcPr>
            <w:tcW w:w="846" w:type="pct"/>
            <w:gridSpan w:val="2"/>
            <w:tcBorders>
              <w:top w:val="nil"/>
              <w:left w:val="single" w:sz="4" w:space="0" w:color="auto"/>
              <w:bottom w:val="single" w:sz="4" w:space="0" w:color="auto"/>
              <w:right w:val="single" w:sz="4" w:space="0" w:color="auto"/>
            </w:tcBorders>
            <w:shd w:val="clear" w:color="000000" w:fill="1F497D"/>
            <w:noWrap/>
            <w:vAlign w:val="center"/>
            <w:hideMark/>
          </w:tcPr>
          <w:p w:rsidR="00D13B80" w:rsidRPr="00D13B80" w:rsidRDefault="00D13B80" w:rsidP="001157CE">
            <w:pPr>
              <w:spacing w:after="0" w:line="240" w:lineRule="auto"/>
              <w:jc w:val="center"/>
              <w:rPr>
                <w:rFonts w:eastAsia="Times New Roman"/>
                <w:b/>
                <w:bCs/>
                <w:color w:val="FFFFFF"/>
                <w:sz w:val="20"/>
                <w:szCs w:val="20"/>
                <w:lang w:eastAsia="es-CL"/>
              </w:rPr>
            </w:pPr>
            <w:r w:rsidRPr="00D13B80">
              <w:rPr>
                <w:rFonts w:eastAsia="Times New Roman"/>
                <w:b/>
                <w:bCs/>
                <w:color w:val="FFFFFF"/>
                <w:sz w:val="20"/>
                <w:szCs w:val="20"/>
                <w:lang w:eastAsia="es-CL"/>
              </w:rPr>
              <w:t>AÑOS</w:t>
            </w:r>
          </w:p>
        </w:tc>
        <w:tc>
          <w:tcPr>
            <w:tcW w:w="1385" w:type="pct"/>
            <w:tcBorders>
              <w:top w:val="nil"/>
              <w:left w:val="nil"/>
              <w:bottom w:val="single" w:sz="4" w:space="0" w:color="auto"/>
              <w:right w:val="single" w:sz="4" w:space="0" w:color="auto"/>
            </w:tcBorders>
            <w:shd w:val="clear" w:color="000000" w:fill="1F497D"/>
            <w:noWrap/>
            <w:vAlign w:val="center"/>
            <w:hideMark/>
          </w:tcPr>
          <w:p w:rsidR="00D13B80" w:rsidRPr="00D13B80" w:rsidRDefault="00D13B80" w:rsidP="001157CE">
            <w:pPr>
              <w:spacing w:after="0" w:line="240" w:lineRule="auto"/>
              <w:jc w:val="center"/>
              <w:rPr>
                <w:rFonts w:eastAsia="Times New Roman"/>
                <w:b/>
                <w:bCs/>
                <w:color w:val="FFFFFF"/>
                <w:sz w:val="20"/>
                <w:szCs w:val="20"/>
                <w:lang w:eastAsia="es-CL"/>
              </w:rPr>
            </w:pPr>
            <w:r w:rsidRPr="00D13B80">
              <w:rPr>
                <w:rFonts w:eastAsia="Times New Roman"/>
                <w:b/>
                <w:bCs/>
                <w:color w:val="FFFFFF"/>
                <w:sz w:val="20"/>
                <w:szCs w:val="20"/>
                <w:lang w:eastAsia="es-CL"/>
              </w:rPr>
              <w:t>FONASA</w:t>
            </w:r>
          </w:p>
        </w:tc>
        <w:tc>
          <w:tcPr>
            <w:tcW w:w="1385" w:type="pct"/>
            <w:gridSpan w:val="3"/>
            <w:tcBorders>
              <w:top w:val="nil"/>
              <w:left w:val="nil"/>
              <w:bottom w:val="single" w:sz="4" w:space="0" w:color="auto"/>
              <w:right w:val="single" w:sz="4" w:space="0" w:color="auto"/>
            </w:tcBorders>
            <w:shd w:val="clear" w:color="000000" w:fill="1F497D"/>
            <w:noWrap/>
            <w:vAlign w:val="center"/>
            <w:hideMark/>
          </w:tcPr>
          <w:p w:rsidR="00D13B80" w:rsidRPr="00D13B80" w:rsidRDefault="00D13B80" w:rsidP="001157CE">
            <w:pPr>
              <w:spacing w:after="0" w:line="240" w:lineRule="auto"/>
              <w:jc w:val="center"/>
              <w:rPr>
                <w:rFonts w:eastAsia="Times New Roman"/>
                <w:b/>
                <w:bCs/>
                <w:color w:val="FFFFFF"/>
                <w:sz w:val="20"/>
                <w:szCs w:val="20"/>
                <w:lang w:eastAsia="es-CL"/>
              </w:rPr>
            </w:pPr>
            <w:r w:rsidRPr="00D13B80">
              <w:rPr>
                <w:rFonts w:eastAsia="Times New Roman"/>
                <w:b/>
                <w:bCs/>
                <w:color w:val="FFFFFF"/>
                <w:sz w:val="20"/>
                <w:szCs w:val="20"/>
                <w:lang w:eastAsia="es-CL"/>
              </w:rPr>
              <w:t>ISAPRE</w:t>
            </w:r>
          </w:p>
        </w:tc>
        <w:tc>
          <w:tcPr>
            <w:tcW w:w="1384" w:type="pct"/>
            <w:tcBorders>
              <w:top w:val="nil"/>
              <w:left w:val="nil"/>
              <w:bottom w:val="single" w:sz="4" w:space="0" w:color="auto"/>
              <w:right w:val="single" w:sz="4" w:space="0" w:color="auto"/>
            </w:tcBorders>
            <w:shd w:val="clear" w:color="000000" w:fill="1F497D"/>
            <w:noWrap/>
            <w:vAlign w:val="center"/>
            <w:hideMark/>
          </w:tcPr>
          <w:p w:rsidR="00D13B80" w:rsidRPr="00D13B80" w:rsidRDefault="00D13B80" w:rsidP="001157CE">
            <w:pPr>
              <w:spacing w:after="0" w:line="240" w:lineRule="auto"/>
              <w:jc w:val="center"/>
              <w:rPr>
                <w:rFonts w:eastAsia="Times New Roman"/>
                <w:b/>
                <w:bCs/>
                <w:color w:val="FFFFFF"/>
                <w:sz w:val="20"/>
                <w:szCs w:val="20"/>
                <w:lang w:eastAsia="es-CL"/>
              </w:rPr>
            </w:pPr>
            <w:r w:rsidRPr="00D13B80">
              <w:rPr>
                <w:rFonts w:eastAsia="Times New Roman"/>
                <w:b/>
                <w:bCs/>
                <w:color w:val="FFFFFF"/>
                <w:sz w:val="20"/>
                <w:szCs w:val="20"/>
                <w:lang w:eastAsia="es-CL"/>
              </w:rPr>
              <w:t>SISTEMA</w:t>
            </w:r>
          </w:p>
        </w:tc>
      </w:tr>
      <w:tr w:rsidR="001157CE" w:rsidRPr="00D13B80" w:rsidTr="001157CE">
        <w:trPr>
          <w:trHeight w:val="340"/>
        </w:trPr>
        <w:tc>
          <w:tcPr>
            <w:tcW w:w="846" w:type="pct"/>
            <w:gridSpan w:val="2"/>
            <w:tcBorders>
              <w:top w:val="nil"/>
              <w:left w:val="single" w:sz="4" w:space="0" w:color="auto"/>
              <w:bottom w:val="nil"/>
              <w:right w:val="single" w:sz="4" w:space="0" w:color="auto"/>
            </w:tcBorders>
            <w:shd w:val="clear" w:color="000000" w:fill="DCE6F1"/>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2012</w:t>
            </w:r>
          </w:p>
        </w:tc>
        <w:tc>
          <w:tcPr>
            <w:tcW w:w="1385"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2.685.957</w:t>
            </w:r>
          </w:p>
        </w:tc>
        <w:tc>
          <w:tcPr>
            <w:tcW w:w="1385" w:type="pct"/>
            <w:gridSpan w:val="3"/>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1.265.494</w:t>
            </w:r>
          </w:p>
        </w:tc>
        <w:tc>
          <w:tcPr>
            <w:tcW w:w="1384"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3.951.451</w:t>
            </w:r>
          </w:p>
        </w:tc>
      </w:tr>
      <w:tr w:rsidR="001157CE" w:rsidRPr="00D13B80" w:rsidTr="001157CE">
        <w:trPr>
          <w:trHeight w:val="340"/>
        </w:trPr>
        <w:tc>
          <w:tcPr>
            <w:tcW w:w="846" w:type="pct"/>
            <w:gridSpan w:val="2"/>
            <w:tcBorders>
              <w:top w:val="nil"/>
              <w:left w:val="single" w:sz="4" w:space="0" w:color="auto"/>
              <w:bottom w:val="nil"/>
              <w:right w:val="single" w:sz="4" w:space="0" w:color="auto"/>
            </w:tcBorders>
            <w:shd w:val="clear" w:color="000000" w:fill="DCE6F1"/>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2013</w:t>
            </w:r>
          </w:p>
        </w:tc>
        <w:tc>
          <w:tcPr>
            <w:tcW w:w="1385"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2.640.436</w:t>
            </w:r>
          </w:p>
        </w:tc>
        <w:tc>
          <w:tcPr>
            <w:tcW w:w="1385" w:type="pct"/>
            <w:gridSpan w:val="3"/>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1.385.015</w:t>
            </w:r>
          </w:p>
        </w:tc>
        <w:tc>
          <w:tcPr>
            <w:tcW w:w="1384"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4.025.451</w:t>
            </w:r>
          </w:p>
        </w:tc>
      </w:tr>
      <w:tr w:rsidR="001157CE" w:rsidRPr="00D13B80" w:rsidTr="001157CE">
        <w:trPr>
          <w:trHeight w:val="340"/>
        </w:trPr>
        <w:tc>
          <w:tcPr>
            <w:tcW w:w="846" w:type="pct"/>
            <w:gridSpan w:val="2"/>
            <w:tcBorders>
              <w:top w:val="nil"/>
              <w:left w:val="single" w:sz="4" w:space="0" w:color="auto"/>
              <w:bottom w:val="nil"/>
              <w:right w:val="single" w:sz="4" w:space="0" w:color="auto"/>
            </w:tcBorders>
            <w:shd w:val="clear" w:color="000000" w:fill="DCE6F1"/>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2014</w:t>
            </w:r>
          </w:p>
        </w:tc>
        <w:tc>
          <w:tcPr>
            <w:tcW w:w="1385"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2.847.159</w:t>
            </w:r>
          </w:p>
        </w:tc>
        <w:tc>
          <w:tcPr>
            <w:tcW w:w="1385" w:type="pct"/>
            <w:gridSpan w:val="3"/>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1.565.075</w:t>
            </w:r>
          </w:p>
        </w:tc>
        <w:tc>
          <w:tcPr>
            <w:tcW w:w="1384"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4.412.234</w:t>
            </w:r>
          </w:p>
        </w:tc>
      </w:tr>
      <w:tr w:rsidR="001157CE" w:rsidRPr="00D13B80" w:rsidTr="001157CE">
        <w:trPr>
          <w:trHeight w:val="340"/>
        </w:trPr>
        <w:tc>
          <w:tcPr>
            <w:tcW w:w="846" w:type="pct"/>
            <w:gridSpan w:val="2"/>
            <w:tcBorders>
              <w:top w:val="nil"/>
              <w:left w:val="single" w:sz="4" w:space="0" w:color="auto"/>
              <w:bottom w:val="nil"/>
              <w:right w:val="single" w:sz="4" w:space="0" w:color="auto"/>
            </w:tcBorders>
            <w:shd w:val="clear" w:color="000000" w:fill="DCE6F1"/>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2015</w:t>
            </w:r>
          </w:p>
        </w:tc>
        <w:tc>
          <w:tcPr>
            <w:tcW w:w="1385"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3.159.058</w:t>
            </w:r>
          </w:p>
        </w:tc>
        <w:tc>
          <w:tcPr>
            <w:tcW w:w="1385" w:type="pct"/>
            <w:gridSpan w:val="3"/>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1.696.620</w:t>
            </w:r>
          </w:p>
        </w:tc>
        <w:tc>
          <w:tcPr>
            <w:tcW w:w="1384" w:type="pct"/>
            <w:tcBorders>
              <w:top w:val="nil"/>
              <w:left w:val="nil"/>
              <w:bottom w:val="nil"/>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4.855.678</w:t>
            </w:r>
          </w:p>
        </w:tc>
      </w:tr>
      <w:tr w:rsidR="001157CE" w:rsidRPr="00D13B80" w:rsidTr="001157CE">
        <w:trPr>
          <w:trHeight w:val="340"/>
        </w:trPr>
        <w:tc>
          <w:tcPr>
            <w:tcW w:w="846" w:type="pct"/>
            <w:gridSpan w:val="2"/>
            <w:tcBorders>
              <w:top w:val="nil"/>
              <w:left w:val="single" w:sz="4" w:space="0" w:color="auto"/>
              <w:bottom w:val="single" w:sz="4" w:space="0" w:color="auto"/>
              <w:right w:val="single" w:sz="4" w:space="0" w:color="auto"/>
            </w:tcBorders>
            <w:shd w:val="clear" w:color="000000" w:fill="DCE6F1"/>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2016</w:t>
            </w:r>
          </w:p>
        </w:tc>
        <w:tc>
          <w:tcPr>
            <w:tcW w:w="1385" w:type="pct"/>
            <w:tcBorders>
              <w:top w:val="nil"/>
              <w:left w:val="nil"/>
              <w:bottom w:val="single" w:sz="4" w:space="0" w:color="auto"/>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3.348.560</w:t>
            </w:r>
          </w:p>
        </w:tc>
        <w:tc>
          <w:tcPr>
            <w:tcW w:w="1385" w:type="pct"/>
            <w:gridSpan w:val="3"/>
            <w:tcBorders>
              <w:top w:val="nil"/>
              <w:left w:val="nil"/>
              <w:bottom w:val="single" w:sz="4" w:space="0" w:color="auto"/>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1.685.906</w:t>
            </w:r>
          </w:p>
        </w:tc>
        <w:tc>
          <w:tcPr>
            <w:tcW w:w="1384" w:type="pct"/>
            <w:tcBorders>
              <w:top w:val="nil"/>
              <w:left w:val="nil"/>
              <w:bottom w:val="single" w:sz="4" w:space="0" w:color="auto"/>
              <w:right w:val="single" w:sz="4" w:space="0" w:color="auto"/>
            </w:tcBorders>
            <w:shd w:val="clear" w:color="auto" w:fill="auto"/>
            <w:noWrap/>
            <w:vAlign w:val="center"/>
            <w:hideMark/>
          </w:tcPr>
          <w:p w:rsidR="00D13B80" w:rsidRPr="00D13B80" w:rsidRDefault="00D13B80" w:rsidP="001157CE">
            <w:pPr>
              <w:spacing w:after="0" w:line="240" w:lineRule="auto"/>
              <w:jc w:val="center"/>
              <w:rPr>
                <w:rFonts w:eastAsia="Times New Roman"/>
                <w:color w:val="000000"/>
                <w:sz w:val="20"/>
                <w:szCs w:val="20"/>
                <w:lang w:eastAsia="es-CL"/>
              </w:rPr>
            </w:pPr>
            <w:r w:rsidRPr="00D13B80">
              <w:rPr>
                <w:rFonts w:eastAsia="Times New Roman"/>
                <w:color w:val="000000"/>
                <w:sz w:val="20"/>
                <w:szCs w:val="20"/>
                <w:lang w:eastAsia="es-CL"/>
              </w:rPr>
              <w:t>5.034.466</w:t>
            </w:r>
          </w:p>
        </w:tc>
      </w:tr>
      <w:tr w:rsidR="007A4C9C" w:rsidRPr="007A4C9C" w:rsidTr="00754277">
        <w:trPr>
          <w:trHeight w:val="340"/>
        </w:trPr>
        <w:tc>
          <w:tcPr>
            <w:tcW w:w="5000" w:type="pct"/>
            <w:gridSpan w:val="7"/>
            <w:tcBorders>
              <w:top w:val="nil"/>
              <w:left w:val="nil"/>
              <w:bottom w:val="single" w:sz="4" w:space="0" w:color="auto"/>
              <w:right w:val="nil"/>
            </w:tcBorders>
            <w:shd w:val="clear" w:color="auto" w:fill="auto"/>
            <w:vAlign w:val="center"/>
            <w:hideMark/>
          </w:tcPr>
          <w:p w:rsidR="00586081" w:rsidRDefault="00586081" w:rsidP="00754277">
            <w:pPr>
              <w:spacing w:after="0" w:line="276" w:lineRule="auto"/>
              <w:jc w:val="center"/>
              <w:rPr>
                <w:rFonts w:eastAsia="Times New Roman"/>
                <w:b/>
                <w:bCs/>
                <w:color w:val="000000"/>
                <w:sz w:val="20"/>
                <w:szCs w:val="20"/>
                <w:lang w:eastAsia="es-CL"/>
              </w:rPr>
            </w:pPr>
          </w:p>
          <w:p w:rsidR="007A4C9C" w:rsidRPr="007A4C9C" w:rsidRDefault="00754277" w:rsidP="00754277">
            <w:pPr>
              <w:spacing w:after="0" w:line="276" w:lineRule="auto"/>
              <w:jc w:val="center"/>
              <w:rPr>
                <w:rFonts w:eastAsia="Times New Roman"/>
                <w:b/>
                <w:bCs/>
                <w:color w:val="000000"/>
                <w:sz w:val="20"/>
                <w:szCs w:val="20"/>
                <w:lang w:eastAsia="es-CL"/>
              </w:rPr>
            </w:pPr>
            <w:r>
              <w:rPr>
                <w:rFonts w:eastAsia="Times New Roman"/>
                <w:b/>
                <w:bCs/>
                <w:color w:val="000000"/>
                <w:sz w:val="20"/>
                <w:szCs w:val="20"/>
                <w:lang w:eastAsia="es-CL"/>
              </w:rPr>
              <w:t>Cuadro 2: L</w:t>
            </w:r>
            <w:r w:rsidR="007A4C9C" w:rsidRPr="007A4C9C">
              <w:rPr>
                <w:rFonts w:eastAsia="Times New Roman"/>
                <w:b/>
                <w:bCs/>
                <w:color w:val="000000"/>
                <w:sz w:val="20"/>
                <w:szCs w:val="20"/>
                <w:lang w:eastAsia="es-CL"/>
              </w:rPr>
              <w:t>icencias médicas rechazadas, según seguro de salud años 2012-2016</w:t>
            </w:r>
            <w:r w:rsidR="004675FF">
              <w:rPr>
                <w:rStyle w:val="Refdenotaalpie"/>
                <w:rFonts w:eastAsia="Times New Roman"/>
                <w:b/>
                <w:bCs/>
                <w:color w:val="000000"/>
                <w:sz w:val="20"/>
                <w:szCs w:val="20"/>
                <w:lang w:eastAsia="es-CL"/>
              </w:rPr>
              <w:footnoteReference w:id="2"/>
            </w:r>
          </w:p>
        </w:tc>
      </w:tr>
      <w:tr w:rsidR="00754277" w:rsidRPr="007A4C9C" w:rsidTr="00754277">
        <w:trPr>
          <w:trHeight w:val="340"/>
        </w:trPr>
        <w:tc>
          <w:tcPr>
            <w:tcW w:w="802" w:type="pct"/>
            <w:tcBorders>
              <w:top w:val="nil"/>
              <w:left w:val="single" w:sz="4" w:space="0" w:color="auto"/>
              <w:bottom w:val="single" w:sz="4" w:space="0" w:color="auto"/>
              <w:right w:val="single" w:sz="4" w:space="0" w:color="auto"/>
            </w:tcBorders>
            <w:shd w:val="clear" w:color="000000" w:fill="1F497D"/>
            <w:noWrap/>
            <w:vAlign w:val="bottom"/>
            <w:hideMark/>
          </w:tcPr>
          <w:p w:rsidR="007A4C9C" w:rsidRPr="007A4C9C" w:rsidRDefault="007A4C9C" w:rsidP="00906A7F">
            <w:pPr>
              <w:spacing w:after="0" w:line="276" w:lineRule="auto"/>
              <w:jc w:val="center"/>
              <w:rPr>
                <w:rFonts w:eastAsia="Times New Roman"/>
                <w:b/>
                <w:bCs/>
                <w:color w:val="FFFFFF"/>
                <w:sz w:val="20"/>
                <w:szCs w:val="20"/>
                <w:lang w:eastAsia="es-CL"/>
              </w:rPr>
            </w:pPr>
            <w:r w:rsidRPr="007A4C9C">
              <w:rPr>
                <w:rFonts w:eastAsia="Times New Roman"/>
                <w:b/>
                <w:bCs/>
                <w:color w:val="FFFFFF"/>
                <w:sz w:val="20"/>
                <w:szCs w:val="20"/>
                <w:lang w:eastAsia="es-CL"/>
              </w:rPr>
              <w:t>AÑOS</w:t>
            </w:r>
          </w:p>
        </w:tc>
        <w:tc>
          <w:tcPr>
            <w:tcW w:w="1444" w:type="pct"/>
            <w:gridSpan w:val="3"/>
            <w:tcBorders>
              <w:top w:val="nil"/>
              <w:left w:val="nil"/>
              <w:bottom w:val="single" w:sz="4" w:space="0" w:color="auto"/>
              <w:right w:val="single" w:sz="4" w:space="0" w:color="auto"/>
            </w:tcBorders>
            <w:shd w:val="clear" w:color="000000" w:fill="1F497D"/>
            <w:noWrap/>
            <w:vAlign w:val="bottom"/>
            <w:hideMark/>
          </w:tcPr>
          <w:p w:rsidR="007A4C9C" w:rsidRPr="007A4C9C" w:rsidRDefault="007A4C9C" w:rsidP="00906A7F">
            <w:pPr>
              <w:spacing w:after="0" w:line="276" w:lineRule="auto"/>
              <w:jc w:val="center"/>
              <w:rPr>
                <w:rFonts w:eastAsia="Times New Roman"/>
                <w:b/>
                <w:bCs/>
                <w:color w:val="FFFFFF"/>
                <w:sz w:val="20"/>
                <w:szCs w:val="20"/>
                <w:lang w:eastAsia="es-CL"/>
              </w:rPr>
            </w:pPr>
            <w:r w:rsidRPr="007A4C9C">
              <w:rPr>
                <w:rFonts w:eastAsia="Times New Roman"/>
                <w:b/>
                <w:bCs/>
                <w:color w:val="FFFFFF"/>
                <w:sz w:val="20"/>
                <w:szCs w:val="20"/>
                <w:lang w:eastAsia="es-CL"/>
              </w:rPr>
              <w:t>FONASA</w:t>
            </w:r>
          </w:p>
        </w:tc>
        <w:tc>
          <w:tcPr>
            <w:tcW w:w="1363" w:type="pct"/>
            <w:tcBorders>
              <w:top w:val="nil"/>
              <w:left w:val="nil"/>
              <w:bottom w:val="single" w:sz="4" w:space="0" w:color="auto"/>
              <w:right w:val="single" w:sz="4" w:space="0" w:color="auto"/>
            </w:tcBorders>
            <w:shd w:val="clear" w:color="000000" w:fill="1F497D"/>
            <w:noWrap/>
            <w:vAlign w:val="bottom"/>
            <w:hideMark/>
          </w:tcPr>
          <w:p w:rsidR="007A4C9C" w:rsidRPr="007A4C9C" w:rsidRDefault="007A4C9C" w:rsidP="00906A7F">
            <w:pPr>
              <w:spacing w:after="0" w:line="276" w:lineRule="auto"/>
              <w:jc w:val="center"/>
              <w:rPr>
                <w:rFonts w:eastAsia="Times New Roman"/>
                <w:b/>
                <w:bCs/>
                <w:color w:val="FFFFFF"/>
                <w:sz w:val="20"/>
                <w:szCs w:val="20"/>
                <w:lang w:eastAsia="es-CL"/>
              </w:rPr>
            </w:pPr>
            <w:r w:rsidRPr="007A4C9C">
              <w:rPr>
                <w:rFonts w:eastAsia="Times New Roman"/>
                <w:b/>
                <w:bCs/>
                <w:color w:val="FFFFFF"/>
                <w:sz w:val="20"/>
                <w:szCs w:val="20"/>
                <w:lang w:eastAsia="es-CL"/>
              </w:rPr>
              <w:t>ISAPRE</w:t>
            </w:r>
          </w:p>
        </w:tc>
        <w:tc>
          <w:tcPr>
            <w:tcW w:w="1391" w:type="pct"/>
            <w:gridSpan w:val="2"/>
            <w:tcBorders>
              <w:top w:val="nil"/>
              <w:left w:val="nil"/>
              <w:bottom w:val="single" w:sz="4" w:space="0" w:color="auto"/>
              <w:right w:val="single" w:sz="4" w:space="0" w:color="auto"/>
            </w:tcBorders>
            <w:shd w:val="clear" w:color="000000" w:fill="1F497D"/>
            <w:noWrap/>
            <w:vAlign w:val="bottom"/>
            <w:hideMark/>
          </w:tcPr>
          <w:p w:rsidR="007A4C9C" w:rsidRPr="007A4C9C" w:rsidRDefault="007A4C9C" w:rsidP="00906A7F">
            <w:pPr>
              <w:spacing w:after="0" w:line="276" w:lineRule="auto"/>
              <w:jc w:val="center"/>
              <w:rPr>
                <w:rFonts w:eastAsia="Times New Roman"/>
                <w:b/>
                <w:bCs/>
                <w:color w:val="FFFFFF"/>
                <w:sz w:val="20"/>
                <w:szCs w:val="20"/>
                <w:lang w:eastAsia="es-CL"/>
              </w:rPr>
            </w:pPr>
            <w:r w:rsidRPr="007A4C9C">
              <w:rPr>
                <w:rFonts w:eastAsia="Times New Roman"/>
                <w:b/>
                <w:bCs/>
                <w:color w:val="FFFFFF"/>
                <w:sz w:val="20"/>
                <w:szCs w:val="20"/>
                <w:lang w:eastAsia="es-CL"/>
              </w:rPr>
              <w:t>SISTEMA</w:t>
            </w:r>
          </w:p>
        </w:tc>
      </w:tr>
      <w:tr w:rsidR="007A4C9C" w:rsidRPr="007A4C9C" w:rsidTr="00754277">
        <w:trPr>
          <w:trHeight w:val="340"/>
        </w:trPr>
        <w:tc>
          <w:tcPr>
            <w:tcW w:w="802" w:type="pct"/>
            <w:tcBorders>
              <w:top w:val="nil"/>
              <w:left w:val="single" w:sz="4" w:space="0" w:color="auto"/>
              <w:bottom w:val="nil"/>
              <w:right w:val="single" w:sz="4" w:space="0" w:color="auto"/>
            </w:tcBorders>
            <w:shd w:val="clear" w:color="000000" w:fill="DCE6F1"/>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2012</w:t>
            </w:r>
          </w:p>
        </w:tc>
        <w:tc>
          <w:tcPr>
            <w:tcW w:w="1444" w:type="pct"/>
            <w:gridSpan w:val="3"/>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270.250</w:t>
            </w:r>
          </w:p>
        </w:tc>
        <w:tc>
          <w:tcPr>
            <w:tcW w:w="1363" w:type="pct"/>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148.965</w:t>
            </w:r>
          </w:p>
        </w:tc>
        <w:tc>
          <w:tcPr>
            <w:tcW w:w="1391" w:type="pct"/>
            <w:gridSpan w:val="2"/>
            <w:tcBorders>
              <w:top w:val="nil"/>
              <w:left w:val="nil"/>
              <w:bottom w:val="nil"/>
              <w:right w:val="single" w:sz="4" w:space="0" w:color="auto"/>
            </w:tcBorders>
            <w:shd w:val="clear" w:color="auto" w:fill="auto"/>
            <w:noWrap/>
            <w:vAlign w:val="bottom"/>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419.215</w:t>
            </w:r>
          </w:p>
        </w:tc>
      </w:tr>
      <w:tr w:rsidR="007A4C9C" w:rsidRPr="007A4C9C" w:rsidTr="00754277">
        <w:trPr>
          <w:trHeight w:val="340"/>
        </w:trPr>
        <w:tc>
          <w:tcPr>
            <w:tcW w:w="802" w:type="pct"/>
            <w:tcBorders>
              <w:top w:val="nil"/>
              <w:left w:val="single" w:sz="4" w:space="0" w:color="auto"/>
              <w:bottom w:val="nil"/>
              <w:right w:val="single" w:sz="4" w:space="0" w:color="auto"/>
            </w:tcBorders>
            <w:shd w:val="clear" w:color="000000" w:fill="DCE6F1"/>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2013</w:t>
            </w:r>
          </w:p>
        </w:tc>
        <w:tc>
          <w:tcPr>
            <w:tcW w:w="1444" w:type="pct"/>
            <w:gridSpan w:val="3"/>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275.251</w:t>
            </w:r>
          </w:p>
        </w:tc>
        <w:tc>
          <w:tcPr>
            <w:tcW w:w="1363" w:type="pct"/>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153.914</w:t>
            </w:r>
          </w:p>
        </w:tc>
        <w:tc>
          <w:tcPr>
            <w:tcW w:w="1391" w:type="pct"/>
            <w:gridSpan w:val="2"/>
            <w:tcBorders>
              <w:top w:val="nil"/>
              <w:left w:val="nil"/>
              <w:bottom w:val="nil"/>
              <w:right w:val="single" w:sz="4" w:space="0" w:color="auto"/>
            </w:tcBorders>
            <w:shd w:val="clear" w:color="auto" w:fill="auto"/>
            <w:noWrap/>
            <w:vAlign w:val="bottom"/>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429.165</w:t>
            </w:r>
          </w:p>
        </w:tc>
      </w:tr>
      <w:tr w:rsidR="007A4C9C" w:rsidRPr="007A4C9C" w:rsidTr="00754277">
        <w:trPr>
          <w:trHeight w:val="340"/>
        </w:trPr>
        <w:tc>
          <w:tcPr>
            <w:tcW w:w="802" w:type="pct"/>
            <w:tcBorders>
              <w:top w:val="nil"/>
              <w:left w:val="single" w:sz="4" w:space="0" w:color="auto"/>
              <w:bottom w:val="nil"/>
              <w:right w:val="single" w:sz="4" w:space="0" w:color="auto"/>
            </w:tcBorders>
            <w:shd w:val="clear" w:color="000000" w:fill="DCE6F1"/>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2014</w:t>
            </w:r>
          </w:p>
        </w:tc>
        <w:tc>
          <w:tcPr>
            <w:tcW w:w="1444" w:type="pct"/>
            <w:gridSpan w:val="3"/>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179.052</w:t>
            </w:r>
          </w:p>
        </w:tc>
        <w:tc>
          <w:tcPr>
            <w:tcW w:w="1363" w:type="pct"/>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175.166</w:t>
            </w:r>
          </w:p>
        </w:tc>
        <w:tc>
          <w:tcPr>
            <w:tcW w:w="1391" w:type="pct"/>
            <w:gridSpan w:val="2"/>
            <w:tcBorders>
              <w:top w:val="nil"/>
              <w:left w:val="nil"/>
              <w:bottom w:val="nil"/>
              <w:right w:val="single" w:sz="4" w:space="0" w:color="auto"/>
            </w:tcBorders>
            <w:shd w:val="clear" w:color="auto" w:fill="auto"/>
            <w:noWrap/>
            <w:vAlign w:val="bottom"/>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354.218</w:t>
            </w:r>
          </w:p>
        </w:tc>
      </w:tr>
      <w:tr w:rsidR="007A4C9C" w:rsidRPr="007A4C9C" w:rsidTr="00754277">
        <w:trPr>
          <w:trHeight w:val="340"/>
        </w:trPr>
        <w:tc>
          <w:tcPr>
            <w:tcW w:w="802" w:type="pct"/>
            <w:tcBorders>
              <w:top w:val="nil"/>
              <w:left w:val="single" w:sz="4" w:space="0" w:color="auto"/>
              <w:bottom w:val="nil"/>
              <w:right w:val="single" w:sz="4" w:space="0" w:color="auto"/>
            </w:tcBorders>
            <w:shd w:val="clear" w:color="000000" w:fill="DCE6F1"/>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2015</w:t>
            </w:r>
          </w:p>
        </w:tc>
        <w:tc>
          <w:tcPr>
            <w:tcW w:w="1444" w:type="pct"/>
            <w:gridSpan w:val="3"/>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182.821</w:t>
            </w:r>
          </w:p>
        </w:tc>
        <w:tc>
          <w:tcPr>
            <w:tcW w:w="1363" w:type="pct"/>
            <w:tcBorders>
              <w:top w:val="nil"/>
              <w:left w:val="nil"/>
              <w:bottom w:val="nil"/>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203.429</w:t>
            </w:r>
          </w:p>
        </w:tc>
        <w:tc>
          <w:tcPr>
            <w:tcW w:w="1391" w:type="pct"/>
            <w:gridSpan w:val="2"/>
            <w:tcBorders>
              <w:top w:val="nil"/>
              <w:left w:val="nil"/>
              <w:bottom w:val="nil"/>
              <w:right w:val="single" w:sz="4" w:space="0" w:color="auto"/>
            </w:tcBorders>
            <w:shd w:val="clear" w:color="auto" w:fill="auto"/>
            <w:noWrap/>
            <w:vAlign w:val="bottom"/>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386.250</w:t>
            </w:r>
          </w:p>
        </w:tc>
      </w:tr>
      <w:tr w:rsidR="007A4C9C" w:rsidRPr="007A4C9C" w:rsidTr="00754277">
        <w:trPr>
          <w:trHeight w:val="340"/>
        </w:trPr>
        <w:tc>
          <w:tcPr>
            <w:tcW w:w="802" w:type="pct"/>
            <w:tcBorders>
              <w:top w:val="nil"/>
              <w:left w:val="single" w:sz="4" w:space="0" w:color="auto"/>
              <w:bottom w:val="single" w:sz="4" w:space="0" w:color="auto"/>
              <w:right w:val="single" w:sz="4" w:space="0" w:color="auto"/>
            </w:tcBorders>
            <w:shd w:val="clear" w:color="000000" w:fill="DCE6F1"/>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2016</w:t>
            </w:r>
          </w:p>
        </w:tc>
        <w:tc>
          <w:tcPr>
            <w:tcW w:w="1444" w:type="pct"/>
            <w:gridSpan w:val="3"/>
            <w:tcBorders>
              <w:top w:val="nil"/>
              <w:left w:val="nil"/>
              <w:bottom w:val="single" w:sz="4" w:space="0" w:color="auto"/>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191.527</w:t>
            </w:r>
          </w:p>
        </w:tc>
        <w:tc>
          <w:tcPr>
            <w:tcW w:w="1363" w:type="pct"/>
            <w:tcBorders>
              <w:top w:val="nil"/>
              <w:left w:val="nil"/>
              <w:bottom w:val="single" w:sz="4" w:space="0" w:color="auto"/>
              <w:right w:val="single" w:sz="4" w:space="0" w:color="auto"/>
            </w:tcBorders>
            <w:shd w:val="clear" w:color="auto" w:fill="auto"/>
            <w:noWrap/>
            <w:vAlign w:val="center"/>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229.740</w:t>
            </w:r>
          </w:p>
        </w:tc>
        <w:tc>
          <w:tcPr>
            <w:tcW w:w="1391" w:type="pct"/>
            <w:gridSpan w:val="2"/>
            <w:tcBorders>
              <w:top w:val="nil"/>
              <w:left w:val="nil"/>
              <w:bottom w:val="single" w:sz="4" w:space="0" w:color="auto"/>
              <w:right w:val="single" w:sz="4" w:space="0" w:color="auto"/>
            </w:tcBorders>
            <w:shd w:val="clear" w:color="auto" w:fill="auto"/>
            <w:noWrap/>
            <w:vAlign w:val="bottom"/>
            <w:hideMark/>
          </w:tcPr>
          <w:p w:rsidR="007A4C9C" w:rsidRPr="007A4C9C" w:rsidRDefault="007A4C9C" w:rsidP="00906A7F">
            <w:pPr>
              <w:spacing w:after="0" w:line="276" w:lineRule="auto"/>
              <w:jc w:val="center"/>
              <w:rPr>
                <w:rFonts w:eastAsia="Times New Roman"/>
                <w:color w:val="000000"/>
                <w:sz w:val="20"/>
                <w:szCs w:val="20"/>
                <w:lang w:eastAsia="es-CL"/>
              </w:rPr>
            </w:pPr>
            <w:r w:rsidRPr="007A4C9C">
              <w:rPr>
                <w:rFonts w:eastAsia="Times New Roman"/>
                <w:color w:val="000000"/>
                <w:sz w:val="20"/>
                <w:szCs w:val="20"/>
                <w:lang w:eastAsia="es-CL"/>
              </w:rPr>
              <w:t>421.267</w:t>
            </w:r>
          </w:p>
        </w:tc>
      </w:tr>
    </w:tbl>
    <w:p w:rsidR="003179CD" w:rsidRDefault="00700286" w:rsidP="00586081">
      <w:pPr>
        <w:spacing w:before="120" w:after="120" w:line="276" w:lineRule="auto"/>
        <w:jc w:val="both"/>
      </w:pPr>
      <w:r w:rsidRPr="00700286">
        <w:t xml:space="preserve">Como </w:t>
      </w:r>
      <w:r>
        <w:t xml:space="preserve">vemos en los cuadros precedentes, el aumento de </w:t>
      </w:r>
      <w:r w:rsidR="004675FF">
        <w:t>las licencias médicas ha sido consistente para los sistemas público y privado en los últimos años</w:t>
      </w:r>
      <w:r w:rsidR="00EC3B46">
        <w:t xml:space="preserve">, </w:t>
      </w:r>
      <w:r w:rsidR="00DD683A">
        <w:t>sin embargo,</w:t>
      </w:r>
      <w:r w:rsidR="00EC3B46">
        <w:t xml:space="preserve"> el rechazo de licencias va en aumento sostenido desde 2012 en el sistema privado, y disminu</w:t>
      </w:r>
      <w:r w:rsidR="0053031C">
        <w:t>ye en el sistema público.</w:t>
      </w:r>
    </w:p>
    <w:p w:rsidR="0053031C" w:rsidRDefault="0053031C" w:rsidP="00586081">
      <w:pPr>
        <w:spacing w:before="120" w:after="120" w:line="276" w:lineRule="auto"/>
        <w:jc w:val="both"/>
      </w:pPr>
      <w:r>
        <w:t xml:space="preserve">Durante el primer semestre de 2018, </w:t>
      </w:r>
      <w:r w:rsidR="003B62D9">
        <w:t xml:space="preserve">según se señala por </w:t>
      </w:r>
      <w:r w:rsidR="00AD4D0D">
        <w:t>la SEREMI de Salud de la Región Metropolitana</w:t>
      </w:r>
      <w:r w:rsidR="003B62D9">
        <w:t>, existiría un retraso en las</w:t>
      </w:r>
      <w:r w:rsidR="003B62D9" w:rsidRPr="003B62D9">
        <w:t xml:space="preserve"> resoluciones y pagos </w:t>
      </w:r>
      <w:r w:rsidR="003B62D9">
        <w:t xml:space="preserve">de </w:t>
      </w:r>
      <w:r w:rsidR="003B62D9" w:rsidRPr="003B62D9">
        <w:t>274 mil licencias</w:t>
      </w:r>
      <w:r w:rsidR="003B62D9">
        <w:t xml:space="preserve"> médicas.</w:t>
      </w:r>
      <w:r w:rsidR="003B62D9" w:rsidRPr="003B62D9">
        <w:t xml:space="preserve"> </w:t>
      </w:r>
      <w:r w:rsidR="00986277">
        <w:t>E</w:t>
      </w:r>
      <w:r w:rsidRPr="0053031C">
        <w:t xml:space="preserve">l 87% de </w:t>
      </w:r>
      <w:r w:rsidR="00986277">
        <w:t xml:space="preserve">estas licencias se encuentran para </w:t>
      </w:r>
      <w:r w:rsidRPr="0053031C">
        <w:t xml:space="preserve">cálculo del subsidio, un 4,7% </w:t>
      </w:r>
      <w:r w:rsidR="00986277">
        <w:t>está sin informe de</w:t>
      </w:r>
      <w:r w:rsidR="00CE71F6">
        <w:t xml:space="preserve"> contraloría médica,</w:t>
      </w:r>
      <w:r w:rsidRPr="0053031C">
        <w:t xml:space="preserve"> un 4,1% está en la fase prev</w:t>
      </w:r>
      <w:r w:rsidR="00CE71F6">
        <w:t>ia de la determinación del pago</w:t>
      </w:r>
      <w:r w:rsidRPr="0053031C">
        <w:t xml:space="preserve">, un 1,6% </w:t>
      </w:r>
      <w:r w:rsidR="00CE71F6">
        <w:t xml:space="preserve">aduce </w:t>
      </w:r>
      <w:r w:rsidRPr="0053031C">
        <w:t xml:space="preserve">falta de documentación </w:t>
      </w:r>
      <w:r w:rsidR="00E601B0" w:rsidRPr="0053031C">
        <w:t>y,</w:t>
      </w:r>
      <w:r w:rsidRPr="0053031C">
        <w:t xml:space="preserve"> </w:t>
      </w:r>
      <w:r w:rsidR="00CE71F6">
        <w:t>por último, un</w:t>
      </w:r>
      <w:r w:rsidRPr="0053031C">
        <w:t xml:space="preserve"> 2% </w:t>
      </w:r>
      <w:r w:rsidR="00CE71F6">
        <w:t>se encontraría detenido en la etapa de</w:t>
      </w:r>
      <w:r w:rsidRPr="0053031C">
        <w:t xml:space="preserve"> digitación </w:t>
      </w:r>
      <w:r w:rsidR="00E601B0">
        <w:t>interna</w:t>
      </w:r>
      <w:r w:rsidRPr="0053031C">
        <w:t xml:space="preserve"> de </w:t>
      </w:r>
      <w:r w:rsidR="00E601B0">
        <w:t>la COMPIN</w:t>
      </w:r>
      <w:r w:rsidRPr="0053031C">
        <w:t>.</w:t>
      </w:r>
    </w:p>
    <w:p w:rsidR="0061714B" w:rsidRPr="00700286" w:rsidRDefault="0061714B" w:rsidP="00586081">
      <w:pPr>
        <w:spacing w:before="120" w:after="120" w:line="276" w:lineRule="auto"/>
        <w:jc w:val="both"/>
      </w:pPr>
      <w:r>
        <w:lastRenderedPageBreak/>
        <w:t>Esto es un perjuicio directo a las trabajadoras y trabajadores, pues se interrumpe gravemente su continuidad salarial y en definitiva s</w:t>
      </w:r>
      <w:r w:rsidR="00B36D3E">
        <w:t>e afecta un derecho garantizado, independiente de que su administración se entregue a las entidades públicas o a la empresa privada.</w:t>
      </w:r>
    </w:p>
    <w:p w:rsidR="003179CD" w:rsidRDefault="004B34FA" w:rsidP="004B34FA">
      <w:pPr>
        <w:spacing w:before="120" w:after="120" w:line="276" w:lineRule="auto"/>
        <w:jc w:val="both"/>
        <w:rPr>
          <w:b/>
        </w:rPr>
      </w:pPr>
      <w:r>
        <w:rPr>
          <w:b/>
        </w:rPr>
        <w:t>La regulación de las prestaciones sobre licencias médicas y subsidio de incapacidad laboral</w:t>
      </w:r>
    </w:p>
    <w:p w:rsidR="009A5CC5" w:rsidRDefault="004B34FA" w:rsidP="004B34FA">
      <w:pPr>
        <w:spacing w:before="120" w:after="120" w:line="276" w:lineRule="auto"/>
        <w:jc w:val="both"/>
      </w:pPr>
      <w:r>
        <w:t>La Constitución en su artículo 19° numeral</w:t>
      </w:r>
      <w:r w:rsidRPr="004B34FA">
        <w:t xml:space="preserve"> 9º</w:t>
      </w:r>
      <w:r>
        <w:t xml:space="preserve"> garantiza</w:t>
      </w:r>
      <w:r w:rsidRPr="004B34FA">
        <w:t xml:space="preserve"> </w:t>
      </w:r>
      <w:r>
        <w:t>“</w:t>
      </w:r>
      <w:r w:rsidRPr="004B34FA">
        <w:t>El dere</w:t>
      </w:r>
      <w:r>
        <w:t>cho a la protección de la salud”, protegiendo el “</w:t>
      </w:r>
      <w:r w:rsidRPr="004B34FA">
        <w:t>libre e igualitario acceso a las acciones de promoción, protección y recuperación de la salud y de rehabilitación del individuo.</w:t>
      </w:r>
      <w:r>
        <w:t xml:space="preserve">” En su inciso final, este numeral 9°, asegura la existencia de </w:t>
      </w:r>
      <w:r w:rsidR="00D91B08">
        <w:t xml:space="preserve">un sistema empresarial privado en la materia, al establecer que hay una protección constitucional sobre el derecho </w:t>
      </w:r>
      <w:r w:rsidRPr="004B34FA">
        <w:t xml:space="preserve">a elegir el sistema de salud al que </w:t>
      </w:r>
      <w:r w:rsidR="00D91B08">
        <w:t>se acojan las personas, distinguiendo</w:t>
      </w:r>
      <w:r w:rsidR="00E11134">
        <w:t xml:space="preserve"> dicha elección</w:t>
      </w:r>
      <w:r w:rsidR="00D91B08">
        <w:t xml:space="preserve"> entre el sistema</w:t>
      </w:r>
      <w:r w:rsidRPr="004B34FA">
        <w:t xml:space="preserve"> estatal o </w:t>
      </w:r>
      <w:r w:rsidR="00D91B08">
        <w:t xml:space="preserve">el sistema </w:t>
      </w:r>
      <w:r w:rsidR="00E11134">
        <w:t xml:space="preserve">privado. </w:t>
      </w:r>
    </w:p>
    <w:p w:rsidR="004B34FA" w:rsidRDefault="009A5CC5" w:rsidP="004B34FA">
      <w:pPr>
        <w:spacing w:before="120" w:after="120" w:line="276" w:lineRule="auto"/>
        <w:jc w:val="both"/>
      </w:pPr>
      <w:r>
        <w:t>Esto ha derivado en la existencia de un “mercado de la salud”</w:t>
      </w:r>
      <w:r w:rsidR="00996717">
        <w:t xml:space="preserve">, donde priman dos situaciones: </w:t>
      </w:r>
      <w:r w:rsidR="00EF409D">
        <w:t xml:space="preserve">1. </w:t>
      </w:r>
      <w:r w:rsidR="00996717">
        <w:t>Alta concentración de ganancias para las empresas</w:t>
      </w:r>
      <w:r>
        <w:t xml:space="preserve"> </w:t>
      </w:r>
      <w:r w:rsidR="00996717">
        <w:t xml:space="preserve">mediante el </w:t>
      </w:r>
      <w:r>
        <w:t xml:space="preserve">aseguramiento privado, </w:t>
      </w:r>
      <w:r w:rsidR="00996717">
        <w:t xml:space="preserve">con </w:t>
      </w:r>
      <w:r>
        <w:t xml:space="preserve">características </w:t>
      </w:r>
      <w:r w:rsidR="00996717">
        <w:t>de oligopolio</w:t>
      </w:r>
      <w:r w:rsidR="000A097D">
        <w:t xml:space="preserve">, con </w:t>
      </w:r>
      <w:r w:rsidR="00635881">
        <w:t>limitadas</w:t>
      </w:r>
      <w:r w:rsidR="000A097D">
        <w:t xml:space="preserve"> regulaciones como</w:t>
      </w:r>
      <w:r>
        <w:t xml:space="preserve"> </w:t>
      </w:r>
      <w:r w:rsidR="00635881">
        <w:t xml:space="preserve">el establecimiento de bandas de precios en referencia a las alzas anuales de los precios base o la prohibición de alterar unilateralmente los planes mediante el uso </w:t>
      </w:r>
      <w:proofErr w:type="spellStart"/>
      <w:r w:rsidR="00635881">
        <w:t>postcontractual</w:t>
      </w:r>
      <w:proofErr w:type="spellEnd"/>
      <w:r w:rsidR="00635881">
        <w:t xml:space="preserve"> de las tablas de factores</w:t>
      </w:r>
      <w:r w:rsidR="00EF409D">
        <w:t>, lo que sin embargo, no ha detenido</w:t>
      </w:r>
      <w:r>
        <w:t xml:space="preserve"> la cautividad de sus beneficiarios</w:t>
      </w:r>
      <w:r w:rsidR="00EF409D">
        <w:t xml:space="preserve"> ni</w:t>
      </w:r>
      <w:r>
        <w:t xml:space="preserve"> la judicialización de las</w:t>
      </w:r>
      <w:r w:rsidR="00EF409D">
        <w:t xml:space="preserve"> alzas anuales de precios base. 2. Un mercado absolutamente desregulado en</w:t>
      </w:r>
      <w:r>
        <w:t xml:space="preserve"> la provisión de servicios de salud, </w:t>
      </w:r>
      <w:r w:rsidR="00EF409D">
        <w:t xml:space="preserve">en el cual una </w:t>
      </w:r>
      <w:r>
        <w:t xml:space="preserve">red de </w:t>
      </w:r>
      <w:r w:rsidR="00EF409D">
        <w:t xml:space="preserve">innumerables </w:t>
      </w:r>
      <w:r>
        <w:t>clínicas, centros médicos, laboratorios y prestadores</w:t>
      </w:r>
      <w:r w:rsidR="00BD7109">
        <w:t xml:space="preserve"> individuales actúa con </w:t>
      </w:r>
      <w:r>
        <w:t>plena libertad de precios</w:t>
      </w:r>
      <w:r w:rsidR="00BD7109">
        <w:t xml:space="preserve"> respondiendo sólo al interés de </w:t>
      </w:r>
      <w:r>
        <w:t>las utilidades</w:t>
      </w:r>
      <w:r w:rsidR="00BD7109">
        <w:t xml:space="preserve"> propias, que se beneficia de la exclusión de la población vulnerable mediante el encarecimiento de las prestaciones médicas y de salud.</w:t>
      </w:r>
      <w:r w:rsidR="00EA76DD">
        <w:rPr>
          <w:rStyle w:val="Refdenotaalpie"/>
        </w:rPr>
        <w:footnoteReference w:id="3"/>
      </w:r>
    </w:p>
    <w:p w:rsidR="00B43F46" w:rsidRDefault="00B43F46" w:rsidP="004B34FA">
      <w:pPr>
        <w:spacing w:before="120" w:after="120" w:line="276" w:lineRule="auto"/>
        <w:jc w:val="both"/>
      </w:pPr>
      <w:r>
        <w:t>Las repercusiones de la existencia de este “mercado de la salud” en reemplazo de un sistema de aseguramiento del derecho social y humano a la salud, han terminado por desfinanciar al prestador público, que debe proteger al 80% de la población con sólo la mitad del gasto en salud del país, y a concentrar en el 20% restante de la población el 50% del gasto, lo cual tampoco se destina íntegro a proveer acciones de salud, sino que engrosan las arcas del prestador privado.</w:t>
      </w:r>
    </w:p>
    <w:p w:rsidR="00022836" w:rsidRDefault="00022836" w:rsidP="004B34FA">
      <w:pPr>
        <w:spacing w:before="120" w:after="120" w:line="276" w:lineRule="auto"/>
        <w:jc w:val="both"/>
      </w:pPr>
      <w:r>
        <w:t xml:space="preserve">Acá las prestaciones laborales en materia sanitaria se ven afectadas directamente por ambos factores. La libertad de oferta y demanda </w:t>
      </w:r>
      <w:r w:rsidR="00B43F46">
        <w:t>en las cuales el prestador de un derecho social garantizado responde al propio interés de acumulación económica, termina por no garantizar nada.</w:t>
      </w:r>
    </w:p>
    <w:p w:rsidR="00984EEB" w:rsidRDefault="00984EEB" w:rsidP="004B34FA">
      <w:pPr>
        <w:spacing w:before="120" w:after="120" w:line="276" w:lineRule="auto"/>
        <w:jc w:val="both"/>
        <w:rPr>
          <w:b/>
        </w:rPr>
      </w:pPr>
    </w:p>
    <w:p w:rsidR="00A11A67" w:rsidRPr="00A11A67" w:rsidRDefault="00A11A67" w:rsidP="004B34FA">
      <w:pPr>
        <w:spacing w:before="120" w:after="120" w:line="276" w:lineRule="auto"/>
        <w:jc w:val="both"/>
        <w:rPr>
          <w:b/>
        </w:rPr>
      </w:pPr>
      <w:r>
        <w:rPr>
          <w:b/>
        </w:rPr>
        <w:lastRenderedPageBreak/>
        <w:t>Propuestas</w:t>
      </w:r>
    </w:p>
    <w:p w:rsidR="00A13DE9" w:rsidRDefault="00A11A67" w:rsidP="004B34FA">
      <w:pPr>
        <w:spacing w:before="120" w:after="120" w:line="276" w:lineRule="auto"/>
        <w:jc w:val="both"/>
      </w:pPr>
      <w:r>
        <w:t>Es</w:t>
      </w:r>
      <w:r w:rsidR="00A13DE9">
        <w:t xml:space="preserve"> urgente y necesario reformular el cómo se entregan </w:t>
      </w:r>
      <w:r>
        <w:t>las</w:t>
      </w:r>
      <w:r w:rsidR="00A13DE9">
        <w:t xml:space="preserve"> prestaciones</w:t>
      </w:r>
      <w:r>
        <w:t xml:space="preserve"> médicas y de salud</w:t>
      </w:r>
      <w:r w:rsidR="00A13DE9">
        <w:t xml:space="preserve"> – en particular el pago del SIL y la gestión de las licencias médicas – dando respuesta a las inquietudes y demandas de la ciudadanía, en particular el atraso en la entrega de la prestación, en el pago del subsidio y el cuestionamiento a la actividad de las </w:t>
      </w:r>
      <w:proofErr w:type="spellStart"/>
      <w:r w:rsidR="00A13DE9">
        <w:t>ISAPREs</w:t>
      </w:r>
      <w:proofErr w:type="spellEnd"/>
      <w:r w:rsidR="00A13DE9">
        <w:t xml:space="preserve"> como juez y parte en un sistema que sólo les ha traído beneficios a ellas.</w:t>
      </w:r>
    </w:p>
    <w:p w:rsidR="00EA3F99" w:rsidRDefault="003F686C" w:rsidP="004B34FA">
      <w:pPr>
        <w:spacing w:before="120" w:after="120" w:line="276" w:lineRule="auto"/>
        <w:jc w:val="both"/>
      </w:pPr>
      <w:r>
        <w:t>Considerando que la iniciativa de ley de las diputadas y diputados es muy restringida en la materia, al no poder entregar nuevas atribuciones y ni crear servicios públicos o afectar el patrimonio de la nación, y t</w:t>
      </w:r>
      <w:r w:rsidR="00EA3F99">
        <w:t xml:space="preserve">omando como referencia la necesidad de creación de un sistema de seguro único y universal de salud, en el que todas y todos los ciudadanos </w:t>
      </w:r>
      <w:r>
        <w:t>de nuestro país participen de su generación, solvencia y beneficio, sin discriminaciones y con plena garantía del derecho social y humano a la salud, es que proponemos estas modificaciones</w:t>
      </w:r>
      <w:r w:rsidR="0014703E">
        <w:t xml:space="preserve"> en el camino de mejorar y otorgar justicia y oportunidad en el otorgamiento de las prestaciones de salud y el derecho al subsidio por incapacidad laboral. </w:t>
      </w:r>
    </w:p>
    <w:p w:rsidR="00A13DE9" w:rsidRDefault="0014703E" w:rsidP="00607FA1">
      <w:pPr>
        <w:autoSpaceDE w:val="0"/>
        <w:autoSpaceDN w:val="0"/>
        <w:adjustRightInd w:val="0"/>
        <w:spacing w:before="120" w:after="120" w:line="276" w:lineRule="auto"/>
        <w:jc w:val="both"/>
      </w:pPr>
      <w:r>
        <w:t xml:space="preserve">También consideramos la propuesta </w:t>
      </w:r>
      <w:r w:rsidR="00266DF0">
        <w:t xml:space="preserve">de mayoría </w:t>
      </w:r>
      <w:r>
        <w:t xml:space="preserve">de la Comisión Asesora Presidencial </w:t>
      </w:r>
      <w:r w:rsidR="00266DF0">
        <w:t>p</w:t>
      </w:r>
      <w:r w:rsidR="00266DF0" w:rsidRPr="00266DF0">
        <w:t xml:space="preserve">ara </w:t>
      </w:r>
      <w:r w:rsidR="00266DF0">
        <w:t>e</w:t>
      </w:r>
      <w:r w:rsidR="00266DF0" w:rsidRPr="00266DF0">
        <w:t>l estudio y</w:t>
      </w:r>
      <w:r w:rsidR="00E27D52">
        <w:t xml:space="preserve"> </w:t>
      </w:r>
      <w:r w:rsidR="00266DF0" w:rsidRPr="00266DF0">
        <w:t xml:space="preserve">propuesta de un Nuevo Régimen Jurídico </w:t>
      </w:r>
      <w:r w:rsidR="00E27D52" w:rsidRPr="00266DF0">
        <w:t>para el</w:t>
      </w:r>
      <w:r w:rsidR="00E27D52">
        <w:t xml:space="preserve"> </w:t>
      </w:r>
      <w:r w:rsidR="00266DF0" w:rsidRPr="00266DF0">
        <w:t xml:space="preserve">Sistema </w:t>
      </w:r>
      <w:r w:rsidR="00E27D52" w:rsidRPr="00266DF0">
        <w:t xml:space="preserve">de </w:t>
      </w:r>
      <w:r w:rsidR="00266DF0" w:rsidRPr="00266DF0">
        <w:t>Salud Privado</w:t>
      </w:r>
      <w:r w:rsidR="00E27D52">
        <w:t>, el cual entre otras</w:t>
      </w:r>
      <w:r w:rsidR="00A37D9F">
        <w:t xml:space="preserve"> medidas</w:t>
      </w:r>
      <w:r w:rsidR="00266DF0" w:rsidRPr="00266DF0">
        <w:t xml:space="preserve"> </w:t>
      </w:r>
      <w:r w:rsidR="00266DF0">
        <w:t>propone que la evaluación y calificación de</w:t>
      </w:r>
      <w:r w:rsidR="00A37D9F">
        <w:t xml:space="preserve"> </w:t>
      </w:r>
      <w:r w:rsidR="00266DF0">
        <w:t xml:space="preserve">todas las licencias </w:t>
      </w:r>
      <w:r w:rsidR="00A37D9F">
        <w:t>se haga por una institución única</w:t>
      </w:r>
      <w:r w:rsidR="00F878F2">
        <w:t xml:space="preserve">, </w:t>
      </w:r>
      <w:proofErr w:type="spellStart"/>
      <w:r w:rsidR="00F878F2">
        <w:t>autónomoa</w:t>
      </w:r>
      <w:proofErr w:type="spellEnd"/>
      <w:r w:rsidR="00A37D9F">
        <w:t xml:space="preserve"> y pública, separándola de las </w:t>
      </w:r>
      <w:proofErr w:type="spellStart"/>
      <w:r w:rsidR="00A37D9F">
        <w:t>ISAPREs</w:t>
      </w:r>
      <w:proofErr w:type="spellEnd"/>
      <w:r w:rsidR="00607FA1">
        <w:t xml:space="preserve"> como entidades pagadoras</w:t>
      </w:r>
      <w:r w:rsidR="00A37D9F">
        <w:t xml:space="preserve"> (la Comisión propone una </w:t>
      </w:r>
      <w:r w:rsidR="00266DF0">
        <w:t>nueva institucionalidad</w:t>
      </w:r>
      <w:r w:rsidR="00A37D9F">
        <w:t xml:space="preserve"> </w:t>
      </w:r>
      <w:r w:rsidR="00266DF0">
        <w:t>autónoma, continuadora o que surja</w:t>
      </w:r>
      <w:r w:rsidR="00A37D9F">
        <w:t xml:space="preserve"> </w:t>
      </w:r>
      <w:r w:rsidR="00266DF0">
        <w:t>a partir de las actuales COMPIN</w:t>
      </w:r>
      <w:r w:rsidR="00A37D9F">
        <w:t>)</w:t>
      </w:r>
      <w:r w:rsidR="00F878F2">
        <w:t>, y en ese sentido es que sugerimos que el Ejecutivo estudie la posibilidad de desarrollar esta nueva institución.</w:t>
      </w:r>
    </w:p>
    <w:p w:rsidR="00726769" w:rsidRDefault="00F878F2" w:rsidP="00607FA1">
      <w:pPr>
        <w:autoSpaceDE w:val="0"/>
        <w:autoSpaceDN w:val="0"/>
        <w:adjustRightInd w:val="0"/>
        <w:spacing w:before="120" w:after="120" w:line="276" w:lineRule="auto"/>
        <w:jc w:val="both"/>
      </w:pPr>
      <w:r>
        <w:t xml:space="preserve">Sin perjuicio de lo anterior, creemos que la posibilidad de reformar el sistema, dados los anuncios presidenciales del </w:t>
      </w:r>
      <w:r w:rsidR="00F141C1">
        <w:t xml:space="preserve">miércoles 23 de mayo, respecto a eliminar discriminaciones en las </w:t>
      </w:r>
      <w:proofErr w:type="spellStart"/>
      <w:r w:rsidR="00F141C1">
        <w:t>ISAPREs</w:t>
      </w:r>
      <w:proofErr w:type="spellEnd"/>
      <w:r w:rsidR="00F141C1">
        <w:t xml:space="preserve">, es una oportunidad para discutir en serio, cuál es el sistema de salud que Chile necesita, si uno basado en la exclusión </w:t>
      </w:r>
      <w:r w:rsidR="00726769">
        <w:t xml:space="preserve">para generar ganancias a las empresas involucradas en la provisión de servicios de salud, en el cual la exclusión </w:t>
      </w:r>
      <w:r w:rsidR="00F141C1">
        <w:t>de la mujer</w:t>
      </w:r>
      <w:r>
        <w:t xml:space="preserve"> </w:t>
      </w:r>
      <w:r w:rsidR="00726769">
        <w:t>es uno de los basamentos del modelo; o uno basado en la garantía de la salud como un derecho que debe estar al alcance de todas las personas sin distinción.</w:t>
      </w:r>
    </w:p>
    <w:p w:rsidR="00A11A67" w:rsidRDefault="00A11A67" w:rsidP="00607FA1">
      <w:pPr>
        <w:autoSpaceDE w:val="0"/>
        <w:autoSpaceDN w:val="0"/>
        <w:adjustRightInd w:val="0"/>
        <w:spacing w:before="120" w:after="120" w:line="276" w:lineRule="auto"/>
        <w:jc w:val="both"/>
      </w:pPr>
      <w:r>
        <w:t>Para profundizar este debate, es que nuestra propuesta radica en los siguientes aspectos:</w:t>
      </w:r>
    </w:p>
    <w:p w:rsidR="00A11A67" w:rsidRDefault="00A11A67" w:rsidP="00A11A67">
      <w:pPr>
        <w:pStyle w:val="Prrafodelista"/>
        <w:numPr>
          <w:ilvl w:val="0"/>
          <w:numId w:val="9"/>
        </w:numPr>
        <w:autoSpaceDE w:val="0"/>
        <w:autoSpaceDN w:val="0"/>
        <w:adjustRightInd w:val="0"/>
        <w:spacing w:before="120" w:after="120" w:line="276" w:lineRule="auto"/>
        <w:jc w:val="both"/>
      </w:pPr>
      <w:r>
        <w:t>Garantizar la co</w:t>
      </w:r>
      <w:r w:rsidR="00AB5D11">
        <w:t xml:space="preserve">ntinuidad </w:t>
      </w:r>
      <w:proofErr w:type="spellStart"/>
      <w:r w:rsidR="00AB5D11">
        <w:t>remuneracional</w:t>
      </w:r>
      <w:proofErr w:type="spellEnd"/>
      <w:r w:rsidR="00AB5D11">
        <w:t xml:space="preserve"> de las trabajadoras y trabajadores, impidiendo retrasos en los pagos por cuestionamientos a la licencia. Para esto introducimos el pago provisiorio de la </w:t>
      </w:r>
      <w:r w:rsidR="00D04B52">
        <w:t xml:space="preserve">licencia que hará el empleador cuando la licencia </w:t>
      </w:r>
      <w:r w:rsidR="0024536A">
        <w:t xml:space="preserve">sea objetada, </w:t>
      </w:r>
      <w:r w:rsidR="00D04B52">
        <w:t xml:space="preserve">teniendo derecho a reembolso contra la </w:t>
      </w:r>
      <w:r w:rsidR="00D04B52">
        <w:lastRenderedPageBreak/>
        <w:t>institución a la que esté afiliado el trabajador o trabajadora</w:t>
      </w:r>
      <w:r w:rsidR="0024536A">
        <w:t xml:space="preserve"> en el caso de que la licencia quede firme</w:t>
      </w:r>
      <w:r w:rsidR="00D04B52">
        <w:t xml:space="preserve">. En el caso de los trabajadores independientes, </w:t>
      </w:r>
      <w:r w:rsidR="0024536A">
        <w:t>la institución les hará los pagos provisorios directamente.</w:t>
      </w:r>
    </w:p>
    <w:p w:rsidR="00D04B52" w:rsidRDefault="00D04B52" w:rsidP="00A11A67">
      <w:pPr>
        <w:pStyle w:val="Prrafodelista"/>
        <w:numPr>
          <w:ilvl w:val="0"/>
          <w:numId w:val="9"/>
        </w:numPr>
        <w:autoSpaceDE w:val="0"/>
        <w:autoSpaceDN w:val="0"/>
        <w:adjustRightInd w:val="0"/>
        <w:spacing w:before="120" w:after="120" w:line="276" w:lineRule="auto"/>
        <w:jc w:val="both"/>
      </w:pPr>
      <w:r>
        <w:t xml:space="preserve">Terminar con el abuso de </w:t>
      </w:r>
      <w:r w:rsidR="0024536A">
        <w:t xml:space="preserve">la situación de </w:t>
      </w:r>
      <w:r>
        <w:t>“juez y parte”</w:t>
      </w:r>
      <w:r w:rsidR="0024536A">
        <w:t xml:space="preserve"> en el cual están hoy las </w:t>
      </w:r>
      <w:proofErr w:type="spellStart"/>
      <w:r w:rsidR="0024536A">
        <w:t>ISAPREs</w:t>
      </w:r>
      <w:proofErr w:type="spellEnd"/>
      <w:r w:rsidR="0024536A">
        <w:t xml:space="preserve">. No es posible que las responsables del pago de las licencias puedan rechazarlas o modificarlas – siempre para reducirlas </w:t>
      </w:r>
      <w:r w:rsidR="00463B67">
        <w:t xml:space="preserve">–. </w:t>
      </w:r>
      <w:r w:rsidR="001256CE">
        <w:t>Proponemos que sólo sea la COMPIN quien detente esta potestad, y que los demás actores sólo puedan solicitar su revisión a esta entidad.</w:t>
      </w:r>
    </w:p>
    <w:p w:rsidR="001256CE" w:rsidRDefault="002334E9" w:rsidP="00A11A67">
      <w:pPr>
        <w:pStyle w:val="Prrafodelista"/>
        <w:numPr>
          <w:ilvl w:val="0"/>
          <w:numId w:val="9"/>
        </w:numPr>
        <w:autoSpaceDE w:val="0"/>
        <w:autoSpaceDN w:val="0"/>
        <w:adjustRightInd w:val="0"/>
        <w:spacing w:before="120" w:after="120" w:line="276" w:lineRule="auto"/>
        <w:jc w:val="both"/>
      </w:pPr>
      <w:r>
        <w:t>Se proponen sanciones económicas (intereses y multas) por día de retraso en el pago de las licencias médicas. Esta medida junto a la primera, tienen el sentido de evitar que los trabajadores y trabajadoras vean afectadas sus remuneraciones por no recibir el pago oportuno del subsidio de incapacidad laboral.</w:t>
      </w:r>
    </w:p>
    <w:p w:rsidR="00F878F2" w:rsidRPr="004B34FA" w:rsidRDefault="00726769" w:rsidP="00607FA1">
      <w:pPr>
        <w:autoSpaceDE w:val="0"/>
        <w:autoSpaceDN w:val="0"/>
        <w:adjustRightInd w:val="0"/>
        <w:spacing w:before="120" w:after="120" w:line="276" w:lineRule="auto"/>
        <w:jc w:val="both"/>
      </w:pPr>
      <w:r>
        <w:t xml:space="preserve">Es por todo lo anterior que las diputadas y diputados abajo firmantes venimos a presentar el siguiente: </w:t>
      </w:r>
    </w:p>
    <w:p w:rsidR="003179CD" w:rsidRPr="00E27D52" w:rsidRDefault="003179CD" w:rsidP="00A92DCE">
      <w:pPr>
        <w:spacing w:before="120" w:after="120" w:line="276" w:lineRule="auto"/>
        <w:jc w:val="center"/>
      </w:pPr>
    </w:p>
    <w:p w:rsidR="003179CD" w:rsidRPr="00E27D52" w:rsidRDefault="003179CD" w:rsidP="00A92DCE">
      <w:pPr>
        <w:spacing w:before="120" w:after="120" w:line="276" w:lineRule="auto"/>
        <w:jc w:val="center"/>
      </w:pPr>
    </w:p>
    <w:p w:rsidR="003179CD" w:rsidRDefault="003179CD" w:rsidP="00A92DCE">
      <w:pPr>
        <w:spacing w:before="120" w:after="120" w:line="276" w:lineRule="auto"/>
        <w:jc w:val="center"/>
        <w:rPr>
          <w:b/>
        </w:rPr>
      </w:pPr>
    </w:p>
    <w:p w:rsidR="003179CD" w:rsidRDefault="003179CD"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446E88" w:rsidRDefault="00446E88" w:rsidP="00A92DCE">
      <w:pPr>
        <w:spacing w:before="120" w:after="120" w:line="276" w:lineRule="auto"/>
        <w:jc w:val="center"/>
        <w:rPr>
          <w:b/>
        </w:rPr>
      </w:pPr>
    </w:p>
    <w:p w:rsidR="001836EB" w:rsidRDefault="001836EB" w:rsidP="001836EB">
      <w:pPr>
        <w:spacing w:before="120" w:after="120" w:line="276" w:lineRule="auto"/>
        <w:jc w:val="center"/>
        <w:rPr>
          <w:b/>
          <w:u w:val="single"/>
        </w:rPr>
      </w:pPr>
      <w:r w:rsidRPr="001836EB">
        <w:rPr>
          <w:b/>
          <w:u w:val="single"/>
        </w:rPr>
        <w:lastRenderedPageBreak/>
        <w:t>PROYECTO DE LEY</w:t>
      </w:r>
    </w:p>
    <w:p w:rsidR="001836EB" w:rsidRPr="001836EB" w:rsidRDefault="001836EB" w:rsidP="001836EB">
      <w:pPr>
        <w:spacing w:before="120" w:after="120" w:line="276" w:lineRule="auto"/>
        <w:jc w:val="center"/>
        <w:rPr>
          <w:b/>
          <w:u w:val="single"/>
        </w:rPr>
      </w:pPr>
    </w:p>
    <w:p w:rsidR="009D69E9" w:rsidRDefault="007F0A79" w:rsidP="00A92DCE">
      <w:pPr>
        <w:spacing w:before="120" w:after="120" w:line="276" w:lineRule="auto"/>
        <w:jc w:val="both"/>
      </w:pPr>
      <w:r>
        <w:rPr>
          <w:b/>
        </w:rPr>
        <w:t>Artículo primero:</w:t>
      </w:r>
      <w:r w:rsidR="00B129CB">
        <w:rPr>
          <w:b/>
        </w:rPr>
        <w:t xml:space="preserve"> </w:t>
      </w:r>
      <w:r w:rsidR="00B129CB">
        <w:t>Reemplácese</w:t>
      </w:r>
      <w:r w:rsidR="00501F1F">
        <w:t xml:space="preserve"> el artículo 19° del Decreto con Fuerza de Ley que</w:t>
      </w:r>
      <w:r>
        <w:rPr>
          <w:b/>
        </w:rPr>
        <w:t xml:space="preserve"> </w:t>
      </w:r>
      <w:r w:rsidR="00501F1F" w:rsidRPr="00B129CB">
        <w:t xml:space="preserve">Fija </w:t>
      </w:r>
      <w:r w:rsidR="00B129CB" w:rsidRPr="00B129CB">
        <w:t xml:space="preserve">normas comunes para los </w:t>
      </w:r>
      <w:r w:rsidR="00501F1F" w:rsidRPr="00B129CB">
        <w:t xml:space="preserve">Subsidios por Incapacidad Laboral </w:t>
      </w:r>
      <w:r w:rsidR="00B129CB" w:rsidRPr="00B129CB">
        <w:t>de los trabajadores dependientes del sector privado</w:t>
      </w:r>
    </w:p>
    <w:p w:rsidR="001009CB" w:rsidRPr="001009CB" w:rsidRDefault="00D170B3" w:rsidP="00F809DC">
      <w:pPr>
        <w:numPr>
          <w:ilvl w:val="0"/>
          <w:numId w:val="10"/>
        </w:numPr>
        <w:tabs>
          <w:tab w:val="clear" w:pos="720"/>
        </w:tabs>
        <w:spacing w:before="120" w:after="120" w:line="276" w:lineRule="auto"/>
        <w:ind w:left="426"/>
        <w:jc w:val="both"/>
        <w:textAlignment w:val="baseline"/>
        <w:rPr>
          <w:i/>
        </w:rPr>
      </w:pPr>
      <w:r w:rsidRPr="00D170B3">
        <w:rPr>
          <w:rFonts w:eastAsia="Times New Roman"/>
          <w:color w:val="000000"/>
          <w:lang w:eastAsia="es-CL"/>
        </w:rPr>
        <w:t xml:space="preserve">Elimínese del </w:t>
      </w:r>
      <w:r w:rsidRPr="00D170B3">
        <w:rPr>
          <w:rFonts w:eastAsia="Times New Roman"/>
          <w:bCs/>
          <w:color w:val="000000"/>
          <w:lang w:eastAsia="es-CL"/>
        </w:rPr>
        <w:t>Artículo 14º</w:t>
      </w:r>
      <w:r w:rsidRPr="00D170B3">
        <w:rPr>
          <w:rFonts w:eastAsia="Times New Roman"/>
          <w:color w:val="000000"/>
          <w:lang w:eastAsia="es-CL"/>
        </w:rPr>
        <w:t xml:space="preserve"> la siguiente frase: “</w:t>
      </w:r>
      <w:r w:rsidRPr="00D170B3">
        <w:rPr>
          <w:rFonts w:eastAsia="Times New Roman"/>
          <w:color w:val="000000"/>
          <w:shd w:val="clear" w:color="auto" w:fill="FFFFFF"/>
          <w:lang w:eastAsia="es-CL"/>
        </w:rPr>
        <w:t>,</w:t>
      </w:r>
      <w:r w:rsidR="001009CB" w:rsidRPr="001009CB">
        <w:rPr>
          <w:rFonts w:eastAsia="Times New Roman"/>
          <w:color w:val="000000"/>
          <w:shd w:val="clear" w:color="auto" w:fill="FFFFFF"/>
          <w:lang w:eastAsia="es-CL"/>
        </w:rPr>
        <w:t xml:space="preserve"> </w:t>
      </w:r>
      <w:r w:rsidRPr="00D170B3">
        <w:rPr>
          <w:rFonts w:eastAsia="Times New Roman"/>
          <w:color w:val="000000"/>
          <w:shd w:val="clear" w:color="auto" w:fill="FFFFFF"/>
          <w:lang w:eastAsia="es-CL"/>
        </w:rPr>
        <w:t>si ésta fuere superior a diez días o desde el cuarto día, si ella fuere igual o inferior a dicho plazo”</w:t>
      </w:r>
    </w:p>
    <w:p w:rsidR="001009CB" w:rsidRPr="001009CB" w:rsidRDefault="001009CB" w:rsidP="00F809DC">
      <w:pPr>
        <w:numPr>
          <w:ilvl w:val="0"/>
          <w:numId w:val="10"/>
        </w:numPr>
        <w:tabs>
          <w:tab w:val="clear" w:pos="720"/>
        </w:tabs>
        <w:spacing w:before="120" w:after="120" w:line="276" w:lineRule="auto"/>
        <w:ind w:left="426"/>
        <w:jc w:val="both"/>
        <w:textAlignment w:val="baseline"/>
      </w:pPr>
      <w:r w:rsidRPr="001009CB">
        <w:t>Reemplácese el artículo 19° por el siguiente:</w:t>
      </w:r>
    </w:p>
    <w:p w:rsidR="009D69E9" w:rsidRPr="001009CB" w:rsidRDefault="001009CB" w:rsidP="001009CB">
      <w:pPr>
        <w:spacing w:before="120" w:after="120" w:line="276" w:lineRule="auto"/>
        <w:jc w:val="both"/>
        <w:textAlignment w:val="baseline"/>
        <w:rPr>
          <w:i/>
        </w:rPr>
      </w:pPr>
      <w:r>
        <w:rPr>
          <w:i/>
        </w:rPr>
        <w:t>“</w:t>
      </w:r>
      <w:r w:rsidR="009D69E9" w:rsidRPr="001009CB">
        <w:rPr>
          <w:i/>
        </w:rPr>
        <w:t>Artículo 19°. - El pago de los subsidios corresponde a la entidad que deba otorgarlos o al empleador, si lo ha convenido con la entidad otorgante.</w:t>
      </w:r>
      <w:r w:rsidR="00B85F79" w:rsidRPr="001009CB">
        <w:rPr>
          <w:i/>
        </w:rPr>
        <w:t xml:space="preserve"> </w:t>
      </w:r>
      <w:r w:rsidR="00353C93" w:rsidRPr="001009CB">
        <w:rPr>
          <w:i/>
        </w:rPr>
        <w:t xml:space="preserve">En el </w:t>
      </w:r>
      <w:r w:rsidR="00255637" w:rsidRPr="001009CB">
        <w:rPr>
          <w:i/>
        </w:rPr>
        <w:t>caso</w:t>
      </w:r>
      <w:r w:rsidR="00C23449">
        <w:rPr>
          <w:i/>
        </w:rPr>
        <w:t xml:space="preserve"> de solicitarse rechazo o modificación de la licencia</w:t>
      </w:r>
      <w:r w:rsidR="00255637" w:rsidRPr="001009CB">
        <w:rPr>
          <w:i/>
        </w:rPr>
        <w:t xml:space="preserve">, </w:t>
      </w:r>
      <w:r w:rsidR="00353C93" w:rsidRPr="001009CB">
        <w:rPr>
          <w:i/>
        </w:rPr>
        <w:t xml:space="preserve">el empleador deberá </w:t>
      </w:r>
      <w:r w:rsidR="00255637" w:rsidRPr="001009CB">
        <w:rPr>
          <w:i/>
        </w:rPr>
        <w:t>pagar</w:t>
      </w:r>
      <w:r w:rsidR="005726E0" w:rsidRPr="001009CB">
        <w:rPr>
          <w:i/>
        </w:rPr>
        <w:t xml:space="preserve"> el Subsidio Laboral de Incapacidad</w:t>
      </w:r>
      <w:r w:rsidR="00F0176D" w:rsidRPr="001009CB">
        <w:rPr>
          <w:i/>
        </w:rPr>
        <w:t xml:space="preserve"> </w:t>
      </w:r>
      <w:r w:rsidR="003B167B" w:rsidRPr="001009CB">
        <w:rPr>
          <w:i/>
        </w:rPr>
        <w:t>de manera provisoria</w:t>
      </w:r>
      <w:r w:rsidR="00F0176D" w:rsidRPr="001009CB">
        <w:rPr>
          <w:i/>
        </w:rPr>
        <w:t>,</w:t>
      </w:r>
      <w:r w:rsidR="00353C93" w:rsidRPr="001009CB">
        <w:rPr>
          <w:i/>
        </w:rPr>
        <w:t xml:space="preserve"> </w:t>
      </w:r>
      <w:r w:rsidR="00972A33" w:rsidRPr="001009CB">
        <w:rPr>
          <w:i/>
        </w:rPr>
        <w:t xml:space="preserve">teniendo derecho a reembolso </w:t>
      </w:r>
      <w:r w:rsidR="00865B61" w:rsidRPr="001009CB">
        <w:rPr>
          <w:i/>
        </w:rPr>
        <w:t>por parte</w:t>
      </w:r>
      <w:r w:rsidR="00295EB9" w:rsidRPr="001009CB">
        <w:rPr>
          <w:i/>
        </w:rPr>
        <w:t xml:space="preserve"> de la institución, en la parte que se confirme, </w:t>
      </w:r>
      <w:r w:rsidR="00492377" w:rsidRPr="001009CB">
        <w:rPr>
          <w:i/>
        </w:rPr>
        <w:t>y</w:t>
      </w:r>
      <w:r w:rsidR="00295EB9" w:rsidRPr="001009CB">
        <w:rPr>
          <w:i/>
        </w:rPr>
        <w:t xml:space="preserve"> del trabajador </w:t>
      </w:r>
      <w:r w:rsidR="00492377" w:rsidRPr="001009CB">
        <w:rPr>
          <w:i/>
        </w:rPr>
        <w:t xml:space="preserve">o trabajadora </w:t>
      </w:r>
      <w:r w:rsidR="00EE7576" w:rsidRPr="001009CB">
        <w:rPr>
          <w:i/>
        </w:rPr>
        <w:t>en la parte que se rechace</w:t>
      </w:r>
      <w:r w:rsidR="00295EB9" w:rsidRPr="001009CB">
        <w:rPr>
          <w:i/>
        </w:rPr>
        <w:t>.</w:t>
      </w:r>
      <w:r>
        <w:rPr>
          <w:i/>
        </w:rPr>
        <w:t>”</w:t>
      </w:r>
    </w:p>
    <w:p w:rsidR="007F0A79" w:rsidRDefault="009D69E9" w:rsidP="00A92DCE">
      <w:pPr>
        <w:spacing w:before="120" w:after="120" w:line="276" w:lineRule="auto"/>
        <w:jc w:val="both"/>
      </w:pPr>
      <w:r>
        <w:rPr>
          <w:b/>
        </w:rPr>
        <w:t xml:space="preserve">Artículo segundo: </w:t>
      </w:r>
      <w:r w:rsidR="007F0A79">
        <w:t xml:space="preserve">Introdúzcanse las siguientes modificaciones a la </w:t>
      </w:r>
      <w:r w:rsidR="007F0A79" w:rsidRPr="00957F6E">
        <w:t>Ley 20.585</w:t>
      </w:r>
      <w:r w:rsidR="007F0A79">
        <w:t xml:space="preserve"> </w:t>
      </w:r>
      <w:r w:rsidR="007F0A79" w:rsidRPr="00957F6E">
        <w:t>Sobre otorgamiento y</w:t>
      </w:r>
      <w:r w:rsidR="007F0A79">
        <w:t xml:space="preserve"> uso de licencias médicas: </w:t>
      </w:r>
    </w:p>
    <w:p w:rsidR="0021555F" w:rsidRDefault="00335164" w:rsidP="00A92DCE">
      <w:pPr>
        <w:pStyle w:val="Prrafodelista"/>
        <w:numPr>
          <w:ilvl w:val="0"/>
          <w:numId w:val="1"/>
        </w:numPr>
        <w:spacing w:before="120" w:after="120" w:line="276" w:lineRule="auto"/>
        <w:ind w:left="426"/>
        <w:contextualSpacing w:val="0"/>
        <w:jc w:val="both"/>
      </w:pPr>
      <w:r>
        <w:t>Sustitúyase en el inciso tercero del a</w:t>
      </w:r>
      <w:r w:rsidRPr="00AC2AA0">
        <w:t>rtículo 3º</w:t>
      </w:r>
      <w:r w:rsidR="00383A31">
        <w:t xml:space="preserve"> la expresión, </w:t>
      </w:r>
      <w:r w:rsidR="00383A31" w:rsidRPr="00225136">
        <w:rPr>
          <w:i/>
        </w:rPr>
        <w:t>“determine”</w:t>
      </w:r>
      <w:r w:rsidR="00383A31">
        <w:t xml:space="preserve"> por </w:t>
      </w:r>
      <w:r w:rsidR="00383A31" w:rsidRPr="00225136">
        <w:rPr>
          <w:i/>
        </w:rPr>
        <w:t>“solicite”</w:t>
      </w:r>
      <w:r w:rsidR="00383A31">
        <w:t xml:space="preserve"> y la expresión </w:t>
      </w:r>
      <w:r w:rsidR="00383A31" w:rsidRPr="00225136">
        <w:rPr>
          <w:i/>
        </w:rPr>
        <w:t>“decisión”</w:t>
      </w:r>
      <w:r w:rsidR="0021555F">
        <w:t xml:space="preserve"> por </w:t>
      </w:r>
      <w:r w:rsidR="0021555F" w:rsidRPr="00225136">
        <w:rPr>
          <w:i/>
        </w:rPr>
        <w:t>“solicitud”</w:t>
      </w:r>
      <w:r w:rsidRPr="00AC2AA0">
        <w:t>.</w:t>
      </w:r>
      <w:r w:rsidR="0021555F">
        <w:t xml:space="preserve"> </w:t>
      </w:r>
    </w:p>
    <w:p w:rsidR="00893743" w:rsidRDefault="00893743" w:rsidP="00A92DCE">
      <w:pPr>
        <w:pStyle w:val="Prrafodelista"/>
        <w:numPr>
          <w:ilvl w:val="0"/>
          <w:numId w:val="1"/>
        </w:numPr>
        <w:spacing w:before="120" w:after="120" w:line="276" w:lineRule="auto"/>
        <w:ind w:left="426"/>
        <w:contextualSpacing w:val="0"/>
        <w:jc w:val="both"/>
      </w:pPr>
      <w:r>
        <w:t>Incorpórense</w:t>
      </w:r>
      <w:r w:rsidR="00CE247D">
        <w:t xml:space="preserve"> en el a</w:t>
      </w:r>
      <w:r w:rsidR="00CE247D" w:rsidRPr="00AC2AA0">
        <w:t>rtículo 3º</w:t>
      </w:r>
      <w:r>
        <w:t xml:space="preserve"> los siguientes incisos </w:t>
      </w:r>
      <w:r w:rsidR="00F4273C">
        <w:t xml:space="preserve">cuarto, quinto, sexto y séptimo </w:t>
      </w:r>
      <w:r>
        <w:t xml:space="preserve">nuevos, pasando el actual inciso </w:t>
      </w:r>
      <w:r w:rsidR="00F4273C">
        <w:t>cuarto</w:t>
      </w:r>
      <w:r>
        <w:t xml:space="preserve"> a ser </w:t>
      </w:r>
      <w:r w:rsidR="00F4273C">
        <w:t>octavo:</w:t>
      </w:r>
    </w:p>
    <w:p w:rsidR="00335164" w:rsidRPr="00152EB4" w:rsidRDefault="00225136" w:rsidP="00A92DCE">
      <w:pPr>
        <w:spacing w:before="120" w:after="120" w:line="276" w:lineRule="auto"/>
        <w:jc w:val="both"/>
        <w:rPr>
          <w:i/>
        </w:rPr>
      </w:pPr>
      <w:r w:rsidRPr="00152EB4">
        <w:rPr>
          <w:i/>
        </w:rPr>
        <w:t>“</w:t>
      </w:r>
      <w:r w:rsidR="008830B8" w:rsidRPr="00152EB4">
        <w:rPr>
          <w:i/>
        </w:rPr>
        <w:t>Solicitada que sea la</w:t>
      </w:r>
      <w:r w:rsidR="00335164" w:rsidRPr="00152EB4">
        <w:rPr>
          <w:i/>
        </w:rPr>
        <w:t xml:space="preserve"> reducción o rechazo </w:t>
      </w:r>
      <w:r w:rsidR="008830B8" w:rsidRPr="00152EB4">
        <w:rPr>
          <w:i/>
        </w:rPr>
        <w:t>de la licencia médica</w:t>
      </w:r>
      <w:r w:rsidR="00335164" w:rsidRPr="00152EB4">
        <w:rPr>
          <w:i/>
        </w:rPr>
        <w:t>, la Institución de Salud Previsional de todas formas deberá pagar</w:t>
      </w:r>
      <w:r w:rsidR="008830B8" w:rsidRPr="00152EB4">
        <w:rPr>
          <w:i/>
        </w:rPr>
        <w:t xml:space="preserve"> el subsidio de incapacidad laboral</w:t>
      </w:r>
      <w:r w:rsidR="00335164" w:rsidRPr="00152EB4">
        <w:rPr>
          <w:i/>
        </w:rPr>
        <w:t xml:space="preserve"> </w:t>
      </w:r>
      <w:r w:rsidR="008830B8" w:rsidRPr="00152EB4">
        <w:rPr>
          <w:i/>
        </w:rPr>
        <w:t xml:space="preserve">correspondiente, </w:t>
      </w:r>
      <w:r w:rsidR="00335164" w:rsidRPr="00152EB4">
        <w:rPr>
          <w:i/>
        </w:rPr>
        <w:t xml:space="preserve">de manera provisoria hasta el término de la licencia médica y de su extensión si corresponde, o hasta la resolución de la Comisión de Medicina Preventiva e Invalidez. </w:t>
      </w:r>
    </w:p>
    <w:p w:rsidR="00335164" w:rsidRPr="00152EB4" w:rsidRDefault="00335164" w:rsidP="00A92DCE">
      <w:pPr>
        <w:spacing w:before="120" w:after="120" w:line="276" w:lineRule="auto"/>
        <w:jc w:val="both"/>
        <w:rPr>
          <w:i/>
        </w:rPr>
      </w:pPr>
      <w:r w:rsidRPr="00152EB4">
        <w:rPr>
          <w:i/>
        </w:rPr>
        <w:t xml:space="preserve">En caso de que la Comisión de Medicina Preventiva e Invalidez rechace la solicitud de reducción o rechazo, el pago provisorio </w:t>
      </w:r>
      <w:r w:rsidR="003377FC" w:rsidRPr="00152EB4">
        <w:rPr>
          <w:i/>
        </w:rPr>
        <w:t>del subsidio de incapacidad laboral</w:t>
      </w:r>
      <w:r w:rsidRPr="00152EB4">
        <w:rPr>
          <w:i/>
        </w:rPr>
        <w:t xml:space="preserve"> quedará firme y la Institución de Salud Previsional deberá continuar con el pago si aún restan períodos sin cancelar o si se produce extensión de la licencia médica, como si la solicitud de reducción o rechazo nunca se hubiera efectuado. </w:t>
      </w:r>
    </w:p>
    <w:p w:rsidR="00335164" w:rsidRPr="00152EB4" w:rsidRDefault="00335164" w:rsidP="00A92DCE">
      <w:pPr>
        <w:spacing w:before="120" w:after="120" w:line="276" w:lineRule="auto"/>
        <w:jc w:val="both"/>
        <w:rPr>
          <w:i/>
        </w:rPr>
      </w:pPr>
      <w:r w:rsidRPr="00152EB4">
        <w:rPr>
          <w:i/>
        </w:rPr>
        <w:t>De acogerse la solicitud de rechazo, la Institución de Salud Previsional tendrá derecho a reembolso de los pagos provisorios hechos a los cotizantes o beneficiarios.</w:t>
      </w:r>
    </w:p>
    <w:p w:rsidR="00335164" w:rsidRPr="00AC2AA0" w:rsidRDefault="00335164" w:rsidP="00A92DCE">
      <w:pPr>
        <w:spacing w:before="120" w:after="120" w:line="276" w:lineRule="auto"/>
        <w:jc w:val="both"/>
      </w:pPr>
      <w:r w:rsidRPr="00152EB4">
        <w:rPr>
          <w:i/>
        </w:rPr>
        <w:t xml:space="preserve">Cada día de retraso en el pago </w:t>
      </w:r>
      <w:r w:rsidR="003377FC" w:rsidRPr="00152EB4">
        <w:rPr>
          <w:i/>
        </w:rPr>
        <w:t>del subsidio de incapacidad laboral</w:t>
      </w:r>
      <w:r w:rsidRPr="00152EB4">
        <w:rPr>
          <w:i/>
        </w:rPr>
        <w:t xml:space="preserve"> devengará un interés equivalente al máximo convencional, según lo dispuesto en la ley 18.010 sobre operaciones de crédito de dinero, y se sancionará además con una multa a </w:t>
      </w:r>
      <w:r w:rsidRPr="00152EB4">
        <w:rPr>
          <w:i/>
        </w:rPr>
        <w:lastRenderedPageBreak/>
        <w:t>beneficio fiscal de 7,5 unidades tributarias mensuales. En el caso de retraso en los pagos provisionales de</w:t>
      </w:r>
      <w:r w:rsidR="00152EB4" w:rsidRPr="00152EB4">
        <w:rPr>
          <w:i/>
        </w:rPr>
        <w:t>l</w:t>
      </w:r>
      <w:r w:rsidRPr="00152EB4">
        <w:rPr>
          <w:i/>
        </w:rPr>
        <w:t xml:space="preserve"> </w:t>
      </w:r>
      <w:r w:rsidR="00152EB4" w:rsidRPr="00152EB4">
        <w:rPr>
          <w:i/>
        </w:rPr>
        <w:t xml:space="preserve">subsidio de </w:t>
      </w:r>
      <w:r w:rsidR="003377FC" w:rsidRPr="00152EB4">
        <w:rPr>
          <w:i/>
        </w:rPr>
        <w:t>incapacidad laboral</w:t>
      </w:r>
      <w:r w:rsidRPr="00152EB4">
        <w:rPr>
          <w:i/>
        </w:rPr>
        <w:t xml:space="preserve">, tanto el interés como la multa se calcularán desde el primer día </w:t>
      </w:r>
      <w:r w:rsidR="00152EB4" w:rsidRPr="00152EB4">
        <w:rPr>
          <w:i/>
        </w:rPr>
        <w:t>de</w:t>
      </w:r>
      <w:r w:rsidRPr="00152EB4">
        <w:rPr>
          <w:i/>
        </w:rPr>
        <w:t xml:space="preserve"> la licencia médica, según la resolución de la Comisión de Medicina Preventiva e Invalidez que los declare firmes.</w:t>
      </w:r>
      <w:r w:rsidR="00152EB4" w:rsidRPr="00152EB4">
        <w:rPr>
          <w:i/>
        </w:rPr>
        <w:t>”</w:t>
      </w:r>
      <w:r w:rsidRPr="00AC2AA0">
        <w:t>  </w:t>
      </w:r>
    </w:p>
    <w:p w:rsidR="009E77C1" w:rsidRDefault="00CE247D" w:rsidP="00A92DCE">
      <w:pPr>
        <w:pStyle w:val="Prrafodelista"/>
        <w:numPr>
          <w:ilvl w:val="0"/>
          <w:numId w:val="1"/>
        </w:numPr>
        <w:spacing w:before="120" w:after="120" w:line="276" w:lineRule="auto"/>
        <w:ind w:left="426"/>
        <w:contextualSpacing w:val="0"/>
        <w:jc w:val="both"/>
      </w:pPr>
      <w:r>
        <w:t>Incorpórese</w:t>
      </w:r>
      <w:r w:rsidR="009E77C1">
        <w:t xml:space="preserve"> en </w:t>
      </w:r>
      <w:r>
        <w:t xml:space="preserve">el </w:t>
      </w:r>
      <w:r w:rsidR="009E77C1">
        <w:t xml:space="preserve">inciso </w:t>
      </w:r>
      <w:r w:rsidR="009F6A2E">
        <w:t>cuarto</w:t>
      </w:r>
      <w:r w:rsidR="009E77C1">
        <w:t xml:space="preserve"> que ha pasado a ser octavo,</w:t>
      </w:r>
      <w:r w:rsidR="00B61DA5">
        <w:t xml:space="preserve"> </w:t>
      </w:r>
      <w:r w:rsidR="009F6A2E">
        <w:t>del a</w:t>
      </w:r>
      <w:r w:rsidR="009F6A2E" w:rsidRPr="00AC2AA0">
        <w:t>rtículo 3º</w:t>
      </w:r>
      <w:r w:rsidR="009F6A2E">
        <w:t xml:space="preserve">, </w:t>
      </w:r>
      <w:r w:rsidR="00B61DA5">
        <w:t xml:space="preserve">entre las expresiones </w:t>
      </w:r>
      <w:r w:rsidR="00B61DA5" w:rsidRPr="00B61DA5">
        <w:rPr>
          <w:i/>
        </w:rPr>
        <w:t>“la remisión de”</w:t>
      </w:r>
      <w:r w:rsidR="00B61DA5">
        <w:t xml:space="preserve"> y </w:t>
      </w:r>
      <w:r w:rsidR="00B61DA5" w:rsidRPr="00BB2DA5">
        <w:rPr>
          <w:i/>
        </w:rPr>
        <w:t>“los antecedentes”</w:t>
      </w:r>
      <w:r w:rsidR="00B61DA5">
        <w:t xml:space="preserve">, la palabra </w:t>
      </w:r>
      <w:r w:rsidR="00B61DA5" w:rsidRPr="00BB2DA5">
        <w:rPr>
          <w:i/>
        </w:rPr>
        <w:t>“todos”</w:t>
      </w:r>
      <w:r w:rsidR="00B61DA5">
        <w:t>.</w:t>
      </w:r>
    </w:p>
    <w:p w:rsidR="00335164" w:rsidRDefault="00BB2DA5" w:rsidP="00A92DCE">
      <w:pPr>
        <w:pStyle w:val="Prrafodelista"/>
        <w:numPr>
          <w:ilvl w:val="0"/>
          <w:numId w:val="1"/>
        </w:numPr>
        <w:spacing w:before="120" w:after="120" w:line="276" w:lineRule="auto"/>
        <w:ind w:left="426"/>
        <w:contextualSpacing w:val="0"/>
        <w:jc w:val="both"/>
      </w:pPr>
      <w:r>
        <w:t xml:space="preserve">Elimínese en el inciso </w:t>
      </w:r>
      <w:r w:rsidR="009F6A2E">
        <w:t>cuarto</w:t>
      </w:r>
      <w:r>
        <w:t xml:space="preserve"> que ha pasado a ser octavo</w:t>
      </w:r>
      <w:r w:rsidR="009F6A2E">
        <w:t>, del a</w:t>
      </w:r>
      <w:r w:rsidR="009F6A2E" w:rsidRPr="00AC2AA0">
        <w:t>rtículo 3º</w:t>
      </w:r>
      <w:r w:rsidR="009F6A2E">
        <w:t xml:space="preserve">, la expresión </w:t>
      </w:r>
      <w:r w:rsidR="009F6A2E" w:rsidRPr="009F6A2E">
        <w:rPr>
          <w:i/>
        </w:rPr>
        <w:t>“complementarios”</w:t>
      </w:r>
      <w:r w:rsidR="009F6A2E">
        <w:t>.</w:t>
      </w:r>
    </w:p>
    <w:p w:rsidR="00965FB9" w:rsidRDefault="0033424A" w:rsidP="00A92DCE">
      <w:pPr>
        <w:pStyle w:val="Prrafodelista"/>
        <w:numPr>
          <w:ilvl w:val="0"/>
          <w:numId w:val="1"/>
        </w:numPr>
        <w:spacing w:before="120" w:after="120" w:line="276" w:lineRule="auto"/>
        <w:ind w:left="426"/>
        <w:contextualSpacing w:val="0"/>
        <w:jc w:val="both"/>
      </w:pPr>
      <w:r>
        <w:t>Sustitúyase en el inciso primero del a</w:t>
      </w:r>
      <w:r w:rsidR="008B072D">
        <w:t xml:space="preserve">rtículo 8º, la expresión, </w:t>
      </w:r>
      <w:r w:rsidR="008B072D" w:rsidRPr="00965FB9">
        <w:rPr>
          <w:i/>
        </w:rPr>
        <w:t>“cuya función sea la autorización,”</w:t>
      </w:r>
      <w:r w:rsidR="00965FB9">
        <w:t xml:space="preserve"> por la expresión</w:t>
      </w:r>
      <w:r w:rsidR="005C7CAB" w:rsidRPr="00957F6E">
        <w:t xml:space="preserve"> </w:t>
      </w:r>
      <w:r w:rsidR="00965FB9" w:rsidRPr="00965FB9">
        <w:rPr>
          <w:i/>
        </w:rPr>
        <w:t>“</w:t>
      </w:r>
      <w:r w:rsidR="005C7CAB" w:rsidRPr="00965FB9">
        <w:rPr>
          <w:i/>
        </w:rPr>
        <w:t>entre cuyas funciones se encuentre la solicitud de</w:t>
      </w:r>
      <w:r w:rsidR="00965FB9" w:rsidRPr="00965FB9">
        <w:rPr>
          <w:i/>
        </w:rPr>
        <w:t>”</w:t>
      </w:r>
    </w:p>
    <w:p w:rsidR="0054306F" w:rsidRDefault="0054306F" w:rsidP="00A92DCE">
      <w:pPr>
        <w:pStyle w:val="Prrafodelista"/>
        <w:numPr>
          <w:ilvl w:val="0"/>
          <w:numId w:val="1"/>
        </w:numPr>
        <w:spacing w:before="120" w:after="120" w:line="276" w:lineRule="auto"/>
        <w:ind w:left="426"/>
        <w:contextualSpacing w:val="0"/>
        <w:jc w:val="both"/>
      </w:pPr>
      <w:r>
        <w:t xml:space="preserve">Elimínese en el inciso primero del artículo 8º, la expresión </w:t>
      </w:r>
      <w:r w:rsidRPr="00564F6F">
        <w:rPr>
          <w:i/>
        </w:rPr>
        <w:t>“ordene”</w:t>
      </w:r>
      <w:r w:rsidR="00D97C45" w:rsidRPr="00564F6F">
        <w:rPr>
          <w:i/>
        </w:rPr>
        <w:t>.</w:t>
      </w:r>
    </w:p>
    <w:p w:rsidR="00D97C45" w:rsidRDefault="0054306F" w:rsidP="00A92DCE">
      <w:pPr>
        <w:pStyle w:val="Prrafodelista"/>
        <w:numPr>
          <w:ilvl w:val="0"/>
          <w:numId w:val="1"/>
        </w:numPr>
        <w:spacing w:before="120" w:after="120" w:line="276" w:lineRule="auto"/>
        <w:ind w:left="426"/>
        <w:contextualSpacing w:val="0"/>
        <w:jc w:val="both"/>
      </w:pPr>
      <w:r>
        <w:t>Insértese</w:t>
      </w:r>
      <w:r w:rsidR="00FC4539">
        <w:t xml:space="preserve"> en el inciso primero del artículo 8º, </w:t>
      </w:r>
      <w:r>
        <w:t xml:space="preserve">entre la </w:t>
      </w:r>
      <w:r w:rsidR="00FC4539">
        <w:t>expresión</w:t>
      </w:r>
      <w:r>
        <w:t xml:space="preserve"> </w:t>
      </w:r>
      <w:r w:rsidRPr="00564F6F">
        <w:rPr>
          <w:i/>
        </w:rPr>
        <w:t>“bajo su firma”</w:t>
      </w:r>
      <w:r>
        <w:t xml:space="preserve"> y la expresión </w:t>
      </w:r>
      <w:r w:rsidRPr="00564F6F">
        <w:rPr>
          <w:i/>
        </w:rPr>
        <w:t>“rechazar o modificar”</w:t>
      </w:r>
      <w:r w:rsidR="00D97C45">
        <w:t xml:space="preserve">, la palabra </w:t>
      </w:r>
      <w:r w:rsidR="00D97C45" w:rsidRPr="00564F6F">
        <w:rPr>
          <w:i/>
        </w:rPr>
        <w:t>“</w:t>
      </w:r>
      <w:r w:rsidR="005C7CAB" w:rsidRPr="00564F6F">
        <w:rPr>
          <w:i/>
        </w:rPr>
        <w:t>solicit</w:t>
      </w:r>
      <w:r w:rsidR="00D97C45" w:rsidRPr="00564F6F">
        <w:rPr>
          <w:i/>
        </w:rPr>
        <w:t>e”</w:t>
      </w:r>
      <w:r w:rsidR="00D97C45">
        <w:t>.</w:t>
      </w:r>
    </w:p>
    <w:p w:rsidR="008F2E90" w:rsidRDefault="00D97C45" w:rsidP="00A92DCE">
      <w:pPr>
        <w:pStyle w:val="Prrafodelista"/>
        <w:numPr>
          <w:ilvl w:val="0"/>
          <w:numId w:val="1"/>
        </w:numPr>
        <w:spacing w:before="120" w:after="120" w:line="276" w:lineRule="auto"/>
        <w:ind w:left="426"/>
        <w:contextualSpacing w:val="0"/>
        <w:jc w:val="both"/>
      </w:pPr>
      <w:r>
        <w:t xml:space="preserve">Sustitúyase en el inciso primero del artículo 8º, la palabra </w:t>
      </w:r>
      <w:r w:rsidRPr="00564F6F">
        <w:rPr>
          <w:i/>
        </w:rPr>
        <w:t>“resolución”</w:t>
      </w:r>
      <w:r>
        <w:t xml:space="preserve"> por </w:t>
      </w:r>
      <w:r w:rsidRPr="00564F6F">
        <w:rPr>
          <w:i/>
        </w:rPr>
        <w:t>“solicitud”</w:t>
      </w:r>
      <w:r>
        <w:t>.</w:t>
      </w:r>
    </w:p>
    <w:p w:rsidR="008F2E90" w:rsidRDefault="008F2E90" w:rsidP="00A92DCE">
      <w:pPr>
        <w:spacing w:before="120" w:after="120" w:line="276" w:lineRule="auto"/>
        <w:ind w:left="66"/>
        <w:jc w:val="both"/>
      </w:pPr>
      <w:r>
        <w:rPr>
          <w:b/>
        </w:rPr>
        <w:t xml:space="preserve">Artículo </w:t>
      </w:r>
      <w:r w:rsidR="00345F4F">
        <w:rPr>
          <w:b/>
        </w:rPr>
        <w:t>tercero</w:t>
      </w:r>
      <w:r>
        <w:rPr>
          <w:b/>
        </w:rPr>
        <w:t xml:space="preserve">: </w:t>
      </w:r>
      <w:r>
        <w:t xml:space="preserve">Introdúzcanse las siguientes modificaciones al Decreto con Fuerza de Ley N° 1 de Salud que </w:t>
      </w:r>
      <w:r w:rsidRPr="008561DE">
        <w:t xml:space="preserve">fija texto refundido, coordinado y sistematizado del Decreto Ley N° 2.763, DE 1979 </w:t>
      </w:r>
      <w:r>
        <w:t>y de las L</w:t>
      </w:r>
      <w:r w:rsidRPr="008561DE">
        <w:t>eyes N° 18.933 Y N° 18.469.</w:t>
      </w:r>
    </w:p>
    <w:p w:rsidR="00672B77" w:rsidRDefault="00F64C4A" w:rsidP="00672B77">
      <w:pPr>
        <w:pStyle w:val="Prrafodelista"/>
        <w:numPr>
          <w:ilvl w:val="0"/>
          <w:numId w:val="3"/>
        </w:numPr>
        <w:spacing w:before="120" w:after="120" w:line="276" w:lineRule="auto"/>
        <w:ind w:left="426"/>
        <w:jc w:val="both"/>
        <w:rPr>
          <w:i/>
        </w:rPr>
      </w:pPr>
      <w:r>
        <w:t xml:space="preserve">Reemplácese </w:t>
      </w:r>
      <w:r w:rsidR="008651E0">
        <w:t xml:space="preserve">en </w:t>
      </w:r>
      <w:r>
        <w:t xml:space="preserve">el artículo 151 </w:t>
      </w:r>
      <w:r w:rsidR="008651E0">
        <w:t xml:space="preserve">la expresión </w:t>
      </w:r>
      <w:r w:rsidR="008651E0" w:rsidRPr="00672B77">
        <w:rPr>
          <w:i/>
        </w:rPr>
        <w:t>“El trabajador requerirá el pago”</w:t>
      </w:r>
      <w:r w:rsidRPr="00672B77">
        <w:rPr>
          <w:i/>
        </w:rPr>
        <w:t xml:space="preserve"> </w:t>
      </w:r>
      <w:r w:rsidR="00672B77" w:rsidRPr="00672B77">
        <w:t>por la expresión:</w:t>
      </w:r>
      <w:r w:rsidR="00672B77">
        <w:rPr>
          <w:i/>
        </w:rPr>
        <w:t xml:space="preserve"> “</w:t>
      </w:r>
      <w:r w:rsidR="00E12A95" w:rsidRPr="00672B77">
        <w:rPr>
          <w:i/>
        </w:rPr>
        <w:t xml:space="preserve">El </w:t>
      </w:r>
      <w:r w:rsidR="00C6656B" w:rsidRPr="00672B77">
        <w:rPr>
          <w:i/>
        </w:rPr>
        <w:t xml:space="preserve">empleador </w:t>
      </w:r>
      <w:r w:rsidR="00E12A95" w:rsidRPr="00672B77">
        <w:rPr>
          <w:i/>
        </w:rPr>
        <w:t xml:space="preserve">requerirá el </w:t>
      </w:r>
      <w:r w:rsidR="00C6656B" w:rsidRPr="00672B77">
        <w:rPr>
          <w:i/>
        </w:rPr>
        <w:t xml:space="preserve">reembolso del </w:t>
      </w:r>
      <w:r w:rsidR="00E12A95" w:rsidRPr="00672B77">
        <w:rPr>
          <w:i/>
        </w:rPr>
        <w:t>pago</w:t>
      </w:r>
      <w:r w:rsidR="00672B77" w:rsidRPr="00672B77">
        <w:rPr>
          <w:i/>
        </w:rPr>
        <w:t>”</w:t>
      </w:r>
      <w:r w:rsidR="00E12A95" w:rsidRPr="00672B77">
        <w:rPr>
          <w:i/>
        </w:rPr>
        <w:t xml:space="preserve"> </w:t>
      </w:r>
    </w:p>
    <w:p w:rsidR="00E12A95" w:rsidRPr="00672B77" w:rsidRDefault="00672B77" w:rsidP="00672B77">
      <w:pPr>
        <w:pStyle w:val="Prrafodelista"/>
        <w:numPr>
          <w:ilvl w:val="0"/>
          <w:numId w:val="3"/>
        </w:numPr>
        <w:spacing w:before="120" w:after="120" w:line="276" w:lineRule="auto"/>
        <w:ind w:left="426"/>
        <w:jc w:val="both"/>
        <w:rPr>
          <w:i/>
        </w:rPr>
      </w:pPr>
      <w:r>
        <w:t xml:space="preserve">Incorpórese en el artículo </w:t>
      </w:r>
      <w:r w:rsidR="00673FFD">
        <w:t>151, luego del punto final, que pasa a ser el punto seguido, la expresión: “</w:t>
      </w:r>
      <w:r w:rsidR="00F64C4A" w:rsidRPr="00672B77">
        <w:rPr>
          <w:i/>
        </w:rPr>
        <w:t>En el caso de las trabajadoras y trabajadores</w:t>
      </w:r>
      <w:r w:rsidR="00C6656B" w:rsidRPr="00672B77">
        <w:rPr>
          <w:i/>
        </w:rPr>
        <w:t xml:space="preserve"> independientes, requerirán el pago </w:t>
      </w:r>
      <w:r w:rsidR="006F66D6" w:rsidRPr="00672B77">
        <w:rPr>
          <w:i/>
        </w:rPr>
        <w:t xml:space="preserve">del subsidio </w:t>
      </w:r>
      <w:r w:rsidR="00C6656B" w:rsidRPr="00672B77">
        <w:rPr>
          <w:i/>
        </w:rPr>
        <w:t>directamente a la institución a la que se encuentren afiliados.</w:t>
      </w:r>
      <w:r w:rsidR="00F64C4A" w:rsidRPr="00672B77">
        <w:rPr>
          <w:i/>
        </w:rPr>
        <w:t>”</w:t>
      </w:r>
    </w:p>
    <w:p w:rsidR="00722266" w:rsidRDefault="008F2E90" w:rsidP="00722266">
      <w:pPr>
        <w:pStyle w:val="Prrafodelista"/>
        <w:numPr>
          <w:ilvl w:val="0"/>
          <w:numId w:val="3"/>
        </w:numPr>
        <w:spacing w:before="120" w:after="120" w:line="276" w:lineRule="auto"/>
        <w:ind w:left="426"/>
        <w:contextualSpacing w:val="0"/>
        <w:jc w:val="both"/>
      </w:pPr>
      <w:r>
        <w:t xml:space="preserve">Incorpórese en el inciso </w:t>
      </w:r>
      <w:r w:rsidR="00904C07">
        <w:t>quinto</w:t>
      </w:r>
      <w:r>
        <w:t xml:space="preserve"> del a</w:t>
      </w:r>
      <w:r w:rsidR="00904C07">
        <w:t xml:space="preserve">rtículo 194, entre las expresiones </w:t>
      </w:r>
      <w:r w:rsidR="00904C07" w:rsidRPr="00A92DCE">
        <w:rPr>
          <w:i/>
        </w:rPr>
        <w:t>“</w:t>
      </w:r>
      <w:r w:rsidR="00A92DCE" w:rsidRPr="00A92DCE">
        <w:rPr>
          <w:i/>
        </w:rPr>
        <w:t>subsidio adeudado”</w:t>
      </w:r>
      <w:r w:rsidR="00A92DCE">
        <w:t xml:space="preserve"> y </w:t>
      </w:r>
      <w:r w:rsidR="00904C07" w:rsidRPr="00A92DCE">
        <w:rPr>
          <w:i/>
        </w:rPr>
        <w:t>“pagándolo de inmediato</w:t>
      </w:r>
      <w:r w:rsidR="00904C07">
        <w:t xml:space="preserve">” la expresión </w:t>
      </w:r>
      <w:r w:rsidR="00904C07" w:rsidRPr="00904C07">
        <w:rPr>
          <w:i/>
        </w:rPr>
        <w:t>“</w:t>
      </w:r>
      <w:r w:rsidRPr="00904C07">
        <w:rPr>
          <w:i/>
        </w:rPr>
        <w:t>incluidos los intereses,</w:t>
      </w:r>
      <w:r w:rsidR="00904C07" w:rsidRPr="00904C07">
        <w:rPr>
          <w:i/>
        </w:rPr>
        <w:t>”</w:t>
      </w:r>
      <w:r>
        <w:t>.</w:t>
      </w:r>
    </w:p>
    <w:p w:rsidR="00722266" w:rsidRPr="00DF466A" w:rsidRDefault="00722266" w:rsidP="00722266">
      <w:pPr>
        <w:pStyle w:val="Prrafodelista"/>
        <w:numPr>
          <w:ilvl w:val="0"/>
          <w:numId w:val="3"/>
        </w:numPr>
        <w:spacing w:before="120" w:after="120" w:line="276" w:lineRule="auto"/>
        <w:ind w:left="426"/>
        <w:contextualSpacing w:val="0"/>
        <w:jc w:val="both"/>
        <w:rPr>
          <w:i/>
        </w:rPr>
      </w:pPr>
      <w:r>
        <w:t>Elimínese del inciso primero del</w:t>
      </w:r>
      <w:r w:rsidRPr="00722266">
        <w:t xml:space="preserve"> </w:t>
      </w:r>
      <w:r>
        <w:t xml:space="preserve">artículo 196 la expresión </w:t>
      </w:r>
      <w:r w:rsidR="00DF466A" w:rsidRPr="00DF466A">
        <w:rPr>
          <w:i/>
        </w:rPr>
        <w:t>“y ser autorizadas por la institución de salud previsional respectiva”</w:t>
      </w:r>
      <w:r w:rsidR="00DF466A">
        <w:t>.</w:t>
      </w:r>
    </w:p>
    <w:p w:rsidR="00DF466A" w:rsidRDefault="009264D8" w:rsidP="00722266">
      <w:pPr>
        <w:pStyle w:val="Prrafodelista"/>
        <w:numPr>
          <w:ilvl w:val="0"/>
          <w:numId w:val="3"/>
        </w:numPr>
        <w:spacing w:before="120" w:after="120" w:line="276" w:lineRule="auto"/>
        <w:ind w:left="426"/>
        <w:contextualSpacing w:val="0"/>
        <w:jc w:val="both"/>
      </w:pPr>
      <w:r>
        <w:t xml:space="preserve">Sustitúyase en el inciso segundo del artículo 196 la expresión </w:t>
      </w:r>
      <w:r w:rsidRPr="001675ED">
        <w:rPr>
          <w:i/>
        </w:rPr>
        <w:t>“deberá autorizar”</w:t>
      </w:r>
      <w:r>
        <w:t xml:space="preserve"> por la expresión </w:t>
      </w:r>
      <w:r w:rsidRPr="001675ED">
        <w:rPr>
          <w:i/>
        </w:rPr>
        <w:t>“dará curso”</w:t>
      </w:r>
      <w:r>
        <w:t>.</w:t>
      </w:r>
    </w:p>
    <w:p w:rsidR="001675ED" w:rsidRDefault="001675ED" w:rsidP="001675ED">
      <w:pPr>
        <w:pStyle w:val="Prrafodelista"/>
        <w:numPr>
          <w:ilvl w:val="0"/>
          <w:numId w:val="3"/>
        </w:numPr>
        <w:spacing w:before="120" w:after="120" w:line="276" w:lineRule="auto"/>
        <w:ind w:left="426"/>
        <w:contextualSpacing w:val="0"/>
        <w:jc w:val="both"/>
      </w:pPr>
      <w:r>
        <w:t xml:space="preserve">Incorpórese en el inciso segundo del artículo 196, entre las expresiones </w:t>
      </w:r>
      <w:r w:rsidRPr="00A92DCE">
        <w:rPr>
          <w:i/>
        </w:rPr>
        <w:t>“</w:t>
      </w:r>
      <w:r>
        <w:rPr>
          <w:i/>
        </w:rPr>
        <w:t>licencia médica</w:t>
      </w:r>
      <w:r w:rsidRPr="00A92DCE">
        <w:rPr>
          <w:i/>
        </w:rPr>
        <w:t>”</w:t>
      </w:r>
      <w:r>
        <w:t xml:space="preserve"> y </w:t>
      </w:r>
      <w:r w:rsidRPr="00A92DCE">
        <w:rPr>
          <w:i/>
        </w:rPr>
        <w:t>“</w:t>
      </w:r>
      <w:r w:rsidR="00572ADA">
        <w:rPr>
          <w:i/>
        </w:rPr>
        <w:t>en el plazo de tres días hábiles</w:t>
      </w:r>
      <w:r>
        <w:t xml:space="preserve">” la expresión </w:t>
      </w:r>
      <w:r w:rsidR="00572ADA" w:rsidRPr="00572ADA">
        <w:rPr>
          <w:i/>
        </w:rPr>
        <w:t>“y podrá solicitar su reducción o rechazo</w:t>
      </w:r>
      <w:r w:rsidRPr="00572ADA">
        <w:rPr>
          <w:i/>
        </w:rPr>
        <w:t>”.</w:t>
      </w:r>
    </w:p>
    <w:p w:rsidR="00A44D25" w:rsidRDefault="00A44D25" w:rsidP="00A44D25">
      <w:pPr>
        <w:pStyle w:val="Prrafodelista"/>
        <w:numPr>
          <w:ilvl w:val="0"/>
          <w:numId w:val="3"/>
        </w:numPr>
        <w:spacing w:before="120" w:after="120" w:line="276" w:lineRule="auto"/>
        <w:ind w:left="426"/>
        <w:contextualSpacing w:val="0"/>
        <w:jc w:val="both"/>
      </w:pPr>
      <w:r>
        <w:t xml:space="preserve">Sustitúyase en el inciso segundo del artículo 196 la expresión </w:t>
      </w:r>
      <w:r w:rsidRPr="001675ED">
        <w:rPr>
          <w:i/>
        </w:rPr>
        <w:t>“</w:t>
      </w:r>
      <w:r w:rsidR="00F01272">
        <w:rPr>
          <w:i/>
        </w:rPr>
        <w:t>de la respectiva solicitud</w:t>
      </w:r>
      <w:r w:rsidRPr="001675ED">
        <w:rPr>
          <w:i/>
        </w:rPr>
        <w:t>”</w:t>
      </w:r>
      <w:r>
        <w:t xml:space="preserve"> por la expresión </w:t>
      </w:r>
      <w:r w:rsidRPr="001675ED">
        <w:rPr>
          <w:i/>
        </w:rPr>
        <w:t>“</w:t>
      </w:r>
      <w:r w:rsidR="00F01272">
        <w:rPr>
          <w:i/>
        </w:rPr>
        <w:t>del respectivo formulario</w:t>
      </w:r>
      <w:r w:rsidRPr="001675ED">
        <w:rPr>
          <w:i/>
        </w:rPr>
        <w:t>”</w:t>
      </w:r>
      <w:r>
        <w:t>.</w:t>
      </w:r>
    </w:p>
    <w:p w:rsidR="0082776E" w:rsidRDefault="0082776E" w:rsidP="0082776E">
      <w:pPr>
        <w:pStyle w:val="Prrafodelista"/>
        <w:numPr>
          <w:ilvl w:val="0"/>
          <w:numId w:val="3"/>
        </w:numPr>
        <w:spacing w:before="120" w:after="120" w:line="276" w:lineRule="auto"/>
        <w:ind w:left="426"/>
        <w:contextualSpacing w:val="0"/>
        <w:jc w:val="both"/>
      </w:pPr>
      <w:r>
        <w:lastRenderedPageBreak/>
        <w:t xml:space="preserve">Sustitúyase en el inciso segundo del artículo 196 la expresión </w:t>
      </w:r>
      <w:r w:rsidRPr="001675ED">
        <w:rPr>
          <w:i/>
        </w:rPr>
        <w:t>“</w:t>
      </w:r>
      <w:r>
        <w:rPr>
          <w:i/>
        </w:rPr>
        <w:t>pronunciare sobre ella</w:t>
      </w:r>
      <w:r w:rsidRPr="001675ED">
        <w:rPr>
          <w:i/>
        </w:rPr>
        <w:t>”</w:t>
      </w:r>
      <w:r>
        <w:t xml:space="preserve"> por la expresión </w:t>
      </w:r>
      <w:r w:rsidRPr="001675ED">
        <w:rPr>
          <w:i/>
        </w:rPr>
        <w:t>“</w:t>
      </w:r>
      <w:r>
        <w:rPr>
          <w:i/>
        </w:rPr>
        <w:t>ejerce la solicitud de reducción o rechazo</w:t>
      </w:r>
      <w:r w:rsidRPr="001675ED">
        <w:rPr>
          <w:i/>
        </w:rPr>
        <w:t>”</w:t>
      </w:r>
      <w:r>
        <w:t>.</w:t>
      </w:r>
    </w:p>
    <w:p w:rsidR="006F6FA5" w:rsidRPr="00DF466A" w:rsidRDefault="006F6FA5" w:rsidP="006F6FA5">
      <w:pPr>
        <w:pStyle w:val="Prrafodelista"/>
        <w:numPr>
          <w:ilvl w:val="0"/>
          <w:numId w:val="3"/>
        </w:numPr>
        <w:spacing w:before="120" w:after="120" w:line="276" w:lineRule="auto"/>
        <w:ind w:left="426"/>
        <w:contextualSpacing w:val="0"/>
        <w:jc w:val="both"/>
        <w:rPr>
          <w:i/>
        </w:rPr>
      </w:pPr>
      <w:r>
        <w:t>Elimínese del inciso tercero del</w:t>
      </w:r>
      <w:r w:rsidRPr="00722266">
        <w:t xml:space="preserve"> </w:t>
      </w:r>
      <w:r>
        <w:t xml:space="preserve">artículo 196 la expresión </w:t>
      </w:r>
      <w:r w:rsidRPr="00DF466A">
        <w:rPr>
          <w:i/>
        </w:rPr>
        <w:t>“</w:t>
      </w:r>
      <w:r>
        <w:rPr>
          <w:i/>
        </w:rPr>
        <w:t>Institución rechaza o modifica la</w:t>
      </w:r>
      <w:r w:rsidRPr="00DF466A">
        <w:rPr>
          <w:i/>
        </w:rPr>
        <w:t>”</w:t>
      </w:r>
      <w:r>
        <w:t>.</w:t>
      </w:r>
    </w:p>
    <w:p w:rsidR="007E3263" w:rsidRDefault="007E3263" w:rsidP="007E3263">
      <w:pPr>
        <w:pStyle w:val="Prrafodelista"/>
        <w:numPr>
          <w:ilvl w:val="0"/>
          <w:numId w:val="3"/>
        </w:numPr>
        <w:spacing w:before="120" w:after="120" w:line="276" w:lineRule="auto"/>
        <w:ind w:left="426"/>
        <w:contextualSpacing w:val="0"/>
        <w:jc w:val="both"/>
      </w:pPr>
      <w:r>
        <w:t xml:space="preserve">Incorpórese en el inciso tercero del artículo 196, entre las expresiones </w:t>
      </w:r>
      <w:r w:rsidRPr="00A92DCE">
        <w:rPr>
          <w:i/>
        </w:rPr>
        <w:t>“</w:t>
      </w:r>
      <w:r>
        <w:rPr>
          <w:i/>
        </w:rPr>
        <w:t>licencia médica,</w:t>
      </w:r>
      <w:r w:rsidRPr="00A92DCE">
        <w:rPr>
          <w:i/>
        </w:rPr>
        <w:t>”</w:t>
      </w:r>
      <w:r>
        <w:t xml:space="preserve"> y </w:t>
      </w:r>
      <w:r w:rsidRPr="00A92DCE">
        <w:rPr>
          <w:i/>
        </w:rPr>
        <w:t>“</w:t>
      </w:r>
      <w:r>
        <w:rPr>
          <w:i/>
        </w:rPr>
        <w:t>el cotizante podrá recurrir</w:t>
      </w:r>
      <w:r>
        <w:t xml:space="preserve">” la expresión </w:t>
      </w:r>
      <w:r w:rsidRPr="00572ADA">
        <w:rPr>
          <w:i/>
        </w:rPr>
        <w:t>“</w:t>
      </w:r>
      <w:r>
        <w:rPr>
          <w:i/>
        </w:rPr>
        <w:t>es rechazada o modificada</w:t>
      </w:r>
      <w:r w:rsidRPr="00572ADA">
        <w:rPr>
          <w:i/>
        </w:rPr>
        <w:t>”.</w:t>
      </w:r>
    </w:p>
    <w:p w:rsidR="001675ED" w:rsidRPr="00DF466A" w:rsidRDefault="00CA4EE3" w:rsidP="00AD0BA5">
      <w:pPr>
        <w:pStyle w:val="Prrafodelista"/>
        <w:numPr>
          <w:ilvl w:val="0"/>
          <w:numId w:val="3"/>
        </w:numPr>
        <w:spacing w:before="120" w:after="120" w:line="276" w:lineRule="auto"/>
        <w:ind w:left="426"/>
        <w:contextualSpacing w:val="0"/>
        <w:jc w:val="both"/>
      </w:pPr>
      <w:r>
        <w:t xml:space="preserve">Sustitúyase en el inciso tercero del artículo 196 la expresión </w:t>
      </w:r>
      <w:r w:rsidRPr="001675ED">
        <w:rPr>
          <w:i/>
        </w:rPr>
        <w:t>“</w:t>
      </w:r>
      <w:r w:rsidR="00AD0BA5">
        <w:rPr>
          <w:i/>
        </w:rPr>
        <w:t>haya autorizado la Institución</w:t>
      </w:r>
      <w:r w:rsidRPr="001675ED">
        <w:rPr>
          <w:i/>
        </w:rPr>
        <w:t>”</w:t>
      </w:r>
      <w:r>
        <w:t xml:space="preserve"> por la expresión </w:t>
      </w:r>
      <w:r w:rsidRPr="001675ED">
        <w:rPr>
          <w:i/>
        </w:rPr>
        <w:t>“</w:t>
      </w:r>
      <w:r w:rsidR="00AD0BA5" w:rsidRPr="00AD0BA5">
        <w:rPr>
          <w:i/>
        </w:rPr>
        <w:t>les sean autorizadas a sus trabajadores</w:t>
      </w:r>
      <w:r w:rsidRPr="001675ED">
        <w:rPr>
          <w:i/>
        </w:rPr>
        <w:t>”</w:t>
      </w:r>
      <w:r>
        <w:t>.</w:t>
      </w:r>
    </w:p>
    <w:p w:rsidR="008F2E90" w:rsidRDefault="008F2E90" w:rsidP="00AD0BA5">
      <w:pPr>
        <w:spacing w:before="120" w:after="120" w:line="276" w:lineRule="auto"/>
        <w:jc w:val="both"/>
      </w:pPr>
    </w:p>
    <w:sectPr w:rsidR="008F2E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E6" w:rsidRDefault="002832E6" w:rsidP="009B7858">
      <w:pPr>
        <w:spacing w:after="0" w:line="240" w:lineRule="auto"/>
      </w:pPr>
      <w:r>
        <w:separator/>
      </w:r>
    </w:p>
  </w:endnote>
  <w:endnote w:type="continuationSeparator" w:id="0">
    <w:p w:rsidR="002832E6" w:rsidRDefault="002832E6" w:rsidP="009B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E6" w:rsidRDefault="002832E6" w:rsidP="009B7858">
      <w:pPr>
        <w:spacing w:after="0" w:line="240" w:lineRule="auto"/>
      </w:pPr>
      <w:r>
        <w:separator/>
      </w:r>
    </w:p>
  </w:footnote>
  <w:footnote w:type="continuationSeparator" w:id="0">
    <w:p w:rsidR="002832E6" w:rsidRDefault="002832E6" w:rsidP="009B7858">
      <w:pPr>
        <w:spacing w:after="0" w:line="240" w:lineRule="auto"/>
      </w:pPr>
      <w:r>
        <w:continuationSeparator/>
      </w:r>
    </w:p>
  </w:footnote>
  <w:footnote w:id="1">
    <w:p w:rsidR="009B7858" w:rsidRPr="009B7858" w:rsidRDefault="009B7858" w:rsidP="009B7858">
      <w:pPr>
        <w:pStyle w:val="Textonotapie"/>
        <w:jc w:val="both"/>
        <w:rPr>
          <w:sz w:val="16"/>
          <w:szCs w:val="16"/>
        </w:rPr>
      </w:pPr>
      <w:r w:rsidRPr="009B7858">
        <w:rPr>
          <w:rStyle w:val="Refdenotaalpie"/>
          <w:sz w:val="16"/>
          <w:szCs w:val="16"/>
        </w:rPr>
        <w:footnoteRef/>
      </w:r>
      <w:r w:rsidR="00096DFD">
        <w:rPr>
          <w:sz w:val="16"/>
          <w:szCs w:val="16"/>
        </w:rPr>
        <w:t xml:space="preserve"> La Licencia Médica: Documento del Departamento de Ética d</w:t>
      </w:r>
      <w:r w:rsidR="00096DFD" w:rsidRPr="009B7858">
        <w:rPr>
          <w:sz w:val="16"/>
          <w:szCs w:val="16"/>
        </w:rPr>
        <w:t xml:space="preserve">el Colegio Médico </w:t>
      </w:r>
      <w:r w:rsidR="00096DFD">
        <w:rPr>
          <w:sz w:val="16"/>
          <w:szCs w:val="16"/>
        </w:rPr>
        <w:t>d</w:t>
      </w:r>
      <w:r w:rsidR="00096DFD" w:rsidRPr="009B7858">
        <w:rPr>
          <w:sz w:val="16"/>
          <w:szCs w:val="16"/>
        </w:rPr>
        <w:t xml:space="preserve">e Chile </w:t>
      </w:r>
      <w:r w:rsidRPr="009B7858">
        <w:rPr>
          <w:sz w:val="16"/>
          <w:szCs w:val="16"/>
        </w:rPr>
        <w:t>(http://www.colegiomedico.cl/Portals/0/files/etica/art_interes/090924licencias_ medicas.doc)</w:t>
      </w:r>
    </w:p>
  </w:footnote>
  <w:footnote w:id="2">
    <w:p w:rsidR="004675FF" w:rsidRPr="00096DFD" w:rsidRDefault="004675FF" w:rsidP="004675FF">
      <w:pPr>
        <w:pStyle w:val="Textonotapie"/>
        <w:jc w:val="both"/>
        <w:rPr>
          <w:sz w:val="16"/>
          <w:szCs w:val="16"/>
        </w:rPr>
      </w:pPr>
      <w:r w:rsidRPr="00096DFD">
        <w:rPr>
          <w:rStyle w:val="Refdenotaalpie"/>
          <w:sz w:val="16"/>
          <w:szCs w:val="16"/>
        </w:rPr>
        <w:footnoteRef/>
      </w:r>
      <w:r w:rsidRPr="00096DFD">
        <w:rPr>
          <w:sz w:val="16"/>
          <w:szCs w:val="16"/>
        </w:rPr>
        <w:t xml:space="preserve"> Fuente: Estadísticas consolidadas las estadísticas de Licencias Médicas Curativas de Origen Común y SIL 2016 - FONASA e ISAPRES. Trabajo realizado por la mesa interinstitucional SUSESO, Superintendencia de Salud y FONASA.</w:t>
      </w:r>
    </w:p>
  </w:footnote>
  <w:footnote w:id="3">
    <w:p w:rsidR="00EA76DD" w:rsidRPr="00EA76DD" w:rsidRDefault="00EA76DD" w:rsidP="00EA76DD">
      <w:pPr>
        <w:pStyle w:val="Textonotapie"/>
        <w:rPr>
          <w:sz w:val="16"/>
          <w:szCs w:val="16"/>
        </w:rPr>
      </w:pPr>
      <w:r w:rsidRPr="00EA76DD">
        <w:rPr>
          <w:rStyle w:val="Refdenotaalpie"/>
          <w:sz w:val="16"/>
          <w:szCs w:val="16"/>
        </w:rPr>
        <w:footnoteRef/>
      </w:r>
      <w:r w:rsidRPr="00EA76DD">
        <w:rPr>
          <w:sz w:val="16"/>
          <w:szCs w:val="16"/>
        </w:rPr>
        <w:t xml:space="preserve"> Dossier sobre integración vertical y efectos en el sector privado de salud</w:t>
      </w:r>
      <w:r>
        <w:rPr>
          <w:sz w:val="16"/>
          <w:szCs w:val="16"/>
        </w:rPr>
        <w:t>. Superintendencia de Salud. 4 de diciembre de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3D24"/>
    <w:multiLevelType w:val="multilevel"/>
    <w:tmpl w:val="C218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D7B8A"/>
    <w:multiLevelType w:val="hybridMultilevel"/>
    <w:tmpl w:val="7090B5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9B65645"/>
    <w:multiLevelType w:val="hybridMultilevel"/>
    <w:tmpl w:val="CA9667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9ED276E"/>
    <w:multiLevelType w:val="hybridMultilevel"/>
    <w:tmpl w:val="DA28E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E6D4E0E"/>
    <w:multiLevelType w:val="multilevel"/>
    <w:tmpl w:val="6090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F3156"/>
    <w:multiLevelType w:val="multilevel"/>
    <w:tmpl w:val="B69C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62771"/>
    <w:multiLevelType w:val="hybridMultilevel"/>
    <w:tmpl w:val="CA7ED8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D7A4274"/>
    <w:multiLevelType w:val="multilevel"/>
    <w:tmpl w:val="49BAE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1C3921"/>
    <w:multiLevelType w:val="multilevel"/>
    <w:tmpl w:val="B36A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8E633B"/>
    <w:multiLevelType w:val="multilevel"/>
    <w:tmpl w:val="0F1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4"/>
  </w:num>
  <w:num w:numId="5">
    <w:abstractNumId w:val="9"/>
  </w:num>
  <w:num w:numId="6">
    <w:abstractNumId w:val="0"/>
  </w:num>
  <w:num w:numId="7">
    <w:abstractNumId w:val="8"/>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79"/>
    <w:rsid w:val="00022836"/>
    <w:rsid w:val="0003062A"/>
    <w:rsid w:val="00075053"/>
    <w:rsid w:val="00085C22"/>
    <w:rsid w:val="00096DFD"/>
    <w:rsid w:val="000A097D"/>
    <w:rsid w:val="000F24EE"/>
    <w:rsid w:val="001009CB"/>
    <w:rsid w:val="001157CE"/>
    <w:rsid w:val="001256CE"/>
    <w:rsid w:val="00143A59"/>
    <w:rsid w:val="0014703E"/>
    <w:rsid w:val="00152EB4"/>
    <w:rsid w:val="001675ED"/>
    <w:rsid w:val="001836EB"/>
    <w:rsid w:val="00206D6A"/>
    <w:rsid w:val="0021555F"/>
    <w:rsid w:val="00225136"/>
    <w:rsid w:val="002309F0"/>
    <w:rsid w:val="002334E9"/>
    <w:rsid w:val="0024536A"/>
    <w:rsid w:val="00255637"/>
    <w:rsid w:val="00260CA0"/>
    <w:rsid w:val="00266DF0"/>
    <w:rsid w:val="002832E6"/>
    <w:rsid w:val="00284DED"/>
    <w:rsid w:val="002916AE"/>
    <w:rsid w:val="00295EB9"/>
    <w:rsid w:val="002B4FC8"/>
    <w:rsid w:val="002C7171"/>
    <w:rsid w:val="002F078C"/>
    <w:rsid w:val="00306CE8"/>
    <w:rsid w:val="00316FCC"/>
    <w:rsid w:val="003179CD"/>
    <w:rsid w:val="00323991"/>
    <w:rsid w:val="0033424A"/>
    <w:rsid w:val="00335164"/>
    <w:rsid w:val="003377FC"/>
    <w:rsid w:val="003438DD"/>
    <w:rsid w:val="003445F8"/>
    <w:rsid w:val="00345F4F"/>
    <w:rsid w:val="00353C93"/>
    <w:rsid w:val="00364B8C"/>
    <w:rsid w:val="00373FB3"/>
    <w:rsid w:val="00383A31"/>
    <w:rsid w:val="00385D3B"/>
    <w:rsid w:val="003B167B"/>
    <w:rsid w:val="003B62D9"/>
    <w:rsid w:val="003D03DD"/>
    <w:rsid w:val="003F686C"/>
    <w:rsid w:val="004277D3"/>
    <w:rsid w:val="0043207B"/>
    <w:rsid w:val="00446E88"/>
    <w:rsid w:val="00447CA3"/>
    <w:rsid w:val="00463B67"/>
    <w:rsid w:val="004675FF"/>
    <w:rsid w:val="00492377"/>
    <w:rsid w:val="004B34FA"/>
    <w:rsid w:val="004C4E52"/>
    <w:rsid w:val="004D03C1"/>
    <w:rsid w:val="004E56CA"/>
    <w:rsid w:val="00501F1F"/>
    <w:rsid w:val="0051455F"/>
    <w:rsid w:val="0053031C"/>
    <w:rsid w:val="0054306F"/>
    <w:rsid w:val="00550F91"/>
    <w:rsid w:val="00564F6F"/>
    <w:rsid w:val="00566C7F"/>
    <w:rsid w:val="005726E0"/>
    <w:rsid w:val="00572ADA"/>
    <w:rsid w:val="00573CBA"/>
    <w:rsid w:val="00586081"/>
    <w:rsid w:val="005A2C72"/>
    <w:rsid w:val="005C7CAB"/>
    <w:rsid w:val="005C7D7D"/>
    <w:rsid w:val="00602CCD"/>
    <w:rsid w:val="00607FA1"/>
    <w:rsid w:val="0061714B"/>
    <w:rsid w:val="00635881"/>
    <w:rsid w:val="00672B77"/>
    <w:rsid w:val="00673FFD"/>
    <w:rsid w:val="006A2E83"/>
    <w:rsid w:val="006E04B0"/>
    <w:rsid w:val="006F08AC"/>
    <w:rsid w:val="006F66D6"/>
    <w:rsid w:val="006F6FA5"/>
    <w:rsid w:val="00700286"/>
    <w:rsid w:val="00722266"/>
    <w:rsid w:val="00726769"/>
    <w:rsid w:val="00754277"/>
    <w:rsid w:val="00783CE4"/>
    <w:rsid w:val="00783EB2"/>
    <w:rsid w:val="007A4C9C"/>
    <w:rsid w:val="007E3263"/>
    <w:rsid w:val="007F0A79"/>
    <w:rsid w:val="0082776E"/>
    <w:rsid w:val="008313E9"/>
    <w:rsid w:val="0084033F"/>
    <w:rsid w:val="00845D63"/>
    <w:rsid w:val="008651E0"/>
    <w:rsid w:val="00865B61"/>
    <w:rsid w:val="0086603C"/>
    <w:rsid w:val="008830B8"/>
    <w:rsid w:val="00893743"/>
    <w:rsid w:val="008A3A52"/>
    <w:rsid w:val="008B072D"/>
    <w:rsid w:val="008E42E2"/>
    <w:rsid w:val="008F1F33"/>
    <w:rsid w:val="008F2E90"/>
    <w:rsid w:val="00904C07"/>
    <w:rsid w:val="00906A7F"/>
    <w:rsid w:val="009207D2"/>
    <w:rsid w:val="009264D8"/>
    <w:rsid w:val="00965FB9"/>
    <w:rsid w:val="00966383"/>
    <w:rsid w:val="00972A33"/>
    <w:rsid w:val="00984EEB"/>
    <w:rsid w:val="00986277"/>
    <w:rsid w:val="00996717"/>
    <w:rsid w:val="009A3942"/>
    <w:rsid w:val="009A4BBE"/>
    <w:rsid w:val="009A5CC5"/>
    <w:rsid w:val="009B7858"/>
    <w:rsid w:val="009D46AC"/>
    <w:rsid w:val="009D69E9"/>
    <w:rsid w:val="009E77C1"/>
    <w:rsid w:val="009F0D92"/>
    <w:rsid w:val="009F6A2E"/>
    <w:rsid w:val="00A11A67"/>
    <w:rsid w:val="00A13DE9"/>
    <w:rsid w:val="00A13E14"/>
    <w:rsid w:val="00A279A5"/>
    <w:rsid w:val="00A37D9F"/>
    <w:rsid w:val="00A428AC"/>
    <w:rsid w:val="00A44D25"/>
    <w:rsid w:val="00A92DCE"/>
    <w:rsid w:val="00AA48F9"/>
    <w:rsid w:val="00AB4CD1"/>
    <w:rsid w:val="00AB5D11"/>
    <w:rsid w:val="00AC57D1"/>
    <w:rsid w:val="00AD0BA5"/>
    <w:rsid w:val="00AD4D0D"/>
    <w:rsid w:val="00B0087F"/>
    <w:rsid w:val="00B129CB"/>
    <w:rsid w:val="00B14620"/>
    <w:rsid w:val="00B20D77"/>
    <w:rsid w:val="00B30820"/>
    <w:rsid w:val="00B36D3E"/>
    <w:rsid w:val="00B43F46"/>
    <w:rsid w:val="00B61DA5"/>
    <w:rsid w:val="00B74C03"/>
    <w:rsid w:val="00B80737"/>
    <w:rsid w:val="00B85F79"/>
    <w:rsid w:val="00BA12F5"/>
    <w:rsid w:val="00BB2DA5"/>
    <w:rsid w:val="00BD7109"/>
    <w:rsid w:val="00C1018E"/>
    <w:rsid w:val="00C21038"/>
    <w:rsid w:val="00C23449"/>
    <w:rsid w:val="00C43FFE"/>
    <w:rsid w:val="00C56494"/>
    <w:rsid w:val="00C6656B"/>
    <w:rsid w:val="00C716BA"/>
    <w:rsid w:val="00C80D15"/>
    <w:rsid w:val="00CA4EE3"/>
    <w:rsid w:val="00CA5C59"/>
    <w:rsid w:val="00CE247D"/>
    <w:rsid w:val="00CE71F6"/>
    <w:rsid w:val="00CE7415"/>
    <w:rsid w:val="00D04B52"/>
    <w:rsid w:val="00D13B80"/>
    <w:rsid w:val="00D170B3"/>
    <w:rsid w:val="00D331F6"/>
    <w:rsid w:val="00D50F22"/>
    <w:rsid w:val="00D91B08"/>
    <w:rsid w:val="00D92ED5"/>
    <w:rsid w:val="00D97C45"/>
    <w:rsid w:val="00DA1A46"/>
    <w:rsid w:val="00DC56F9"/>
    <w:rsid w:val="00DD3692"/>
    <w:rsid w:val="00DD683A"/>
    <w:rsid w:val="00DF466A"/>
    <w:rsid w:val="00E00306"/>
    <w:rsid w:val="00E11134"/>
    <w:rsid w:val="00E12A95"/>
    <w:rsid w:val="00E1527B"/>
    <w:rsid w:val="00E27D52"/>
    <w:rsid w:val="00E601B0"/>
    <w:rsid w:val="00E83BFC"/>
    <w:rsid w:val="00E8512D"/>
    <w:rsid w:val="00EA3F99"/>
    <w:rsid w:val="00EA76DD"/>
    <w:rsid w:val="00EC3B46"/>
    <w:rsid w:val="00EE7576"/>
    <w:rsid w:val="00EF409D"/>
    <w:rsid w:val="00F01272"/>
    <w:rsid w:val="00F0176D"/>
    <w:rsid w:val="00F141C1"/>
    <w:rsid w:val="00F2047D"/>
    <w:rsid w:val="00F4273C"/>
    <w:rsid w:val="00F64C4A"/>
    <w:rsid w:val="00F72360"/>
    <w:rsid w:val="00F878F2"/>
    <w:rsid w:val="00FB17AA"/>
    <w:rsid w:val="00FC4539"/>
    <w:rsid w:val="00FE03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71DE3-25A7-42A6-9DD0-98345528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79"/>
  </w:style>
  <w:style w:type="paragraph" w:styleId="Ttulo1">
    <w:name w:val="heading 1"/>
    <w:basedOn w:val="Normal"/>
    <w:next w:val="Normal"/>
    <w:link w:val="Ttulo1Car"/>
    <w:uiPriority w:val="9"/>
    <w:qFormat/>
    <w:rsid w:val="00385D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5164"/>
    <w:pPr>
      <w:ind w:left="720"/>
      <w:contextualSpacing/>
    </w:pPr>
  </w:style>
  <w:style w:type="paragraph" w:styleId="NormalWeb">
    <w:name w:val="Normal (Web)"/>
    <w:basedOn w:val="Normal"/>
    <w:uiPriority w:val="99"/>
    <w:semiHidden/>
    <w:unhideWhenUsed/>
    <w:rsid w:val="00C56494"/>
    <w:rPr>
      <w:rFonts w:ascii="Times New Roman" w:hAnsi="Times New Roman" w:cs="Times New Roman"/>
    </w:rPr>
  </w:style>
  <w:style w:type="character" w:styleId="Hipervnculo">
    <w:name w:val="Hyperlink"/>
    <w:basedOn w:val="Fuentedeprrafopredeter"/>
    <w:uiPriority w:val="99"/>
    <w:unhideWhenUsed/>
    <w:rsid w:val="00C56494"/>
    <w:rPr>
      <w:color w:val="0563C1" w:themeColor="hyperlink"/>
      <w:u w:val="single"/>
    </w:rPr>
  </w:style>
  <w:style w:type="paragraph" w:styleId="Textoindependiente">
    <w:name w:val="Body Text"/>
    <w:basedOn w:val="Normal"/>
    <w:link w:val="TextoindependienteCar"/>
    <w:uiPriority w:val="99"/>
    <w:semiHidden/>
    <w:unhideWhenUsed/>
    <w:rsid w:val="00323991"/>
    <w:pPr>
      <w:spacing w:after="120"/>
    </w:pPr>
  </w:style>
  <w:style w:type="character" w:customStyle="1" w:styleId="TextoindependienteCar">
    <w:name w:val="Texto independiente Car"/>
    <w:basedOn w:val="Fuentedeprrafopredeter"/>
    <w:link w:val="Textoindependiente"/>
    <w:uiPriority w:val="99"/>
    <w:semiHidden/>
    <w:rsid w:val="00323991"/>
  </w:style>
  <w:style w:type="character" w:customStyle="1" w:styleId="Ttulo1Car">
    <w:name w:val="Título 1 Car"/>
    <w:basedOn w:val="Fuentedeprrafopredeter"/>
    <w:link w:val="Ttulo1"/>
    <w:uiPriority w:val="9"/>
    <w:rsid w:val="00385D3B"/>
    <w:rPr>
      <w:rFonts w:asciiTheme="majorHAnsi" w:eastAsiaTheme="majorEastAsia" w:hAnsiTheme="majorHAnsi" w:cstheme="majorBidi"/>
      <w:color w:val="2E74B5" w:themeColor="accent1" w:themeShade="BF"/>
      <w:sz w:val="32"/>
      <w:szCs w:val="32"/>
    </w:rPr>
  </w:style>
  <w:style w:type="paragraph" w:styleId="Textonotapie">
    <w:name w:val="footnote text"/>
    <w:basedOn w:val="Normal"/>
    <w:link w:val="TextonotapieCar"/>
    <w:uiPriority w:val="99"/>
    <w:semiHidden/>
    <w:unhideWhenUsed/>
    <w:rsid w:val="009B785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7858"/>
    <w:rPr>
      <w:sz w:val="20"/>
      <w:szCs w:val="20"/>
    </w:rPr>
  </w:style>
  <w:style w:type="character" w:styleId="Refdenotaalpie">
    <w:name w:val="footnote reference"/>
    <w:basedOn w:val="Fuentedeprrafopredeter"/>
    <w:uiPriority w:val="99"/>
    <w:semiHidden/>
    <w:unhideWhenUsed/>
    <w:rsid w:val="009B7858"/>
    <w:rPr>
      <w:vertAlign w:val="superscript"/>
    </w:rPr>
  </w:style>
  <w:style w:type="paragraph" w:styleId="Textodeglobo">
    <w:name w:val="Balloon Text"/>
    <w:basedOn w:val="Normal"/>
    <w:link w:val="TextodegloboCar"/>
    <w:uiPriority w:val="99"/>
    <w:semiHidden/>
    <w:unhideWhenUsed/>
    <w:rsid w:val="00C234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3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0034">
      <w:bodyDiv w:val="1"/>
      <w:marLeft w:val="0"/>
      <w:marRight w:val="0"/>
      <w:marTop w:val="0"/>
      <w:marBottom w:val="0"/>
      <w:divBdr>
        <w:top w:val="none" w:sz="0" w:space="0" w:color="auto"/>
        <w:left w:val="none" w:sz="0" w:space="0" w:color="auto"/>
        <w:bottom w:val="none" w:sz="0" w:space="0" w:color="auto"/>
        <w:right w:val="none" w:sz="0" w:space="0" w:color="auto"/>
      </w:divBdr>
    </w:div>
    <w:div w:id="135529866">
      <w:bodyDiv w:val="1"/>
      <w:marLeft w:val="0"/>
      <w:marRight w:val="0"/>
      <w:marTop w:val="0"/>
      <w:marBottom w:val="0"/>
      <w:divBdr>
        <w:top w:val="none" w:sz="0" w:space="0" w:color="auto"/>
        <w:left w:val="none" w:sz="0" w:space="0" w:color="auto"/>
        <w:bottom w:val="none" w:sz="0" w:space="0" w:color="auto"/>
        <w:right w:val="none" w:sz="0" w:space="0" w:color="auto"/>
      </w:divBdr>
    </w:div>
    <w:div w:id="186874709">
      <w:bodyDiv w:val="1"/>
      <w:marLeft w:val="0"/>
      <w:marRight w:val="0"/>
      <w:marTop w:val="0"/>
      <w:marBottom w:val="0"/>
      <w:divBdr>
        <w:top w:val="none" w:sz="0" w:space="0" w:color="auto"/>
        <w:left w:val="none" w:sz="0" w:space="0" w:color="auto"/>
        <w:bottom w:val="none" w:sz="0" w:space="0" w:color="auto"/>
        <w:right w:val="none" w:sz="0" w:space="0" w:color="auto"/>
      </w:divBdr>
    </w:div>
    <w:div w:id="224031691">
      <w:bodyDiv w:val="1"/>
      <w:marLeft w:val="0"/>
      <w:marRight w:val="0"/>
      <w:marTop w:val="0"/>
      <w:marBottom w:val="0"/>
      <w:divBdr>
        <w:top w:val="none" w:sz="0" w:space="0" w:color="auto"/>
        <w:left w:val="none" w:sz="0" w:space="0" w:color="auto"/>
        <w:bottom w:val="none" w:sz="0" w:space="0" w:color="auto"/>
        <w:right w:val="none" w:sz="0" w:space="0" w:color="auto"/>
      </w:divBdr>
    </w:div>
    <w:div w:id="284046775">
      <w:bodyDiv w:val="1"/>
      <w:marLeft w:val="0"/>
      <w:marRight w:val="0"/>
      <w:marTop w:val="0"/>
      <w:marBottom w:val="0"/>
      <w:divBdr>
        <w:top w:val="none" w:sz="0" w:space="0" w:color="auto"/>
        <w:left w:val="none" w:sz="0" w:space="0" w:color="auto"/>
        <w:bottom w:val="none" w:sz="0" w:space="0" w:color="auto"/>
        <w:right w:val="none" w:sz="0" w:space="0" w:color="auto"/>
      </w:divBdr>
    </w:div>
    <w:div w:id="357439400">
      <w:bodyDiv w:val="1"/>
      <w:marLeft w:val="0"/>
      <w:marRight w:val="0"/>
      <w:marTop w:val="0"/>
      <w:marBottom w:val="0"/>
      <w:divBdr>
        <w:top w:val="none" w:sz="0" w:space="0" w:color="auto"/>
        <w:left w:val="none" w:sz="0" w:space="0" w:color="auto"/>
        <w:bottom w:val="none" w:sz="0" w:space="0" w:color="auto"/>
        <w:right w:val="none" w:sz="0" w:space="0" w:color="auto"/>
      </w:divBdr>
    </w:div>
    <w:div w:id="800422799">
      <w:bodyDiv w:val="1"/>
      <w:marLeft w:val="0"/>
      <w:marRight w:val="0"/>
      <w:marTop w:val="0"/>
      <w:marBottom w:val="0"/>
      <w:divBdr>
        <w:top w:val="none" w:sz="0" w:space="0" w:color="auto"/>
        <w:left w:val="none" w:sz="0" w:space="0" w:color="auto"/>
        <w:bottom w:val="none" w:sz="0" w:space="0" w:color="auto"/>
        <w:right w:val="none" w:sz="0" w:space="0" w:color="auto"/>
      </w:divBdr>
    </w:div>
    <w:div w:id="965698884">
      <w:bodyDiv w:val="1"/>
      <w:marLeft w:val="0"/>
      <w:marRight w:val="0"/>
      <w:marTop w:val="0"/>
      <w:marBottom w:val="0"/>
      <w:divBdr>
        <w:top w:val="none" w:sz="0" w:space="0" w:color="auto"/>
        <w:left w:val="none" w:sz="0" w:space="0" w:color="auto"/>
        <w:bottom w:val="none" w:sz="0" w:space="0" w:color="auto"/>
        <w:right w:val="none" w:sz="0" w:space="0" w:color="auto"/>
      </w:divBdr>
    </w:div>
    <w:div w:id="1425295908">
      <w:bodyDiv w:val="1"/>
      <w:marLeft w:val="0"/>
      <w:marRight w:val="0"/>
      <w:marTop w:val="0"/>
      <w:marBottom w:val="0"/>
      <w:divBdr>
        <w:top w:val="none" w:sz="0" w:space="0" w:color="auto"/>
        <w:left w:val="none" w:sz="0" w:space="0" w:color="auto"/>
        <w:bottom w:val="none" w:sz="0" w:space="0" w:color="auto"/>
        <w:right w:val="none" w:sz="0" w:space="0" w:color="auto"/>
      </w:divBdr>
    </w:div>
    <w:div w:id="1440638903">
      <w:bodyDiv w:val="1"/>
      <w:marLeft w:val="0"/>
      <w:marRight w:val="0"/>
      <w:marTop w:val="0"/>
      <w:marBottom w:val="0"/>
      <w:divBdr>
        <w:top w:val="none" w:sz="0" w:space="0" w:color="auto"/>
        <w:left w:val="none" w:sz="0" w:space="0" w:color="auto"/>
        <w:bottom w:val="none" w:sz="0" w:space="0" w:color="auto"/>
        <w:right w:val="none" w:sz="0" w:space="0" w:color="auto"/>
      </w:divBdr>
    </w:div>
    <w:div w:id="1533149853">
      <w:bodyDiv w:val="1"/>
      <w:marLeft w:val="0"/>
      <w:marRight w:val="0"/>
      <w:marTop w:val="0"/>
      <w:marBottom w:val="0"/>
      <w:divBdr>
        <w:top w:val="none" w:sz="0" w:space="0" w:color="auto"/>
        <w:left w:val="none" w:sz="0" w:space="0" w:color="auto"/>
        <w:bottom w:val="none" w:sz="0" w:space="0" w:color="auto"/>
        <w:right w:val="none" w:sz="0" w:space="0" w:color="auto"/>
      </w:divBdr>
    </w:div>
    <w:div w:id="16240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81CC1-902F-4486-A234-F872E2D1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2859</Words>
  <Characters>15726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vasquez</dc:creator>
  <cp:keywords/>
  <dc:description/>
  <cp:lastModifiedBy>Leonardo Lueiza Ureta</cp:lastModifiedBy>
  <cp:revision>3</cp:revision>
  <cp:lastPrinted>2018-05-29T12:58:00Z</cp:lastPrinted>
  <dcterms:created xsi:type="dcterms:W3CDTF">2018-05-30T21:35:00Z</dcterms:created>
  <dcterms:modified xsi:type="dcterms:W3CDTF">2018-06-06T20:05:00Z</dcterms:modified>
</cp:coreProperties>
</file>