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C8" w:rsidRDefault="00F74B72" w:rsidP="0004302A">
      <w:pPr>
        <w:spacing w:line="276" w:lineRule="auto"/>
        <w:jc w:val="center"/>
        <w:rPr>
          <w:rFonts w:asciiTheme="majorBidi" w:hAnsiTheme="majorBidi" w:cstheme="majorBidi"/>
          <w:b/>
          <w:bCs/>
        </w:rPr>
      </w:pPr>
      <w:r w:rsidRPr="00F74B72">
        <w:rPr>
          <w:rFonts w:asciiTheme="majorBidi" w:hAnsiTheme="majorBidi" w:cstheme="majorBidi"/>
          <w:b/>
          <w:bCs/>
        </w:rPr>
        <w:t>Modifica el Código Sanitario en materia de rotulado de envases de alimentos y medicamentos, en lo relativo a fechas de elaboración y caducidad</w:t>
      </w:r>
    </w:p>
    <w:p w:rsidR="00F74B72" w:rsidRDefault="00F74B72" w:rsidP="0004302A">
      <w:pPr>
        <w:spacing w:line="276" w:lineRule="auto"/>
        <w:jc w:val="center"/>
        <w:rPr>
          <w:rFonts w:asciiTheme="majorBidi" w:hAnsiTheme="majorBidi" w:cstheme="majorBidi"/>
          <w:b/>
          <w:bCs/>
        </w:rPr>
      </w:pPr>
    </w:p>
    <w:p w:rsidR="00F74B72" w:rsidRPr="000F2B04" w:rsidRDefault="00F74B72" w:rsidP="0004302A">
      <w:pPr>
        <w:spacing w:line="276" w:lineRule="auto"/>
        <w:jc w:val="center"/>
        <w:rPr>
          <w:rFonts w:asciiTheme="majorBidi" w:hAnsiTheme="majorBidi" w:cstheme="majorBidi"/>
          <w:b/>
          <w:bCs/>
        </w:rPr>
      </w:pPr>
      <w:r>
        <w:rPr>
          <w:rFonts w:asciiTheme="majorBidi" w:hAnsiTheme="majorBidi" w:cstheme="majorBidi"/>
          <w:b/>
          <w:bCs/>
        </w:rPr>
        <w:t>Boletín N°11796-11</w:t>
      </w:r>
      <w:bookmarkStart w:id="0" w:name="_GoBack"/>
      <w:bookmarkEnd w:id="0"/>
    </w:p>
    <w:p w:rsidR="001F00C8" w:rsidRPr="000F2B04" w:rsidRDefault="001F00C8" w:rsidP="0004302A">
      <w:pPr>
        <w:spacing w:line="276" w:lineRule="auto"/>
        <w:jc w:val="center"/>
        <w:rPr>
          <w:rFonts w:asciiTheme="majorBidi" w:hAnsiTheme="majorBidi" w:cstheme="majorBidi"/>
          <w:b/>
          <w:bCs/>
        </w:rPr>
      </w:pPr>
    </w:p>
    <w:p w:rsidR="001F00C8" w:rsidRPr="000F2B04" w:rsidRDefault="001F00C8" w:rsidP="0004302A">
      <w:pPr>
        <w:spacing w:line="276" w:lineRule="auto"/>
        <w:jc w:val="center"/>
        <w:rPr>
          <w:rFonts w:asciiTheme="majorBidi" w:hAnsiTheme="majorBidi" w:cstheme="majorBidi"/>
          <w:b/>
          <w:bCs/>
        </w:rPr>
      </w:pPr>
    </w:p>
    <w:p w:rsidR="003F429F" w:rsidRPr="000F2B04" w:rsidRDefault="003F429F" w:rsidP="0004302A">
      <w:pPr>
        <w:spacing w:line="276" w:lineRule="auto"/>
        <w:jc w:val="center"/>
        <w:rPr>
          <w:rFonts w:asciiTheme="majorBidi" w:hAnsiTheme="majorBidi" w:cstheme="majorBidi"/>
          <w:b/>
          <w:bCs/>
          <w:smallCaps/>
        </w:rPr>
      </w:pPr>
      <w:r w:rsidRPr="000F2B04">
        <w:rPr>
          <w:rFonts w:asciiTheme="majorBidi" w:hAnsiTheme="majorBidi" w:cstheme="majorBidi"/>
          <w:b/>
          <w:bCs/>
          <w:smallCaps/>
        </w:rPr>
        <w:t>Considerando que:</w:t>
      </w:r>
    </w:p>
    <w:p w:rsidR="003F429F" w:rsidRPr="000F2B04" w:rsidRDefault="003F429F" w:rsidP="0004302A">
      <w:pPr>
        <w:spacing w:line="276" w:lineRule="auto"/>
        <w:jc w:val="center"/>
        <w:rPr>
          <w:rFonts w:asciiTheme="majorBidi" w:hAnsiTheme="majorBidi" w:cstheme="majorBidi"/>
          <w:smallCaps/>
        </w:rPr>
      </w:pPr>
    </w:p>
    <w:p w:rsidR="00E165F3" w:rsidRPr="000F2B04" w:rsidRDefault="00E165F3" w:rsidP="0004302A">
      <w:pPr>
        <w:spacing w:line="276" w:lineRule="auto"/>
        <w:jc w:val="center"/>
        <w:rPr>
          <w:rFonts w:asciiTheme="majorBidi" w:hAnsiTheme="majorBidi" w:cstheme="majorBidi"/>
          <w:smallCaps/>
        </w:rPr>
      </w:pPr>
    </w:p>
    <w:p w:rsidR="00E165F3" w:rsidRPr="000F2B04" w:rsidRDefault="00E165F3" w:rsidP="0004302A">
      <w:pPr>
        <w:pStyle w:val="Prrafodelista"/>
        <w:numPr>
          <w:ilvl w:val="0"/>
          <w:numId w:val="3"/>
        </w:numPr>
        <w:spacing w:line="276" w:lineRule="auto"/>
        <w:jc w:val="both"/>
        <w:rPr>
          <w:rFonts w:asciiTheme="majorBidi" w:hAnsiTheme="majorBidi" w:cstheme="majorBidi"/>
        </w:rPr>
      </w:pPr>
      <w:r w:rsidRPr="000F2B04">
        <w:rPr>
          <w:rFonts w:asciiTheme="majorBidi" w:hAnsiTheme="majorBidi" w:cstheme="majorBidi"/>
        </w:rPr>
        <w:t xml:space="preserve">El rotulado de los medicamentos y alimentos en materia de su vencimiento o caducidad es una materia de especial sensibilidad, pues repercute directamente en la salud de las personas que </w:t>
      </w:r>
      <w:r w:rsidR="0022009E">
        <w:rPr>
          <w:rFonts w:asciiTheme="majorBidi" w:hAnsiTheme="majorBidi" w:cstheme="majorBidi"/>
        </w:rPr>
        <w:t>deben consumir o ingerir</w:t>
      </w:r>
      <w:r w:rsidRPr="000F2B04">
        <w:rPr>
          <w:rFonts w:asciiTheme="majorBidi" w:hAnsiTheme="majorBidi" w:cstheme="majorBidi"/>
        </w:rPr>
        <w:t xml:space="preserve"> los respectivos medicamentos y alimentos. Por ello, la normativa sanitaria establece que todo producto debe indicar la fecha de vencimiento o caducidad </w:t>
      </w:r>
      <w:r w:rsidR="00D13383" w:rsidRPr="000F2B04">
        <w:rPr>
          <w:rFonts w:asciiTheme="majorBidi" w:hAnsiTheme="majorBidi" w:cstheme="majorBidi"/>
        </w:rPr>
        <w:t>de este</w:t>
      </w:r>
      <w:r w:rsidRPr="000F2B04">
        <w:rPr>
          <w:rFonts w:asciiTheme="majorBidi" w:hAnsiTheme="majorBidi" w:cstheme="majorBidi"/>
        </w:rPr>
        <w:t xml:space="preserve"> en su envase.</w:t>
      </w:r>
    </w:p>
    <w:p w:rsidR="00E165F3" w:rsidRPr="000F2B04" w:rsidRDefault="00E165F3" w:rsidP="0004302A">
      <w:pPr>
        <w:pStyle w:val="Prrafodelista"/>
        <w:spacing w:line="276" w:lineRule="auto"/>
        <w:ind w:left="360"/>
        <w:jc w:val="both"/>
        <w:rPr>
          <w:rFonts w:asciiTheme="majorBidi" w:hAnsiTheme="majorBidi" w:cstheme="majorBidi"/>
        </w:rPr>
      </w:pPr>
    </w:p>
    <w:p w:rsidR="00E165F3" w:rsidRDefault="000F2B04" w:rsidP="0004302A">
      <w:pPr>
        <w:pStyle w:val="Prrafodelista"/>
        <w:numPr>
          <w:ilvl w:val="0"/>
          <w:numId w:val="3"/>
        </w:numPr>
        <w:spacing w:line="276" w:lineRule="auto"/>
        <w:jc w:val="both"/>
        <w:rPr>
          <w:rFonts w:asciiTheme="majorBidi" w:hAnsiTheme="majorBidi" w:cstheme="majorBidi"/>
        </w:rPr>
      </w:pPr>
      <w:r>
        <w:rPr>
          <w:rFonts w:asciiTheme="majorBidi" w:hAnsiTheme="majorBidi" w:cstheme="majorBidi"/>
        </w:rPr>
        <w:t xml:space="preserve">Sería esperable que la normativa que regulara la forma en que se </w:t>
      </w:r>
      <w:r w:rsidR="00B32C0F">
        <w:rPr>
          <w:rFonts w:asciiTheme="majorBidi" w:hAnsiTheme="majorBidi" w:cstheme="majorBidi"/>
        </w:rPr>
        <w:t>deben realizar estas indicaciones en los envases estuviese estipulada y determinada de manera pormenorizada y estandarizada</w:t>
      </w:r>
      <w:r w:rsidR="00E92377">
        <w:rPr>
          <w:rFonts w:asciiTheme="majorBidi" w:hAnsiTheme="majorBidi" w:cstheme="majorBidi"/>
        </w:rPr>
        <w:t xml:space="preserve"> respecto de medicamentos y alimentos</w:t>
      </w:r>
      <w:r w:rsidR="00B32C0F">
        <w:rPr>
          <w:rFonts w:asciiTheme="majorBidi" w:hAnsiTheme="majorBidi" w:cstheme="majorBidi"/>
        </w:rPr>
        <w:t>; sin embargo, de la revisión de los cuerpos normativos que regulan la materia –mayoritariamente decretos–</w:t>
      </w:r>
      <w:r w:rsidR="00E92377">
        <w:rPr>
          <w:rFonts w:asciiTheme="majorBidi" w:hAnsiTheme="majorBidi" w:cstheme="majorBidi"/>
        </w:rPr>
        <w:t xml:space="preserve"> se puede observar que </w:t>
      </w:r>
      <w:r w:rsidR="0022009E">
        <w:rPr>
          <w:rFonts w:asciiTheme="majorBidi" w:hAnsiTheme="majorBidi" w:cstheme="majorBidi"/>
        </w:rPr>
        <w:t>no existe una mención explícita a la forma en que dicha información debe estar incorporada a los envases.</w:t>
      </w:r>
    </w:p>
    <w:p w:rsidR="0022009E" w:rsidRPr="0022009E" w:rsidRDefault="0022009E" w:rsidP="0004302A">
      <w:pPr>
        <w:pStyle w:val="Prrafodelista"/>
        <w:spacing w:line="276" w:lineRule="auto"/>
        <w:rPr>
          <w:rFonts w:asciiTheme="majorBidi" w:hAnsiTheme="majorBidi" w:cstheme="majorBidi"/>
        </w:rPr>
      </w:pPr>
    </w:p>
    <w:p w:rsidR="0022009E" w:rsidRDefault="0022009E" w:rsidP="0004302A">
      <w:pPr>
        <w:pStyle w:val="Prrafodelista"/>
        <w:numPr>
          <w:ilvl w:val="0"/>
          <w:numId w:val="3"/>
        </w:numPr>
        <w:spacing w:line="276" w:lineRule="auto"/>
        <w:jc w:val="both"/>
        <w:rPr>
          <w:rFonts w:asciiTheme="majorBidi" w:hAnsiTheme="majorBidi" w:cstheme="majorBidi"/>
        </w:rPr>
      </w:pPr>
      <w:r>
        <w:rPr>
          <w:rFonts w:asciiTheme="majorBidi" w:hAnsiTheme="majorBidi" w:cstheme="majorBidi"/>
        </w:rPr>
        <w:t xml:space="preserve">Así, resulta en la práctica que las fechas de caducidad o vencimiento de los alimentos o medicamentos no son </w:t>
      </w:r>
      <w:r w:rsidR="008A4B30">
        <w:rPr>
          <w:rFonts w:asciiTheme="majorBidi" w:hAnsiTheme="majorBidi" w:cstheme="majorBidi"/>
        </w:rPr>
        <w:t>un elemento esenci</w:t>
      </w:r>
      <w:r w:rsidR="00DA2795">
        <w:rPr>
          <w:rFonts w:asciiTheme="majorBidi" w:hAnsiTheme="majorBidi" w:cstheme="majorBidi"/>
        </w:rPr>
        <w:t xml:space="preserve">al en los envases respectivos. Generalmente, ellos </w:t>
      </w:r>
      <w:r w:rsidR="008A4B30">
        <w:rPr>
          <w:rFonts w:asciiTheme="majorBidi" w:hAnsiTheme="majorBidi" w:cstheme="majorBidi"/>
        </w:rPr>
        <w:t>suele</w:t>
      </w:r>
      <w:r w:rsidR="00DA2795">
        <w:rPr>
          <w:rFonts w:asciiTheme="majorBidi" w:hAnsiTheme="majorBidi" w:cstheme="majorBidi"/>
        </w:rPr>
        <w:t>n</w:t>
      </w:r>
      <w:r w:rsidR="008A4B30">
        <w:rPr>
          <w:rFonts w:asciiTheme="majorBidi" w:hAnsiTheme="majorBidi" w:cstheme="majorBidi"/>
        </w:rPr>
        <w:t xml:space="preserve"> </w:t>
      </w:r>
      <w:r w:rsidR="00DA2795">
        <w:rPr>
          <w:rFonts w:asciiTheme="majorBidi" w:hAnsiTheme="majorBidi" w:cstheme="majorBidi"/>
        </w:rPr>
        <w:t xml:space="preserve">incorporarse mediante </w:t>
      </w:r>
      <w:r w:rsidR="008A4B30">
        <w:rPr>
          <w:rFonts w:asciiTheme="majorBidi" w:hAnsiTheme="majorBidi" w:cstheme="majorBidi"/>
        </w:rPr>
        <w:t>timbre</w:t>
      </w:r>
      <w:r w:rsidR="00DA2795">
        <w:rPr>
          <w:rFonts w:asciiTheme="majorBidi" w:hAnsiTheme="majorBidi" w:cstheme="majorBidi"/>
        </w:rPr>
        <w:t>s</w:t>
      </w:r>
      <w:r w:rsidR="008A4B30">
        <w:rPr>
          <w:rFonts w:asciiTheme="majorBidi" w:hAnsiTheme="majorBidi" w:cstheme="majorBidi"/>
        </w:rPr>
        <w:t>, estampado</w:t>
      </w:r>
      <w:r w:rsidR="00DA2795">
        <w:rPr>
          <w:rFonts w:asciiTheme="majorBidi" w:hAnsiTheme="majorBidi" w:cstheme="majorBidi"/>
        </w:rPr>
        <w:t>s</w:t>
      </w:r>
      <w:r w:rsidR="008A4B30">
        <w:rPr>
          <w:rFonts w:asciiTheme="majorBidi" w:hAnsiTheme="majorBidi" w:cstheme="majorBidi"/>
        </w:rPr>
        <w:t xml:space="preserve"> o impresi</w:t>
      </w:r>
      <w:r w:rsidR="00DA2795">
        <w:rPr>
          <w:rFonts w:asciiTheme="majorBidi" w:hAnsiTheme="majorBidi" w:cstheme="majorBidi"/>
        </w:rPr>
        <w:t>o</w:t>
      </w:r>
      <w:r w:rsidR="008A4B30">
        <w:rPr>
          <w:rFonts w:asciiTheme="majorBidi" w:hAnsiTheme="majorBidi" w:cstheme="majorBidi"/>
        </w:rPr>
        <w:t>n</w:t>
      </w:r>
      <w:r w:rsidR="00DA2795">
        <w:rPr>
          <w:rFonts w:asciiTheme="majorBidi" w:hAnsiTheme="majorBidi" w:cstheme="majorBidi"/>
        </w:rPr>
        <w:t>es cuya lectura es dificultosa, por no tener un espacio suficientemente claro, con una impresión deficiente o de un tamaño de suyo reducido, todo lo cual es especialmente sensible respecto de adultos mayores.</w:t>
      </w:r>
    </w:p>
    <w:p w:rsidR="00DA2795" w:rsidRPr="00DA2795" w:rsidRDefault="00DA2795" w:rsidP="0004302A">
      <w:pPr>
        <w:pStyle w:val="Prrafodelista"/>
        <w:spacing w:line="276" w:lineRule="auto"/>
        <w:rPr>
          <w:rFonts w:asciiTheme="majorBidi" w:hAnsiTheme="majorBidi" w:cstheme="majorBidi"/>
        </w:rPr>
      </w:pPr>
    </w:p>
    <w:p w:rsidR="00DA2795" w:rsidRDefault="00C936E7" w:rsidP="0004302A">
      <w:pPr>
        <w:pStyle w:val="Prrafodelista"/>
        <w:numPr>
          <w:ilvl w:val="0"/>
          <w:numId w:val="3"/>
        </w:numPr>
        <w:spacing w:line="276" w:lineRule="auto"/>
        <w:jc w:val="both"/>
        <w:rPr>
          <w:rFonts w:asciiTheme="majorBidi" w:hAnsiTheme="majorBidi" w:cstheme="majorBidi"/>
        </w:rPr>
      </w:pPr>
      <w:r>
        <w:rPr>
          <w:rFonts w:asciiTheme="majorBidi" w:hAnsiTheme="majorBidi" w:cstheme="majorBidi"/>
        </w:rPr>
        <w:t>Por estas razones, es que resulta indispensable legislar a fin de resguardar la salud de quienes deben medicarse o de quienes consumen alimentos, pues la ingesta de productos vencidos es inevitablemente dañina para la salud de las personas.</w:t>
      </w:r>
    </w:p>
    <w:p w:rsidR="00C936E7" w:rsidRPr="00C936E7" w:rsidRDefault="00C936E7" w:rsidP="0004302A">
      <w:pPr>
        <w:pStyle w:val="Prrafodelista"/>
        <w:spacing w:line="276" w:lineRule="auto"/>
        <w:rPr>
          <w:rFonts w:asciiTheme="majorBidi" w:hAnsiTheme="majorBidi" w:cstheme="majorBidi"/>
        </w:rPr>
      </w:pPr>
    </w:p>
    <w:p w:rsidR="00C936E7" w:rsidRDefault="00C936E7" w:rsidP="0004302A">
      <w:pPr>
        <w:pStyle w:val="Prrafodelista"/>
        <w:numPr>
          <w:ilvl w:val="0"/>
          <w:numId w:val="3"/>
        </w:numPr>
        <w:spacing w:line="276" w:lineRule="auto"/>
        <w:jc w:val="both"/>
        <w:rPr>
          <w:rFonts w:asciiTheme="majorBidi" w:hAnsiTheme="majorBidi" w:cstheme="majorBidi"/>
        </w:rPr>
      </w:pPr>
      <w:r>
        <w:rPr>
          <w:rFonts w:asciiTheme="majorBidi" w:hAnsiTheme="majorBidi" w:cstheme="majorBidi"/>
        </w:rPr>
        <w:t xml:space="preserve">Así, el proyecto que se ofrece a la consideración de esta Honorable Cámara </w:t>
      </w:r>
      <w:r w:rsidR="00576764">
        <w:rPr>
          <w:rFonts w:asciiTheme="majorBidi" w:hAnsiTheme="majorBidi" w:cstheme="majorBidi"/>
        </w:rPr>
        <w:t xml:space="preserve">consta de un artículo único que se </w:t>
      </w:r>
      <w:r w:rsidR="00484666">
        <w:rPr>
          <w:rFonts w:asciiTheme="majorBidi" w:hAnsiTheme="majorBidi" w:cstheme="majorBidi"/>
        </w:rPr>
        <w:t>divide en dos numerales con modificaciones –ambas– al Código Sanitario.</w:t>
      </w:r>
    </w:p>
    <w:p w:rsidR="00484666" w:rsidRPr="00484666" w:rsidRDefault="00484666" w:rsidP="0004302A">
      <w:pPr>
        <w:pStyle w:val="Prrafodelista"/>
        <w:spacing w:line="276" w:lineRule="auto"/>
        <w:rPr>
          <w:rFonts w:asciiTheme="majorBidi" w:hAnsiTheme="majorBidi" w:cstheme="majorBidi"/>
        </w:rPr>
      </w:pPr>
    </w:p>
    <w:p w:rsidR="00484666" w:rsidRDefault="00484666" w:rsidP="0004302A">
      <w:pPr>
        <w:pStyle w:val="Prrafodelista"/>
        <w:numPr>
          <w:ilvl w:val="0"/>
          <w:numId w:val="3"/>
        </w:numPr>
        <w:spacing w:line="276" w:lineRule="auto"/>
        <w:jc w:val="both"/>
        <w:rPr>
          <w:rFonts w:asciiTheme="majorBidi" w:hAnsiTheme="majorBidi" w:cstheme="majorBidi"/>
        </w:rPr>
      </w:pPr>
      <w:r>
        <w:rPr>
          <w:rFonts w:asciiTheme="majorBidi" w:hAnsiTheme="majorBidi" w:cstheme="majorBidi"/>
        </w:rPr>
        <w:t xml:space="preserve">La primera de ella introduce un inciso final, nuevo, al artículo 96 del Código Sanitario. </w:t>
      </w:r>
      <w:r w:rsidR="006D586D">
        <w:rPr>
          <w:rFonts w:asciiTheme="majorBidi" w:hAnsiTheme="majorBidi" w:cstheme="majorBidi"/>
        </w:rPr>
        <w:t xml:space="preserve">Dicho artículo establece las exigencias generales y delega a los reglamentos el detalle de la </w:t>
      </w:r>
      <w:r w:rsidR="0004302A">
        <w:rPr>
          <w:rFonts w:asciiTheme="majorBidi" w:hAnsiTheme="majorBidi" w:cstheme="majorBidi"/>
        </w:rPr>
        <w:t xml:space="preserve">normativa sobre medicamentos. El nuevo inciso propuesto establece que los reglamentos a que alude el inciso cuarto del artículo 96, esto es, aquellos cuyo objeto es </w:t>
      </w:r>
      <w:r w:rsidR="0004302A">
        <w:rPr>
          <w:rFonts w:asciiTheme="majorBidi" w:hAnsiTheme="majorBidi" w:cstheme="majorBidi"/>
        </w:rPr>
        <w:lastRenderedPageBreak/>
        <w:t>determinar “</w:t>
      </w:r>
      <w:r w:rsidR="0004302A" w:rsidRPr="0004302A">
        <w:rPr>
          <w:rFonts w:asciiTheme="majorBidi" w:hAnsiTheme="majorBidi" w:cstheme="majorBidi"/>
          <w:i/>
          <w:iCs/>
        </w:rPr>
        <w:t xml:space="preserve">las normas sanitarias que, de conformidad con las disposiciones de este Código, regulen la importación, internación, exportación, producción, elaboración, fraccionamiento, almacenamiento, tenencia, transporte, distribución a título gratuito u oneroso, expendio, </w:t>
      </w:r>
      <w:proofErr w:type="spellStart"/>
      <w:r w:rsidR="0004302A" w:rsidRPr="0004302A">
        <w:rPr>
          <w:rFonts w:asciiTheme="majorBidi" w:hAnsiTheme="majorBidi" w:cstheme="majorBidi"/>
          <w:i/>
          <w:iCs/>
        </w:rPr>
        <w:t>farmacovigilancia</w:t>
      </w:r>
      <w:proofErr w:type="spellEnd"/>
      <w:r w:rsidR="0004302A" w:rsidRPr="0004302A">
        <w:rPr>
          <w:rFonts w:asciiTheme="majorBidi" w:hAnsiTheme="majorBidi" w:cstheme="majorBidi"/>
          <w:i/>
          <w:iCs/>
        </w:rPr>
        <w:t>, trazabilidad, publicidad, promoción o información profesional, uso médico o en investigación cient</w:t>
      </w:r>
      <w:r w:rsidR="0004302A">
        <w:rPr>
          <w:rFonts w:asciiTheme="majorBidi" w:hAnsiTheme="majorBidi" w:cstheme="majorBidi"/>
          <w:i/>
          <w:iCs/>
        </w:rPr>
        <w:t>ífica de productos farmacéuticos</w:t>
      </w:r>
      <w:r w:rsidR="0004302A">
        <w:rPr>
          <w:rFonts w:asciiTheme="majorBidi" w:hAnsiTheme="majorBidi" w:cstheme="majorBidi"/>
        </w:rPr>
        <w:t>”, tendrán como finalidad, además, normar especialmente la forma en que incorporan las fechas de elaboración y vencimiento en los envases, lo cual deberá hacerse de manera que su lectura sea fácil y clara, por medio de impresiones; y estipulando que las fechas de vencimiento deberán señalarse expresamente, esto es, sin emplear fórmulas tales como “tantos meses desde la fecha de elaboración”, las cuales no quedan admitidas, sino solamente la expresión precisa del día, mes y año de vencimiento..</w:t>
      </w:r>
    </w:p>
    <w:p w:rsidR="0004302A" w:rsidRDefault="0004302A" w:rsidP="0004302A">
      <w:pPr>
        <w:pStyle w:val="Prrafodelista"/>
        <w:spacing w:line="276" w:lineRule="auto"/>
        <w:ind w:left="360"/>
        <w:jc w:val="both"/>
        <w:rPr>
          <w:rFonts w:asciiTheme="majorBidi" w:hAnsiTheme="majorBidi" w:cstheme="majorBidi"/>
        </w:rPr>
      </w:pPr>
    </w:p>
    <w:p w:rsidR="0004302A" w:rsidRDefault="0004302A" w:rsidP="0004302A">
      <w:pPr>
        <w:pStyle w:val="Prrafodelista"/>
        <w:numPr>
          <w:ilvl w:val="0"/>
          <w:numId w:val="3"/>
        </w:numPr>
        <w:spacing w:line="276" w:lineRule="auto"/>
        <w:jc w:val="both"/>
        <w:rPr>
          <w:rFonts w:asciiTheme="majorBidi" w:hAnsiTheme="majorBidi" w:cstheme="majorBidi"/>
        </w:rPr>
      </w:pPr>
      <w:r>
        <w:rPr>
          <w:rFonts w:asciiTheme="majorBidi" w:hAnsiTheme="majorBidi" w:cstheme="majorBidi"/>
        </w:rPr>
        <w:t>El numeral segundo sigue la misma línea del primero, entregando a los reglamentos a los que alude el artículo 105 del Código Sanitario, esto es, a aquellos cuya finalidad es determinar “</w:t>
      </w:r>
      <w:r w:rsidRPr="0004302A">
        <w:rPr>
          <w:rFonts w:asciiTheme="majorBidi" w:hAnsiTheme="majorBidi" w:cstheme="majorBidi"/>
          <w:i/>
          <w:iCs/>
        </w:rPr>
        <w:t>las características que deberán reunir los alimentos o productos alimenticios destinados al consumo humano, las condiciones sanitarias a las que deberá ceñirse su producción, importación, internación, elaboración, envase, rotulación, almacenamiento, distribución y venta, las condiciones especiales de uso, si fuere del caso, las de vigilancia de los alimentos especiales y los demás requisitos sanitarios que deberán cumplir los establecimientos, medios de transporte y distribución destinados a dichos fines</w:t>
      </w:r>
      <w:r>
        <w:rPr>
          <w:rFonts w:asciiTheme="majorBidi" w:hAnsiTheme="majorBidi" w:cstheme="majorBidi"/>
        </w:rPr>
        <w:t>”, la tarea de señalar la forma en que se deberá incorporar a los envases la fecha de elaboración y vencimiento, debiendo ser ellas de fácil lectura, realizarse mediante impresiones en el envase y señalar expresamente la fecha de vencimiento, por lo cual las fórmulas de vencimiento tales como “desde tantos meses de la fecha de elaboración” no quedan admitidas, sino solamente la expresión precisa del día, mes y año de vencimiento.</w:t>
      </w:r>
    </w:p>
    <w:p w:rsidR="0004302A" w:rsidRDefault="0004302A" w:rsidP="0004302A">
      <w:pPr>
        <w:pStyle w:val="Prrafodelista"/>
        <w:spacing w:line="276" w:lineRule="auto"/>
        <w:ind w:left="360"/>
        <w:jc w:val="both"/>
        <w:rPr>
          <w:rFonts w:asciiTheme="majorBidi" w:hAnsiTheme="majorBidi" w:cstheme="majorBidi"/>
        </w:rPr>
      </w:pPr>
    </w:p>
    <w:p w:rsidR="0004302A" w:rsidRDefault="0004302A" w:rsidP="0004302A">
      <w:pPr>
        <w:pStyle w:val="Prrafodelista"/>
        <w:numPr>
          <w:ilvl w:val="0"/>
          <w:numId w:val="3"/>
        </w:numPr>
        <w:spacing w:line="276" w:lineRule="auto"/>
        <w:jc w:val="both"/>
        <w:rPr>
          <w:rFonts w:asciiTheme="majorBidi" w:hAnsiTheme="majorBidi" w:cstheme="majorBidi"/>
        </w:rPr>
      </w:pPr>
      <w:r>
        <w:rPr>
          <w:rFonts w:asciiTheme="majorBidi" w:hAnsiTheme="majorBidi" w:cstheme="majorBidi"/>
        </w:rPr>
        <w:t xml:space="preserve">Finalmente, los </w:t>
      </w:r>
      <w:proofErr w:type="spellStart"/>
      <w:r>
        <w:rPr>
          <w:rFonts w:asciiTheme="majorBidi" w:hAnsiTheme="majorBidi" w:cstheme="majorBidi"/>
        </w:rPr>
        <w:t>mocionantes</w:t>
      </w:r>
      <w:proofErr w:type="spellEnd"/>
      <w:r>
        <w:rPr>
          <w:rFonts w:asciiTheme="majorBidi" w:hAnsiTheme="majorBidi" w:cstheme="majorBidi"/>
        </w:rPr>
        <w:t xml:space="preserve"> declaramos que la idea matriz del proyecto radica en entregar a los reglamentos que establece el Código Sanitario y a los cuales este cuerpo normativo </w:t>
      </w:r>
      <w:r w:rsidR="00A1713A">
        <w:rPr>
          <w:rFonts w:asciiTheme="majorBidi" w:hAnsiTheme="majorBidi" w:cstheme="majorBidi"/>
        </w:rPr>
        <w:t>delega el desarrollo pormenorizado de sus normas, el desarrollo de una preceptiva que establezca condiciones de mayor legibilidad en los envases de alimentos y medicamentos para las fechas de elaboración y vencimiento de los mismos, señalando al efecto los criterios generales y abstractos que las normas que se dicten al efecto deben contener y a las cuales deben ceñirse.</w:t>
      </w:r>
    </w:p>
    <w:p w:rsidR="00A1713A" w:rsidRDefault="00A1713A" w:rsidP="00A1713A">
      <w:pPr>
        <w:spacing w:line="276" w:lineRule="auto"/>
        <w:jc w:val="both"/>
        <w:rPr>
          <w:rFonts w:asciiTheme="majorBidi" w:hAnsiTheme="majorBidi" w:cstheme="majorBidi"/>
        </w:rPr>
      </w:pPr>
    </w:p>
    <w:p w:rsidR="00A1713A" w:rsidRDefault="00A1713A" w:rsidP="00A1713A">
      <w:pPr>
        <w:spacing w:line="276" w:lineRule="auto"/>
        <w:jc w:val="both"/>
        <w:rPr>
          <w:rFonts w:asciiTheme="majorBidi" w:hAnsiTheme="majorBidi" w:cstheme="majorBidi"/>
        </w:rPr>
      </w:pPr>
      <w:r>
        <w:rPr>
          <w:rFonts w:asciiTheme="majorBidi" w:hAnsiTheme="majorBidi" w:cstheme="majorBidi"/>
        </w:rPr>
        <w:t>Por tanto, los diputados que suscribimos la moción que por este acto se ofrece, venimos en proponer a esta Honorable Cámara el siguiente</w:t>
      </w:r>
    </w:p>
    <w:p w:rsidR="00A1713A" w:rsidRDefault="00A1713A" w:rsidP="00A1713A">
      <w:pPr>
        <w:spacing w:line="276" w:lineRule="auto"/>
        <w:jc w:val="both"/>
        <w:rPr>
          <w:rFonts w:asciiTheme="majorBidi" w:hAnsiTheme="majorBidi" w:cstheme="majorBidi"/>
        </w:rPr>
      </w:pPr>
    </w:p>
    <w:p w:rsidR="00A1713A" w:rsidRDefault="00A1713A" w:rsidP="00A1713A">
      <w:pPr>
        <w:spacing w:line="276" w:lineRule="auto"/>
        <w:jc w:val="both"/>
        <w:rPr>
          <w:rFonts w:asciiTheme="majorBidi" w:hAnsiTheme="majorBidi" w:cstheme="majorBidi"/>
        </w:rPr>
      </w:pPr>
    </w:p>
    <w:p w:rsidR="00A1713A" w:rsidRPr="00A1713A" w:rsidRDefault="00A1713A" w:rsidP="00A1713A">
      <w:pPr>
        <w:spacing w:line="276" w:lineRule="auto"/>
        <w:jc w:val="both"/>
        <w:rPr>
          <w:rFonts w:asciiTheme="majorBidi" w:hAnsiTheme="majorBidi" w:cstheme="majorBidi"/>
        </w:rPr>
      </w:pPr>
    </w:p>
    <w:p w:rsidR="00E165F3" w:rsidRPr="000F2B04" w:rsidRDefault="00E165F3" w:rsidP="0004302A">
      <w:pPr>
        <w:spacing w:line="276" w:lineRule="auto"/>
        <w:jc w:val="center"/>
        <w:rPr>
          <w:rFonts w:asciiTheme="majorBidi" w:hAnsiTheme="majorBidi" w:cstheme="majorBidi"/>
        </w:rPr>
      </w:pPr>
    </w:p>
    <w:p w:rsidR="004B7D4C" w:rsidRPr="000F2B04" w:rsidRDefault="009E4812" w:rsidP="0004302A">
      <w:pPr>
        <w:spacing w:line="276" w:lineRule="auto"/>
        <w:jc w:val="center"/>
        <w:rPr>
          <w:rFonts w:asciiTheme="majorBidi" w:hAnsiTheme="majorBidi" w:cstheme="majorBidi"/>
          <w:b/>
          <w:bCs/>
        </w:rPr>
      </w:pPr>
      <w:r w:rsidRPr="000F2B04">
        <w:rPr>
          <w:rFonts w:asciiTheme="majorBidi" w:hAnsiTheme="majorBidi" w:cstheme="majorBidi"/>
          <w:b/>
          <w:bCs/>
        </w:rPr>
        <w:lastRenderedPageBreak/>
        <w:t>PROYECTO DE LEY</w:t>
      </w:r>
    </w:p>
    <w:p w:rsidR="009E4812" w:rsidRPr="000F2B04" w:rsidRDefault="009E4812" w:rsidP="0004302A">
      <w:pPr>
        <w:spacing w:line="276" w:lineRule="auto"/>
        <w:jc w:val="center"/>
        <w:rPr>
          <w:rFonts w:asciiTheme="majorBidi" w:hAnsiTheme="majorBidi" w:cstheme="majorBidi"/>
          <w:b/>
          <w:bCs/>
        </w:rPr>
      </w:pPr>
    </w:p>
    <w:p w:rsidR="003F429F" w:rsidRPr="000F2B04" w:rsidRDefault="003F429F" w:rsidP="0004302A">
      <w:pPr>
        <w:spacing w:line="276" w:lineRule="auto"/>
        <w:jc w:val="center"/>
        <w:rPr>
          <w:rFonts w:asciiTheme="majorBidi" w:hAnsiTheme="majorBidi" w:cstheme="majorBidi"/>
          <w:b/>
          <w:bCs/>
        </w:rPr>
      </w:pPr>
    </w:p>
    <w:p w:rsidR="009E4812" w:rsidRPr="000F2B04" w:rsidRDefault="009E4812" w:rsidP="0004302A">
      <w:pPr>
        <w:spacing w:line="276" w:lineRule="auto"/>
        <w:jc w:val="both"/>
        <w:rPr>
          <w:rFonts w:asciiTheme="majorBidi" w:hAnsiTheme="majorBidi" w:cstheme="majorBidi"/>
        </w:rPr>
      </w:pPr>
      <w:r w:rsidRPr="000F2B04">
        <w:rPr>
          <w:rFonts w:asciiTheme="majorBidi" w:hAnsiTheme="majorBidi" w:cstheme="majorBidi"/>
          <w:b/>
          <w:bCs/>
        </w:rPr>
        <w:t xml:space="preserve">ARTÍCULO ÚNICO.- </w:t>
      </w:r>
      <w:r w:rsidRPr="000F2B04">
        <w:rPr>
          <w:rFonts w:asciiTheme="majorBidi" w:hAnsiTheme="majorBidi" w:cstheme="majorBidi"/>
        </w:rPr>
        <w:t>Introdúzcanse las siguientes modificaciones al Código Sanitario:</w:t>
      </w:r>
    </w:p>
    <w:p w:rsidR="009E4812" w:rsidRPr="000F2B04" w:rsidRDefault="009E4812" w:rsidP="0004302A">
      <w:pPr>
        <w:spacing w:line="276" w:lineRule="auto"/>
        <w:jc w:val="both"/>
        <w:rPr>
          <w:rFonts w:asciiTheme="majorBidi" w:hAnsiTheme="majorBidi" w:cstheme="majorBidi"/>
        </w:rPr>
      </w:pPr>
    </w:p>
    <w:p w:rsidR="009E4812" w:rsidRPr="000F2B04" w:rsidRDefault="009E4812" w:rsidP="0004302A">
      <w:pPr>
        <w:pStyle w:val="Prrafodelista"/>
        <w:numPr>
          <w:ilvl w:val="0"/>
          <w:numId w:val="1"/>
        </w:numPr>
        <w:spacing w:line="276" w:lineRule="auto"/>
        <w:jc w:val="both"/>
        <w:rPr>
          <w:rFonts w:asciiTheme="majorBidi" w:hAnsiTheme="majorBidi" w:cstheme="majorBidi"/>
        </w:rPr>
      </w:pPr>
      <w:r w:rsidRPr="000F2B04">
        <w:rPr>
          <w:rFonts w:asciiTheme="majorBidi" w:hAnsiTheme="majorBidi" w:cstheme="majorBidi"/>
        </w:rPr>
        <w:t>Incorpórese un nuevo inciso final al artículo 96, del siguiente tenor:</w:t>
      </w:r>
    </w:p>
    <w:p w:rsidR="009E4812" w:rsidRPr="000F2B04" w:rsidRDefault="009E4812" w:rsidP="0004302A">
      <w:pPr>
        <w:pStyle w:val="Prrafodelista"/>
        <w:spacing w:line="276" w:lineRule="auto"/>
        <w:jc w:val="both"/>
        <w:rPr>
          <w:rFonts w:asciiTheme="majorBidi" w:hAnsiTheme="majorBidi" w:cstheme="majorBidi"/>
        </w:rPr>
      </w:pPr>
    </w:p>
    <w:p w:rsidR="00CB55CB" w:rsidRDefault="009E4812" w:rsidP="006616E6">
      <w:pPr>
        <w:pStyle w:val="Prrafodelista"/>
        <w:spacing w:line="276" w:lineRule="auto"/>
        <w:ind w:left="851"/>
        <w:jc w:val="both"/>
        <w:rPr>
          <w:rFonts w:asciiTheme="majorBidi" w:hAnsiTheme="majorBidi" w:cstheme="majorBidi"/>
          <w:i/>
          <w:iCs/>
        </w:rPr>
      </w:pPr>
      <w:r w:rsidRPr="000F2B04">
        <w:rPr>
          <w:rFonts w:asciiTheme="majorBidi" w:hAnsiTheme="majorBidi" w:cstheme="majorBidi"/>
        </w:rPr>
        <w:t>“</w:t>
      </w:r>
      <w:r w:rsidR="00CB55CB" w:rsidRPr="000F2B04">
        <w:rPr>
          <w:rFonts w:asciiTheme="majorBidi" w:hAnsiTheme="majorBidi" w:cstheme="majorBidi"/>
          <w:i/>
          <w:iCs/>
        </w:rPr>
        <w:t xml:space="preserve">Los reglamentos a que se refiere el inciso cuarto deberán </w:t>
      </w:r>
      <w:r w:rsidR="00222440" w:rsidRPr="000F2B04">
        <w:rPr>
          <w:rFonts w:asciiTheme="majorBidi" w:hAnsiTheme="majorBidi" w:cstheme="majorBidi"/>
          <w:i/>
          <w:iCs/>
        </w:rPr>
        <w:t>contemplar</w:t>
      </w:r>
      <w:r w:rsidR="00CB55CB" w:rsidRPr="000F2B04">
        <w:rPr>
          <w:rFonts w:asciiTheme="majorBidi" w:hAnsiTheme="majorBidi" w:cstheme="majorBidi"/>
          <w:i/>
          <w:iCs/>
        </w:rPr>
        <w:t xml:space="preserve"> especialmente la forma en que se </w:t>
      </w:r>
      <w:r w:rsidR="00C936E7">
        <w:rPr>
          <w:rFonts w:asciiTheme="majorBidi" w:hAnsiTheme="majorBidi" w:cstheme="majorBidi"/>
          <w:i/>
          <w:iCs/>
        </w:rPr>
        <w:t xml:space="preserve">incorporen </w:t>
      </w:r>
      <w:r w:rsidR="00CB55CB" w:rsidRPr="000F2B04">
        <w:rPr>
          <w:rFonts w:asciiTheme="majorBidi" w:hAnsiTheme="majorBidi" w:cstheme="majorBidi"/>
          <w:i/>
          <w:iCs/>
        </w:rPr>
        <w:t>las fechas de elaboración y vencimiento</w:t>
      </w:r>
      <w:r w:rsidR="00B11701" w:rsidRPr="000F2B04">
        <w:rPr>
          <w:rFonts w:asciiTheme="majorBidi" w:hAnsiTheme="majorBidi" w:cstheme="majorBidi"/>
          <w:i/>
          <w:iCs/>
        </w:rPr>
        <w:t xml:space="preserve"> en los envases</w:t>
      </w:r>
      <w:r w:rsidR="00CB55CB" w:rsidRPr="000F2B04">
        <w:rPr>
          <w:rFonts w:asciiTheme="majorBidi" w:hAnsiTheme="majorBidi" w:cstheme="majorBidi"/>
          <w:i/>
          <w:iCs/>
        </w:rPr>
        <w:t xml:space="preserve">, las que deberán </w:t>
      </w:r>
      <w:r w:rsidR="00B11701" w:rsidRPr="000F2B04">
        <w:rPr>
          <w:rFonts w:asciiTheme="majorBidi" w:hAnsiTheme="majorBidi" w:cstheme="majorBidi"/>
          <w:i/>
          <w:iCs/>
        </w:rPr>
        <w:t>ser de lectura fácil y clar</w:t>
      </w:r>
      <w:r w:rsidR="004A7E79" w:rsidRPr="000F2B04">
        <w:rPr>
          <w:rFonts w:asciiTheme="majorBidi" w:hAnsiTheme="majorBidi" w:cstheme="majorBidi"/>
          <w:i/>
          <w:iCs/>
        </w:rPr>
        <w:t>a, por medio de impresiones</w:t>
      </w:r>
      <w:r w:rsidR="00425D04" w:rsidRPr="000F2B04">
        <w:rPr>
          <w:rFonts w:asciiTheme="majorBidi" w:hAnsiTheme="majorBidi" w:cstheme="majorBidi"/>
          <w:i/>
          <w:iCs/>
        </w:rPr>
        <w:t>.</w:t>
      </w:r>
      <w:r w:rsidR="00C936E7">
        <w:rPr>
          <w:rFonts w:asciiTheme="majorBidi" w:hAnsiTheme="majorBidi" w:cstheme="majorBidi"/>
          <w:i/>
          <w:iCs/>
        </w:rPr>
        <w:t xml:space="preserve"> Respecto de las fechas de vencimiento, ellas solo podrán señalarse expresamente, esto es, con la indicación de la fecha cierta del vencimiento.</w:t>
      </w:r>
    </w:p>
    <w:p w:rsidR="00C936E7" w:rsidRPr="000F2B04" w:rsidRDefault="00C936E7" w:rsidP="0004302A">
      <w:pPr>
        <w:pStyle w:val="Prrafodelista"/>
        <w:spacing w:line="276" w:lineRule="auto"/>
        <w:jc w:val="both"/>
        <w:rPr>
          <w:rFonts w:asciiTheme="majorBidi" w:hAnsiTheme="majorBidi" w:cstheme="majorBidi"/>
        </w:rPr>
      </w:pPr>
    </w:p>
    <w:p w:rsidR="009E4812" w:rsidRPr="000F2B04" w:rsidRDefault="009E4812" w:rsidP="0004302A">
      <w:pPr>
        <w:pStyle w:val="Prrafodelista"/>
        <w:numPr>
          <w:ilvl w:val="0"/>
          <w:numId w:val="1"/>
        </w:numPr>
        <w:spacing w:line="276" w:lineRule="auto"/>
        <w:jc w:val="both"/>
        <w:rPr>
          <w:rFonts w:asciiTheme="majorBidi" w:hAnsiTheme="majorBidi" w:cstheme="majorBidi"/>
        </w:rPr>
      </w:pPr>
      <w:r w:rsidRPr="000F2B04">
        <w:rPr>
          <w:rFonts w:asciiTheme="majorBidi" w:hAnsiTheme="majorBidi" w:cstheme="majorBidi"/>
        </w:rPr>
        <w:t xml:space="preserve">Incorpórese un nuevo </w:t>
      </w:r>
      <w:r w:rsidR="00222440" w:rsidRPr="000F2B04">
        <w:rPr>
          <w:rFonts w:asciiTheme="majorBidi" w:hAnsiTheme="majorBidi" w:cstheme="majorBidi"/>
        </w:rPr>
        <w:t>inciso segundo al artículo 105</w:t>
      </w:r>
      <w:r w:rsidRPr="000F2B04">
        <w:rPr>
          <w:rFonts w:asciiTheme="majorBidi" w:hAnsiTheme="majorBidi" w:cstheme="majorBidi"/>
        </w:rPr>
        <w:t>, del siguiente tenor:</w:t>
      </w:r>
    </w:p>
    <w:p w:rsidR="00222440" w:rsidRPr="000F2B04" w:rsidRDefault="00222440" w:rsidP="0004302A">
      <w:pPr>
        <w:pStyle w:val="Prrafodelista"/>
        <w:spacing w:line="276" w:lineRule="auto"/>
        <w:jc w:val="both"/>
        <w:rPr>
          <w:rFonts w:asciiTheme="majorBidi" w:hAnsiTheme="majorBidi" w:cstheme="majorBidi"/>
        </w:rPr>
      </w:pPr>
    </w:p>
    <w:p w:rsidR="00222440" w:rsidRDefault="00222440" w:rsidP="006616E6">
      <w:pPr>
        <w:pStyle w:val="Prrafodelista"/>
        <w:spacing w:line="276" w:lineRule="auto"/>
        <w:ind w:left="851"/>
        <w:jc w:val="both"/>
        <w:rPr>
          <w:rFonts w:asciiTheme="majorBidi" w:hAnsiTheme="majorBidi" w:cstheme="majorBidi"/>
          <w:i/>
          <w:iCs/>
        </w:rPr>
      </w:pPr>
      <w:r w:rsidRPr="000F2B04">
        <w:rPr>
          <w:rFonts w:asciiTheme="majorBidi" w:hAnsiTheme="majorBidi" w:cstheme="majorBidi"/>
        </w:rPr>
        <w:t>“</w:t>
      </w:r>
      <w:r w:rsidRPr="000F2B04">
        <w:rPr>
          <w:rFonts w:asciiTheme="majorBidi" w:hAnsiTheme="majorBidi" w:cstheme="majorBidi"/>
          <w:i/>
          <w:iCs/>
        </w:rPr>
        <w:t xml:space="preserve">Asimismo, el reglamento deberá contemplar </w:t>
      </w:r>
      <w:r w:rsidR="00B11701" w:rsidRPr="000F2B04">
        <w:rPr>
          <w:rFonts w:asciiTheme="majorBidi" w:hAnsiTheme="majorBidi" w:cstheme="majorBidi"/>
          <w:i/>
          <w:iCs/>
        </w:rPr>
        <w:t xml:space="preserve">especialmente la forma en que se </w:t>
      </w:r>
      <w:r w:rsidR="00C936E7">
        <w:rPr>
          <w:rFonts w:asciiTheme="majorBidi" w:hAnsiTheme="majorBidi" w:cstheme="majorBidi"/>
          <w:i/>
          <w:iCs/>
        </w:rPr>
        <w:t xml:space="preserve">incorporen </w:t>
      </w:r>
      <w:r w:rsidR="00B11701" w:rsidRPr="000F2B04">
        <w:rPr>
          <w:rFonts w:asciiTheme="majorBidi" w:hAnsiTheme="majorBidi" w:cstheme="majorBidi"/>
          <w:i/>
          <w:iCs/>
        </w:rPr>
        <w:t>las fechas de elaboración y vencimiento en los envases, las que deberán ser de lectura fácil y clara</w:t>
      </w:r>
      <w:r w:rsidR="0067766E" w:rsidRPr="000F2B04">
        <w:rPr>
          <w:rFonts w:asciiTheme="majorBidi" w:hAnsiTheme="majorBidi" w:cstheme="majorBidi"/>
          <w:i/>
          <w:iCs/>
        </w:rPr>
        <w:t>, por medio de</w:t>
      </w:r>
      <w:r w:rsidR="00DA2795">
        <w:rPr>
          <w:rFonts w:asciiTheme="majorBidi" w:hAnsiTheme="majorBidi" w:cstheme="majorBidi"/>
          <w:i/>
          <w:iCs/>
        </w:rPr>
        <w:t xml:space="preserve"> impresiones</w:t>
      </w:r>
      <w:r w:rsidR="0067766E" w:rsidRPr="000F2B04">
        <w:rPr>
          <w:rFonts w:asciiTheme="majorBidi" w:hAnsiTheme="majorBidi" w:cstheme="majorBidi"/>
          <w:i/>
          <w:iCs/>
        </w:rPr>
        <w:t>.</w:t>
      </w:r>
      <w:r w:rsidR="00C936E7" w:rsidRPr="00C936E7">
        <w:rPr>
          <w:rFonts w:asciiTheme="majorBidi" w:hAnsiTheme="majorBidi" w:cstheme="majorBidi"/>
          <w:i/>
          <w:iCs/>
        </w:rPr>
        <w:t xml:space="preserve"> </w:t>
      </w:r>
      <w:r w:rsidR="00C936E7">
        <w:rPr>
          <w:rFonts w:asciiTheme="majorBidi" w:hAnsiTheme="majorBidi" w:cstheme="majorBidi"/>
          <w:i/>
          <w:iCs/>
        </w:rPr>
        <w:t>Respecto de las fechas de vencimiento, ellas solo podrán señalarse expresamente, esto es, con la indicación de la fecha cierta del vencimiento.</w:t>
      </w:r>
    </w:p>
    <w:p w:rsidR="00C936E7" w:rsidRDefault="00C936E7" w:rsidP="0004302A">
      <w:pPr>
        <w:spacing w:line="276" w:lineRule="auto"/>
        <w:jc w:val="both"/>
        <w:rPr>
          <w:rFonts w:asciiTheme="majorBidi" w:hAnsiTheme="majorBidi" w:cstheme="majorBidi"/>
          <w:i/>
          <w:iCs/>
        </w:rPr>
      </w:pPr>
    </w:p>
    <w:p w:rsidR="00C936E7" w:rsidRDefault="00C936E7" w:rsidP="0004302A">
      <w:pPr>
        <w:spacing w:line="276" w:lineRule="auto"/>
        <w:jc w:val="both"/>
        <w:rPr>
          <w:rFonts w:asciiTheme="majorBidi" w:hAnsiTheme="majorBidi" w:cstheme="majorBidi"/>
          <w:i/>
          <w:iCs/>
        </w:rPr>
      </w:pPr>
    </w:p>
    <w:p w:rsidR="00C936E7" w:rsidRDefault="00C936E7" w:rsidP="0004302A">
      <w:pPr>
        <w:spacing w:line="276" w:lineRule="auto"/>
        <w:jc w:val="both"/>
        <w:rPr>
          <w:rFonts w:asciiTheme="majorBidi" w:hAnsiTheme="majorBidi" w:cstheme="majorBidi"/>
          <w:i/>
          <w:iCs/>
        </w:rPr>
      </w:pPr>
    </w:p>
    <w:p w:rsidR="00C936E7" w:rsidRDefault="00C936E7" w:rsidP="0004302A">
      <w:pPr>
        <w:spacing w:line="276" w:lineRule="auto"/>
        <w:jc w:val="both"/>
        <w:rPr>
          <w:rFonts w:asciiTheme="majorBidi" w:hAnsiTheme="majorBidi" w:cstheme="majorBidi"/>
          <w:i/>
          <w:iCs/>
        </w:rPr>
      </w:pPr>
    </w:p>
    <w:p w:rsidR="00C936E7" w:rsidRDefault="00C936E7" w:rsidP="0004302A">
      <w:pPr>
        <w:spacing w:line="276" w:lineRule="auto"/>
        <w:jc w:val="both"/>
        <w:rPr>
          <w:rFonts w:asciiTheme="majorBidi" w:hAnsiTheme="majorBidi" w:cstheme="majorBidi"/>
          <w:i/>
          <w:iCs/>
        </w:rPr>
      </w:pPr>
    </w:p>
    <w:p w:rsidR="00C936E7" w:rsidRDefault="00C936E7" w:rsidP="0004302A">
      <w:pPr>
        <w:spacing w:line="276" w:lineRule="auto"/>
        <w:jc w:val="both"/>
        <w:rPr>
          <w:rFonts w:asciiTheme="majorBidi" w:hAnsiTheme="majorBidi" w:cstheme="majorBidi"/>
          <w:i/>
          <w:iCs/>
        </w:rPr>
      </w:pPr>
    </w:p>
    <w:p w:rsidR="00C936E7" w:rsidRDefault="00C936E7" w:rsidP="0004302A">
      <w:pPr>
        <w:spacing w:line="276" w:lineRule="auto"/>
        <w:jc w:val="both"/>
        <w:rPr>
          <w:rFonts w:asciiTheme="majorBidi" w:hAnsiTheme="majorBidi" w:cstheme="majorBidi"/>
          <w:i/>
          <w:iCs/>
        </w:rPr>
      </w:pPr>
    </w:p>
    <w:p w:rsidR="00C936E7" w:rsidRDefault="00C936E7" w:rsidP="0004302A">
      <w:pPr>
        <w:spacing w:line="276" w:lineRule="auto"/>
        <w:jc w:val="both"/>
        <w:rPr>
          <w:rFonts w:asciiTheme="majorBidi" w:hAnsiTheme="majorBidi" w:cstheme="majorBidi"/>
          <w:i/>
          <w:iCs/>
        </w:rPr>
      </w:pPr>
    </w:p>
    <w:p w:rsidR="00C936E7" w:rsidRDefault="00C936E7" w:rsidP="0004302A">
      <w:pPr>
        <w:spacing w:line="276" w:lineRule="auto"/>
        <w:jc w:val="both"/>
        <w:rPr>
          <w:rFonts w:asciiTheme="majorBidi" w:hAnsiTheme="majorBidi" w:cstheme="majorBidi"/>
          <w:i/>
          <w:iCs/>
        </w:rPr>
      </w:pPr>
    </w:p>
    <w:p w:rsidR="00C936E7" w:rsidRDefault="00C936E7" w:rsidP="0004302A">
      <w:pPr>
        <w:spacing w:line="276" w:lineRule="auto"/>
        <w:jc w:val="both"/>
        <w:rPr>
          <w:rFonts w:asciiTheme="majorBidi" w:hAnsiTheme="majorBidi" w:cstheme="majorBidi"/>
          <w:i/>
          <w:iCs/>
        </w:rPr>
      </w:pPr>
    </w:p>
    <w:p w:rsidR="00C936E7" w:rsidRDefault="00C936E7" w:rsidP="0004302A">
      <w:pPr>
        <w:spacing w:line="276" w:lineRule="auto"/>
        <w:jc w:val="both"/>
        <w:rPr>
          <w:rFonts w:asciiTheme="majorBidi" w:hAnsiTheme="majorBidi" w:cstheme="majorBidi"/>
          <w:i/>
          <w:iCs/>
        </w:rPr>
      </w:pPr>
    </w:p>
    <w:p w:rsidR="00C936E7" w:rsidRDefault="00C936E7" w:rsidP="0004302A">
      <w:pPr>
        <w:spacing w:line="276" w:lineRule="auto"/>
        <w:jc w:val="both"/>
        <w:rPr>
          <w:rFonts w:asciiTheme="majorBidi" w:hAnsiTheme="majorBidi" w:cstheme="majorBidi"/>
          <w:i/>
          <w:iCs/>
        </w:rPr>
      </w:pPr>
    </w:p>
    <w:p w:rsidR="00C936E7" w:rsidRDefault="00C936E7" w:rsidP="0004302A">
      <w:pPr>
        <w:spacing w:line="276" w:lineRule="auto"/>
        <w:jc w:val="both"/>
        <w:rPr>
          <w:rFonts w:asciiTheme="majorBidi" w:hAnsiTheme="majorBidi" w:cstheme="majorBidi"/>
          <w:i/>
          <w:iCs/>
        </w:rPr>
      </w:pPr>
    </w:p>
    <w:p w:rsidR="00C936E7" w:rsidRDefault="00C936E7" w:rsidP="0004302A">
      <w:pPr>
        <w:spacing w:line="276" w:lineRule="auto"/>
        <w:jc w:val="center"/>
        <w:rPr>
          <w:rFonts w:asciiTheme="majorBidi" w:hAnsiTheme="majorBidi" w:cstheme="majorBidi"/>
          <w:b/>
          <w:bCs/>
        </w:rPr>
      </w:pPr>
      <w:r>
        <w:rPr>
          <w:rFonts w:asciiTheme="majorBidi" w:hAnsiTheme="majorBidi" w:cstheme="majorBidi"/>
          <w:b/>
          <w:bCs/>
        </w:rPr>
        <w:t>CAMILA FLORES OPORTO</w:t>
      </w:r>
    </w:p>
    <w:p w:rsidR="00C936E7" w:rsidRPr="00C936E7" w:rsidRDefault="00C936E7" w:rsidP="0004302A">
      <w:pPr>
        <w:spacing w:line="276" w:lineRule="auto"/>
        <w:jc w:val="center"/>
        <w:rPr>
          <w:rFonts w:asciiTheme="majorBidi" w:hAnsiTheme="majorBidi" w:cstheme="majorBidi"/>
          <w:b/>
          <w:bCs/>
        </w:rPr>
      </w:pPr>
      <w:r>
        <w:rPr>
          <w:rFonts w:asciiTheme="majorBidi" w:hAnsiTheme="majorBidi" w:cstheme="majorBidi"/>
          <w:b/>
          <w:bCs/>
        </w:rPr>
        <w:t>DIPUTADA</w:t>
      </w:r>
    </w:p>
    <w:sectPr w:rsidR="00C936E7" w:rsidRPr="00C936E7" w:rsidSect="00256034">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1CD" w:rsidRDefault="007001CD" w:rsidP="00A1713A">
      <w:r>
        <w:separator/>
      </w:r>
    </w:p>
  </w:endnote>
  <w:endnote w:type="continuationSeparator" w:id="0">
    <w:p w:rsidR="007001CD" w:rsidRDefault="007001CD" w:rsidP="00A1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222594948"/>
      <w:docPartObj>
        <w:docPartGallery w:val="Page Numbers (Bottom of Page)"/>
        <w:docPartUnique/>
      </w:docPartObj>
    </w:sdtPr>
    <w:sdtEndPr>
      <w:rPr>
        <w:rStyle w:val="Nmerodepgina"/>
      </w:rPr>
    </w:sdtEndPr>
    <w:sdtContent>
      <w:p w:rsidR="00A1713A" w:rsidRDefault="00A1713A" w:rsidP="001767A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1713A" w:rsidRDefault="00A171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Theme="majorBidi" w:hAnsiTheme="majorBidi" w:cstheme="majorBidi"/>
      </w:rPr>
      <w:id w:val="930314381"/>
      <w:docPartObj>
        <w:docPartGallery w:val="Page Numbers (Bottom of Page)"/>
        <w:docPartUnique/>
      </w:docPartObj>
    </w:sdtPr>
    <w:sdtEndPr>
      <w:rPr>
        <w:rStyle w:val="Nmerodepgina"/>
      </w:rPr>
    </w:sdtEndPr>
    <w:sdtContent>
      <w:p w:rsidR="00A1713A" w:rsidRPr="00A1713A" w:rsidRDefault="00A1713A" w:rsidP="001767A4">
        <w:pPr>
          <w:pStyle w:val="Piedepgina"/>
          <w:framePr w:wrap="none" w:vAnchor="text" w:hAnchor="margin" w:xAlign="center" w:y="1"/>
          <w:rPr>
            <w:rStyle w:val="Nmerodepgina"/>
            <w:rFonts w:asciiTheme="majorBidi" w:hAnsiTheme="majorBidi" w:cstheme="majorBidi"/>
          </w:rPr>
        </w:pPr>
        <w:r w:rsidRPr="00A1713A">
          <w:rPr>
            <w:rStyle w:val="Nmerodepgina"/>
            <w:rFonts w:asciiTheme="majorBidi" w:hAnsiTheme="majorBidi" w:cstheme="majorBidi"/>
          </w:rPr>
          <w:fldChar w:fldCharType="begin"/>
        </w:r>
        <w:r w:rsidRPr="00A1713A">
          <w:rPr>
            <w:rStyle w:val="Nmerodepgina"/>
            <w:rFonts w:asciiTheme="majorBidi" w:hAnsiTheme="majorBidi" w:cstheme="majorBidi"/>
          </w:rPr>
          <w:instrText xml:space="preserve"> PAGE </w:instrText>
        </w:r>
        <w:r w:rsidRPr="00A1713A">
          <w:rPr>
            <w:rStyle w:val="Nmerodepgina"/>
            <w:rFonts w:asciiTheme="majorBidi" w:hAnsiTheme="majorBidi" w:cstheme="majorBidi"/>
          </w:rPr>
          <w:fldChar w:fldCharType="separate"/>
        </w:r>
        <w:r w:rsidR="00F74B72">
          <w:rPr>
            <w:rStyle w:val="Nmerodepgina"/>
            <w:rFonts w:asciiTheme="majorBidi" w:hAnsiTheme="majorBidi" w:cstheme="majorBidi"/>
            <w:noProof/>
          </w:rPr>
          <w:t>1</w:t>
        </w:r>
        <w:r w:rsidRPr="00A1713A">
          <w:rPr>
            <w:rStyle w:val="Nmerodepgina"/>
            <w:rFonts w:asciiTheme="majorBidi" w:hAnsiTheme="majorBidi" w:cstheme="majorBidi"/>
          </w:rPr>
          <w:fldChar w:fldCharType="end"/>
        </w:r>
      </w:p>
    </w:sdtContent>
  </w:sdt>
  <w:p w:rsidR="00A1713A" w:rsidRDefault="00A171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1CD" w:rsidRDefault="007001CD" w:rsidP="00A1713A">
      <w:r>
        <w:separator/>
      </w:r>
    </w:p>
  </w:footnote>
  <w:footnote w:type="continuationSeparator" w:id="0">
    <w:p w:rsidR="007001CD" w:rsidRDefault="007001CD" w:rsidP="00A17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1646"/>
    <w:multiLevelType w:val="hybridMultilevel"/>
    <w:tmpl w:val="FA4CFA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7A2067B"/>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18423C4"/>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12"/>
    <w:rsid w:val="0004302A"/>
    <w:rsid w:val="000F2B04"/>
    <w:rsid w:val="001F00C8"/>
    <w:rsid w:val="0022009E"/>
    <w:rsid w:val="00222440"/>
    <w:rsid w:val="00256034"/>
    <w:rsid w:val="003346E3"/>
    <w:rsid w:val="003F429F"/>
    <w:rsid w:val="00425D04"/>
    <w:rsid w:val="00484666"/>
    <w:rsid w:val="004A7E79"/>
    <w:rsid w:val="00561184"/>
    <w:rsid w:val="00576764"/>
    <w:rsid w:val="005C417F"/>
    <w:rsid w:val="006616E6"/>
    <w:rsid w:val="0067461C"/>
    <w:rsid w:val="0067766E"/>
    <w:rsid w:val="00677F71"/>
    <w:rsid w:val="006D586D"/>
    <w:rsid w:val="007001CD"/>
    <w:rsid w:val="00824E2C"/>
    <w:rsid w:val="00855076"/>
    <w:rsid w:val="008A4B30"/>
    <w:rsid w:val="009E4812"/>
    <w:rsid w:val="00A1713A"/>
    <w:rsid w:val="00B11701"/>
    <w:rsid w:val="00B32C0F"/>
    <w:rsid w:val="00C20D4F"/>
    <w:rsid w:val="00C936E7"/>
    <w:rsid w:val="00CB55CB"/>
    <w:rsid w:val="00D13383"/>
    <w:rsid w:val="00D740E7"/>
    <w:rsid w:val="00D9090B"/>
    <w:rsid w:val="00DA2795"/>
    <w:rsid w:val="00E165F3"/>
    <w:rsid w:val="00E92377"/>
    <w:rsid w:val="00F16851"/>
    <w:rsid w:val="00F74B72"/>
    <w:rsid w:val="00FA6EEA"/>
    <w:rsid w:val="00FB6D13"/>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9BA24DF-D225-544F-804B-620D0CB1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812"/>
    <w:pPr>
      <w:ind w:left="720"/>
      <w:contextualSpacing/>
    </w:pPr>
  </w:style>
  <w:style w:type="paragraph" w:styleId="Piedepgina">
    <w:name w:val="footer"/>
    <w:basedOn w:val="Normal"/>
    <w:link w:val="PiedepginaCar"/>
    <w:uiPriority w:val="99"/>
    <w:unhideWhenUsed/>
    <w:rsid w:val="00A1713A"/>
    <w:pPr>
      <w:tabs>
        <w:tab w:val="center" w:pos="4419"/>
        <w:tab w:val="right" w:pos="8838"/>
      </w:tabs>
    </w:pPr>
  </w:style>
  <w:style w:type="character" w:customStyle="1" w:styleId="PiedepginaCar">
    <w:name w:val="Pie de página Car"/>
    <w:basedOn w:val="Fuentedeprrafopredeter"/>
    <w:link w:val="Piedepgina"/>
    <w:uiPriority w:val="99"/>
    <w:rsid w:val="00A1713A"/>
  </w:style>
  <w:style w:type="character" w:styleId="Nmerodepgina">
    <w:name w:val="page number"/>
    <w:basedOn w:val="Fuentedeprrafopredeter"/>
    <w:uiPriority w:val="99"/>
    <w:semiHidden/>
    <w:unhideWhenUsed/>
    <w:rsid w:val="00A1713A"/>
  </w:style>
  <w:style w:type="paragraph" w:styleId="Encabezado">
    <w:name w:val="header"/>
    <w:basedOn w:val="Normal"/>
    <w:link w:val="EncabezadoCar"/>
    <w:uiPriority w:val="99"/>
    <w:unhideWhenUsed/>
    <w:rsid w:val="00A1713A"/>
    <w:pPr>
      <w:tabs>
        <w:tab w:val="center" w:pos="4419"/>
        <w:tab w:val="right" w:pos="8838"/>
      </w:tabs>
    </w:pPr>
  </w:style>
  <w:style w:type="character" w:customStyle="1" w:styleId="EncabezadoCar">
    <w:name w:val="Encabezado Car"/>
    <w:basedOn w:val="Fuentedeprrafopredeter"/>
    <w:link w:val="Encabezado"/>
    <w:uiPriority w:val="99"/>
    <w:rsid w:val="00A1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Gómez Corvalán</dc:creator>
  <cp:keywords/>
  <dc:description/>
  <cp:lastModifiedBy>Leonardo Lueiza Ureta</cp:lastModifiedBy>
  <cp:revision>4</cp:revision>
  <dcterms:created xsi:type="dcterms:W3CDTF">2018-06-07T19:55:00Z</dcterms:created>
  <dcterms:modified xsi:type="dcterms:W3CDTF">2018-06-12T17:06:00Z</dcterms:modified>
</cp:coreProperties>
</file>