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3E" w:rsidRPr="00DA66E7" w:rsidRDefault="007D7A1A" w:rsidP="007D7A1A">
      <w:pPr>
        <w:spacing w:line="276" w:lineRule="auto"/>
        <w:jc w:val="center"/>
        <w:rPr>
          <w:rFonts w:ascii="Bookman Old Style" w:hAnsi="Bookman Old Style"/>
          <w:b/>
        </w:rPr>
      </w:pPr>
      <w:r w:rsidRPr="007D7A1A">
        <w:rPr>
          <w:rFonts w:ascii="Bookman Old Style" w:hAnsi="Bookman Old Style"/>
          <w:b/>
        </w:rPr>
        <w:t>Modifica la ley N° 19.638, que Establece normas sobre constitución jurídica de las iglesias y organizaciones religiosas, para permitir la postulación de estas entidades a fondos públicos en igualdad de condiciones</w:t>
      </w:r>
    </w:p>
    <w:p w:rsidR="00C20211" w:rsidRPr="00076D5B" w:rsidRDefault="00C20211" w:rsidP="007D7A1A">
      <w:pPr>
        <w:spacing w:line="360" w:lineRule="auto"/>
        <w:jc w:val="center"/>
        <w:rPr>
          <w:rFonts w:ascii="Cambria" w:hAnsi="Cambria"/>
          <w:b/>
          <w:sz w:val="12"/>
        </w:rPr>
      </w:pPr>
    </w:p>
    <w:p w:rsidR="00EB187C" w:rsidRPr="00DF1545" w:rsidRDefault="007D7A1A" w:rsidP="007D7A1A">
      <w:pPr>
        <w:spacing w:line="360" w:lineRule="auto"/>
        <w:jc w:val="center"/>
        <w:rPr>
          <w:rFonts w:ascii="Bookman Old Style" w:hAnsi="Bookman Old Style"/>
          <w:b/>
        </w:rPr>
      </w:pPr>
      <w:r>
        <w:rPr>
          <w:rFonts w:ascii="Bookman Old Style" w:hAnsi="Bookman Old Style"/>
          <w:b/>
        </w:rPr>
        <w:t>Boletín N°11808-07</w:t>
      </w:r>
      <w:bookmarkStart w:id="0" w:name="_GoBack"/>
      <w:bookmarkEnd w:id="0"/>
    </w:p>
    <w:p w:rsidR="005F1EAA" w:rsidRPr="005F1EAA" w:rsidRDefault="005F1EAA" w:rsidP="004506E0">
      <w:pPr>
        <w:spacing w:line="360" w:lineRule="auto"/>
        <w:jc w:val="both"/>
        <w:rPr>
          <w:rFonts w:ascii="Bookman Old Style" w:hAnsi="Bookman Old Style"/>
          <w:b/>
          <w:sz w:val="22"/>
          <w:szCs w:val="22"/>
        </w:rPr>
      </w:pPr>
      <w:r w:rsidRPr="005F1EAA">
        <w:rPr>
          <w:rFonts w:ascii="Bookman Old Style" w:hAnsi="Bookman Old Style"/>
          <w:b/>
          <w:sz w:val="22"/>
          <w:szCs w:val="22"/>
        </w:rPr>
        <w:t>1.- Antecedentes</w:t>
      </w:r>
    </w:p>
    <w:p w:rsidR="005F1EAA" w:rsidRDefault="005F1EAA" w:rsidP="004506E0">
      <w:pPr>
        <w:spacing w:line="360" w:lineRule="auto"/>
        <w:jc w:val="both"/>
        <w:rPr>
          <w:rFonts w:ascii="Bookman Old Style" w:hAnsi="Bookman Old Style"/>
          <w:sz w:val="22"/>
          <w:szCs w:val="22"/>
        </w:rPr>
      </w:pPr>
    </w:p>
    <w:p w:rsidR="004E3D0E" w:rsidRDefault="00DA66E7" w:rsidP="004506E0">
      <w:pPr>
        <w:spacing w:line="360" w:lineRule="auto"/>
        <w:ind w:firstLine="708"/>
        <w:jc w:val="both"/>
        <w:rPr>
          <w:rFonts w:ascii="Bookman Old Style" w:hAnsi="Bookman Old Style"/>
          <w:sz w:val="22"/>
          <w:szCs w:val="22"/>
        </w:rPr>
      </w:pPr>
      <w:r>
        <w:rPr>
          <w:rFonts w:ascii="Bookman Old Style" w:hAnsi="Bookman Old Style"/>
          <w:sz w:val="22"/>
          <w:szCs w:val="22"/>
        </w:rPr>
        <w:t xml:space="preserve">La Constitución Política de la República de Chile asegura a todas las personas, en su artículo 19 n°6, la libertad de conciencia, la manifestación de todas las creencias y el ejercicio libre de todos los cultos que no se opongan a la  moral, a las buenas costumbres o al orden público. </w:t>
      </w:r>
    </w:p>
    <w:p w:rsidR="002156A0" w:rsidRDefault="002156A0" w:rsidP="004506E0">
      <w:pPr>
        <w:spacing w:line="360" w:lineRule="auto"/>
        <w:ind w:firstLine="708"/>
        <w:jc w:val="both"/>
        <w:rPr>
          <w:rFonts w:ascii="Bookman Old Style" w:hAnsi="Bookman Old Style"/>
          <w:sz w:val="22"/>
          <w:szCs w:val="22"/>
        </w:rPr>
      </w:pPr>
    </w:p>
    <w:p w:rsidR="002156A0" w:rsidRDefault="002156A0" w:rsidP="004506E0">
      <w:pPr>
        <w:spacing w:line="360" w:lineRule="auto"/>
        <w:ind w:firstLine="708"/>
        <w:jc w:val="both"/>
        <w:rPr>
          <w:rFonts w:ascii="Bookman Old Style" w:hAnsi="Bookman Old Style"/>
          <w:sz w:val="22"/>
          <w:szCs w:val="22"/>
        </w:rPr>
      </w:pPr>
      <w:r>
        <w:rPr>
          <w:rFonts w:ascii="Bookman Old Style" w:hAnsi="Bookman Old Style"/>
          <w:sz w:val="22"/>
          <w:szCs w:val="22"/>
        </w:rPr>
        <w:t xml:space="preserve">Se trata de un derecho fundamental reconocido expresamente en importantes cuerpos e instrumentos normativos, tanto nacionales como internacionales. Así, por ejemplo, la Convención Americana sobre Derechos Humanos (también conocida como "Pacto de San José de Costa Rica") reconoce abiertamente en su artículo 12 que toda persona tiene derecho a la </w:t>
      </w:r>
      <w:proofErr w:type="gramStart"/>
      <w:r>
        <w:rPr>
          <w:rFonts w:ascii="Bookman Old Style" w:hAnsi="Bookman Old Style"/>
          <w:sz w:val="22"/>
          <w:szCs w:val="22"/>
        </w:rPr>
        <w:t>libertad</w:t>
      </w:r>
      <w:proofErr w:type="gramEnd"/>
      <w:r>
        <w:rPr>
          <w:rFonts w:ascii="Bookman Old Style" w:hAnsi="Bookman Old Style"/>
          <w:sz w:val="22"/>
          <w:szCs w:val="22"/>
        </w:rPr>
        <w:t xml:space="preserve"> de conciencia y de religión. </w:t>
      </w:r>
    </w:p>
    <w:p w:rsidR="008A1A8F" w:rsidRDefault="008A1A8F" w:rsidP="004506E0">
      <w:pPr>
        <w:spacing w:line="360" w:lineRule="auto"/>
        <w:ind w:firstLine="708"/>
        <w:jc w:val="both"/>
        <w:rPr>
          <w:rFonts w:ascii="Bookman Old Style" w:hAnsi="Bookman Old Style"/>
          <w:sz w:val="22"/>
          <w:szCs w:val="22"/>
        </w:rPr>
      </w:pPr>
    </w:p>
    <w:p w:rsidR="008A1A8F" w:rsidRPr="008A1A8F" w:rsidRDefault="008A1A8F" w:rsidP="004506E0">
      <w:pPr>
        <w:spacing w:line="360" w:lineRule="auto"/>
        <w:ind w:firstLine="708"/>
        <w:jc w:val="both"/>
        <w:rPr>
          <w:rFonts w:ascii="Bookman Old Style" w:hAnsi="Bookman Old Style"/>
          <w:sz w:val="22"/>
          <w:szCs w:val="22"/>
        </w:rPr>
      </w:pPr>
      <w:r>
        <w:rPr>
          <w:rFonts w:ascii="Bookman Old Style" w:hAnsi="Bookman Old Style"/>
          <w:sz w:val="22"/>
          <w:szCs w:val="22"/>
        </w:rPr>
        <w:t>"</w:t>
      </w:r>
      <w:r w:rsidRPr="008A1A8F">
        <w:rPr>
          <w:rFonts w:ascii="Bookman Old Style" w:hAnsi="Bookman Old Style"/>
          <w:i/>
          <w:sz w:val="22"/>
          <w:szCs w:val="22"/>
        </w:rPr>
        <w:t>En ese sentido, el derecho internacional de los derechos humanos prohíbe al estado forzar a las personas que se encuentran bajo su jurisdicción a adoptar una determinada creencia o bien cambiarla. Además, el mismo obliga a los estados a implementar una serie de medidas legislativas que permitan a las personas, de forma individual o asociada, ejercer en plenitud sus creencias religiosas en el ámbito tanto de lo privado como de lo público, con pleno respeto a las exigencias del bien común</w:t>
      </w:r>
      <w:r>
        <w:rPr>
          <w:rFonts w:ascii="Bookman Old Style" w:hAnsi="Bookman Old Style"/>
          <w:sz w:val="22"/>
          <w:szCs w:val="22"/>
        </w:rPr>
        <w:t>"</w:t>
      </w:r>
      <w:r>
        <w:rPr>
          <w:rStyle w:val="Refdenotaalpie"/>
          <w:rFonts w:ascii="Bookman Old Style" w:hAnsi="Bookman Old Style"/>
          <w:sz w:val="22"/>
          <w:szCs w:val="22"/>
        </w:rPr>
        <w:footnoteReference w:id="1"/>
      </w:r>
      <w:r>
        <w:rPr>
          <w:rFonts w:ascii="Bookman Old Style" w:hAnsi="Bookman Old Style"/>
          <w:sz w:val="22"/>
          <w:szCs w:val="22"/>
        </w:rPr>
        <w:t xml:space="preserve">. </w:t>
      </w:r>
    </w:p>
    <w:p w:rsidR="00DA66E7" w:rsidRDefault="00DA66E7" w:rsidP="004506E0">
      <w:pPr>
        <w:spacing w:line="360" w:lineRule="auto"/>
        <w:ind w:firstLine="708"/>
        <w:jc w:val="both"/>
        <w:rPr>
          <w:rFonts w:ascii="Bookman Old Style" w:hAnsi="Bookman Old Style"/>
          <w:sz w:val="22"/>
          <w:szCs w:val="22"/>
        </w:rPr>
      </w:pPr>
    </w:p>
    <w:p w:rsidR="00BE77E4" w:rsidRDefault="004506E0" w:rsidP="004506E0">
      <w:pPr>
        <w:spacing w:line="360" w:lineRule="auto"/>
        <w:ind w:firstLine="708"/>
        <w:jc w:val="both"/>
        <w:rPr>
          <w:rFonts w:ascii="Bookman Old Style" w:hAnsi="Bookman Old Style"/>
          <w:sz w:val="22"/>
          <w:szCs w:val="22"/>
        </w:rPr>
      </w:pPr>
      <w:r>
        <w:rPr>
          <w:rFonts w:ascii="Bookman Old Style" w:hAnsi="Bookman Old Style"/>
          <w:sz w:val="22"/>
          <w:szCs w:val="22"/>
        </w:rPr>
        <w:t>En Occidente siempre se ha valorado la libertad de las personas, libertad que también alcanza su fuero interno, su conciencia y sus creencias.</w:t>
      </w:r>
    </w:p>
    <w:p w:rsidR="00DA66E7" w:rsidRDefault="004506E0" w:rsidP="004506E0">
      <w:pPr>
        <w:spacing w:line="360" w:lineRule="auto"/>
        <w:ind w:firstLine="708"/>
        <w:jc w:val="both"/>
        <w:rPr>
          <w:rFonts w:ascii="Bookman Old Style" w:hAnsi="Bookman Old Style"/>
          <w:sz w:val="22"/>
          <w:szCs w:val="22"/>
        </w:rPr>
      </w:pPr>
      <w:r>
        <w:rPr>
          <w:rFonts w:ascii="Bookman Old Style" w:hAnsi="Bookman Old Style"/>
          <w:sz w:val="22"/>
          <w:szCs w:val="22"/>
        </w:rPr>
        <w:lastRenderedPageBreak/>
        <w:t>Al respecto, e</w:t>
      </w:r>
      <w:r w:rsidR="009F256F">
        <w:rPr>
          <w:rFonts w:ascii="Bookman Old Style" w:hAnsi="Bookman Old Style"/>
          <w:sz w:val="22"/>
          <w:szCs w:val="22"/>
        </w:rPr>
        <w:t>l</w:t>
      </w:r>
      <w:r w:rsidR="00DA66E7">
        <w:rPr>
          <w:rFonts w:ascii="Bookman Old Style" w:hAnsi="Bookman Old Style"/>
          <w:sz w:val="22"/>
          <w:szCs w:val="22"/>
        </w:rPr>
        <w:t xml:space="preserve"> profesor </w:t>
      </w:r>
      <w:r w:rsidR="00723CB4">
        <w:rPr>
          <w:rFonts w:ascii="Bookman Old Style" w:hAnsi="Bookman Old Style"/>
          <w:sz w:val="22"/>
          <w:szCs w:val="22"/>
        </w:rPr>
        <w:t xml:space="preserve">de Derecho Constitucional </w:t>
      </w:r>
      <w:r w:rsidR="00DA66E7">
        <w:rPr>
          <w:rFonts w:ascii="Bookman Old Style" w:hAnsi="Bookman Old Style"/>
          <w:sz w:val="22"/>
          <w:szCs w:val="22"/>
        </w:rPr>
        <w:t>Carlos Cruz-</w:t>
      </w:r>
      <w:proofErr w:type="spellStart"/>
      <w:r w:rsidR="00DA66E7">
        <w:rPr>
          <w:rFonts w:ascii="Bookman Old Style" w:hAnsi="Bookman Old Style"/>
          <w:sz w:val="22"/>
          <w:szCs w:val="22"/>
        </w:rPr>
        <w:t>Coke</w:t>
      </w:r>
      <w:proofErr w:type="spellEnd"/>
      <w:r w:rsidR="00DA66E7">
        <w:rPr>
          <w:rFonts w:ascii="Bookman Old Style" w:hAnsi="Bookman Old Style"/>
          <w:sz w:val="22"/>
          <w:szCs w:val="22"/>
        </w:rPr>
        <w:t xml:space="preserve"> Ossa</w:t>
      </w:r>
      <w:r w:rsidR="00723CB4">
        <w:rPr>
          <w:rFonts w:ascii="Bookman Old Style" w:hAnsi="Bookman Old Style"/>
          <w:sz w:val="22"/>
          <w:szCs w:val="22"/>
        </w:rPr>
        <w:t xml:space="preserve"> </w:t>
      </w:r>
      <w:r w:rsidR="004C5089">
        <w:rPr>
          <w:rFonts w:ascii="Bookman Old Style" w:hAnsi="Bookman Old Style"/>
          <w:sz w:val="22"/>
          <w:szCs w:val="22"/>
        </w:rPr>
        <w:t>señala</w:t>
      </w:r>
      <w:r w:rsidR="00723CB4">
        <w:rPr>
          <w:rFonts w:ascii="Bookman Old Style" w:hAnsi="Bookman Old Style"/>
          <w:sz w:val="22"/>
          <w:szCs w:val="22"/>
        </w:rPr>
        <w:t xml:space="preserve"> </w:t>
      </w:r>
      <w:r w:rsidR="009F256F">
        <w:rPr>
          <w:rFonts w:ascii="Bookman Old Style" w:hAnsi="Bookman Old Style"/>
          <w:sz w:val="22"/>
          <w:szCs w:val="22"/>
        </w:rPr>
        <w:t>lo siguiente</w:t>
      </w:r>
      <w:r w:rsidR="00DA66E7">
        <w:rPr>
          <w:rFonts w:ascii="Bookman Old Style" w:hAnsi="Bookman Old Style"/>
          <w:sz w:val="22"/>
          <w:szCs w:val="22"/>
        </w:rPr>
        <w:t>: "</w:t>
      </w:r>
      <w:r w:rsidR="00DA66E7" w:rsidRPr="00DA66E7">
        <w:rPr>
          <w:rFonts w:ascii="Bookman Old Style" w:hAnsi="Bookman Old Style"/>
          <w:i/>
          <w:sz w:val="22"/>
          <w:szCs w:val="22"/>
        </w:rPr>
        <w:t>(...)</w:t>
      </w:r>
      <w:r w:rsidR="00DA66E7">
        <w:rPr>
          <w:rFonts w:ascii="Bookman Old Style" w:hAnsi="Bookman Old Style"/>
          <w:sz w:val="22"/>
          <w:szCs w:val="22"/>
        </w:rPr>
        <w:t xml:space="preserve"> </w:t>
      </w:r>
      <w:r w:rsidR="00DA66E7" w:rsidRPr="00DA66E7">
        <w:rPr>
          <w:rFonts w:ascii="Bookman Old Style" w:hAnsi="Bookman Old Style"/>
          <w:i/>
          <w:sz w:val="22"/>
          <w:szCs w:val="22"/>
        </w:rPr>
        <w:t>la</w:t>
      </w:r>
      <w:r w:rsidR="00DA66E7">
        <w:rPr>
          <w:rFonts w:ascii="Bookman Old Style" w:hAnsi="Bookman Old Style"/>
          <w:sz w:val="22"/>
          <w:szCs w:val="22"/>
        </w:rPr>
        <w:t xml:space="preserve"> </w:t>
      </w:r>
      <w:r w:rsidR="00DA66E7" w:rsidRPr="00DA66E7">
        <w:rPr>
          <w:rFonts w:ascii="Bookman Old Style" w:hAnsi="Bookman Old Style"/>
          <w:i/>
          <w:sz w:val="22"/>
          <w:szCs w:val="22"/>
        </w:rPr>
        <w:t>libertad</w:t>
      </w:r>
      <w:r w:rsidR="00DA66E7">
        <w:rPr>
          <w:rFonts w:ascii="Bookman Old Style" w:hAnsi="Bookman Old Style"/>
          <w:sz w:val="22"/>
          <w:szCs w:val="22"/>
        </w:rPr>
        <w:t xml:space="preserve"> </w:t>
      </w:r>
      <w:r w:rsidR="00DA66E7" w:rsidRPr="00DA66E7">
        <w:rPr>
          <w:rFonts w:ascii="Bookman Old Style" w:hAnsi="Bookman Old Style"/>
          <w:i/>
          <w:sz w:val="22"/>
          <w:szCs w:val="22"/>
        </w:rPr>
        <w:t>de</w:t>
      </w:r>
      <w:r w:rsidR="00DA66E7">
        <w:rPr>
          <w:rFonts w:ascii="Bookman Old Style" w:hAnsi="Bookman Old Style"/>
          <w:sz w:val="22"/>
          <w:szCs w:val="22"/>
        </w:rPr>
        <w:t xml:space="preserve"> </w:t>
      </w:r>
      <w:r w:rsidR="00DA66E7" w:rsidRPr="00DA66E7">
        <w:rPr>
          <w:rFonts w:ascii="Bookman Old Style" w:hAnsi="Bookman Old Style"/>
          <w:i/>
          <w:sz w:val="22"/>
          <w:szCs w:val="22"/>
        </w:rPr>
        <w:t>conciencia</w:t>
      </w:r>
      <w:r w:rsidR="00DA66E7">
        <w:rPr>
          <w:rFonts w:ascii="Bookman Old Style" w:hAnsi="Bookman Old Style"/>
          <w:sz w:val="22"/>
          <w:szCs w:val="22"/>
        </w:rPr>
        <w:t xml:space="preserve"> </w:t>
      </w:r>
      <w:r w:rsidR="00DA66E7" w:rsidRPr="00DA66E7">
        <w:rPr>
          <w:rFonts w:ascii="Bookman Old Style" w:hAnsi="Bookman Old Style"/>
          <w:i/>
          <w:sz w:val="22"/>
          <w:szCs w:val="22"/>
        </w:rPr>
        <w:t>vendría</w:t>
      </w:r>
      <w:r w:rsidR="00DA66E7">
        <w:rPr>
          <w:rFonts w:ascii="Bookman Old Style" w:hAnsi="Bookman Old Style"/>
          <w:i/>
          <w:sz w:val="22"/>
          <w:szCs w:val="22"/>
        </w:rPr>
        <w:t xml:space="preserve"> a constituir todas aquellas exteriorizaciones de pensamiento que muestren la existencia de una fe religiosa, sea mediante su manifestación, práctica o enseñanza</w:t>
      </w:r>
      <w:r w:rsidR="00DA66E7">
        <w:rPr>
          <w:rFonts w:ascii="Bookman Old Style" w:hAnsi="Bookman Old Style"/>
          <w:sz w:val="22"/>
          <w:szCs w:val="22"/>
        </w:rPr>
        <w:t>"</w:t>
      </w:r>
      <w:r w:rsidR="003B683D">
        <w:rPr>
          <w:rStyle w:val="Refdenotaalpie"/>
          <w:rFonts w:ascii="Bookman Old Style" w:hAnsi="Bookman Old Style"/>
          <w:sz w:val="22"/>
          <w:szCs w:val="22"/>
        </w:rPr>
        <w:footnoteReference w:id="2"/>
      </w:r>
      <w:r w:rsidR="00DA66E7">
        <w:rPr>
          <w:rFonts w:ascii="Bookman Old Style" w:hAnsi="Bookman Old Style"/>
          <w:sz w:val="22"/>
          <w:szCs w:val="22"/>
        </w:rPr>
        <w:t>.</w:t>
      </w:r>
    </w:p>
    <w:p w:rsidR="004506E0" w:rsidRDefault="004506E0" w:rsidP="004506E0">
      <w:pPr>
        <w:spacing w:line="360" w:lineRule="auto"/>
        <w:ind w:firstLine="708"/>
        <w:jc w:val="both"/>
        <w:rPr>
          <w:rFonts w:ascii="Bookman Old Style" w:hAnsi="Bookman Old Style"/>
          <w:sz w:val="22"/>
          <w:szCs w:val="22"/>
        </w:rPr>
      </w:pPr>
    </w:p>
    <w:p w:rsidR="00DA66E7" w:rsidRPr="00DA66E7" w:rsidRDefault="00723CB4" w:rsidP="004506E0">
      <w:pPr>
        <w:spacing w:line="360" w:lineRule="auto"/>
        <w:ind w:firstLine="708"/>
        <w:jc w:val="both"/>
        <w:rPr>
          <w:rFonts w:ascii="Bookman Old Style" w:hAnsi="Bookman Old Style"/>
          <w:sz w:val="22"/>
          <w:szCs w:val="22"/>
        </w:rPr>
      </w:pPr>
      <w:r>
        <w:rPr>
          <w:rFonts w:ascii="Bookman Old Style" w:hAnsi="Bookman Old Style"/>
          <w:sz w:val="22"/>
          <w:szCs w:val="22"/>
        </w:rPr>
        <w:t xml:space="preserve">Luego, </w:t>
      </w:r>
      <w:r w:rsidR="003B683D">
        <w:rPr>
          <w:rFonts w:ascii="Bookman Old Style" w:hAnsi="Bookman Old Style"/>
          <w:sz w:val="22"/>
          <w:szCs w:val="22"/>
        </w:rPr>
        <w:t>refirié</w:t>
      </w:r>
      <w:r w:rsidR="00DA66E7">
        <w:rPr>
          <w:rFonts w:ascii="Bookman Old Style" w:hAnsi="Bookman Old Style"/>
          <w:sz w:val="22"/>
          <w:szCs w:val="22"/>
        </w:rPr>
        <w:t xml:space="preserve">ndose </w:t>
      </w:r>
      <w:r w:rsidR="003B683D">
        <w:rPr>
          <w:rFonts w:ascii="Bookman Old Style" w:hAnsi="Bookman Old Style"/>
          <w:sz w:val="22"/>
          <w:szCs w:val="22"/>
        </w:rPr>
        <w:t>a la Comisión de Estudios de la Nueva Constitución (Comisión Ortúzar</w:t>
      </w:r>
      <w:r>
        <w:rPr>
          <w:rFonts w:ascii="Bookman Old Style" w:hAnsi="Bookman Old Style"/>
          <w:sz w:val="22"/>
          <w:szCs w:val="22"/>
        </w:rPr>
        <w:t xml:space="preserve">), </w:t>
      </w:r>
      <w:r w:rsidR="009F256F">
        <w:rPr>
          <w:rFonts w:ascii="Bookman Old Style" w:hAnsi="Bookman Old Style"/>
          <w:sz w:val="22"/>
          <w:szCs w:val="22"/>
        </w:rPr>
        <w:t>nos dice</w:t>
      </w:r>
      <w:r w:rsidR="003B683D">
        <w:rPr>
          <w:rFonts w:ascii="Bookman Old Style" w:hAnsi="Bookman Old Style"/>
          <w:sz w:val="22"/>
          <w:szCs w:val="22"/>
        </w:rPr>
        <w:t xml:space="preserve">: </w:t>
      </w:r>
      <w:r w:rsidR="00DA66E7">
        <w:rPr>
          <w:rFonts w:ascii="Bookman Old Style" w:hAnsi="Bookman Old Style"/>
          <w:sz w:val="22"/>
          <w:szCs w:val="22"/>
        </w:rPr>
        <w:t>"</w:t>
      </w:r>
      <w:r w:rsidR="003B683D">
        <w:rPr>
          <w:rFonts w:ascii="Bookman Old Style" w:hAnsi="Bookman Old Style"/>
          <w:sz w:val="22"/>
          <w:szCs w:val="22"/>
        </w:rPr>
        <w:t>(</w:t>
      </w:r>
      <w:proofErr w:type="gramStart"/>
      <w:r w:rsidR="003B683D">
        <w:rPr>
          <w:rFonts w:ascii="Bookman Old Style" w:hAnsi="Bookman Old Style"/>
          <w:sz w:val="22"/>
          <w:szCs w:val="22"/>
        </w:rPr>
        <w:t>..)</w:t>
      </w:r>
      <w:proofErr w:type="gramEnd"/>
      <w:r w:rsidR="003B683D">
        <w:rPr>
          <w:rFonts w:ascii="Bookman Old Style" w:hAnsi="Bookman Old Style"/>
          <w:sz w:val="22"/>
          <w:szCs w:val="22"/>
        </w:rPr>
        <w:t xml:space="preserve"> </w:t>
      </w:r>
      <w:proofErr w:type="gramStart"/>
      <w:r w:rsidR="00DA66E7">
        <w:rPr>
          <w:rFonts w:ascii="Bookman Old Style" w:hAnsi="Bookman Old Style"/>
          <w:i/>
          <w:sz w:val="22"/>
          <w:szCs w:val="22"/>
        </w:rPr>
        <w:t>tras</w:t>
      </w:r>
      <w:proofErr w:type="gramEnd"/>
      <w:r w:rsidR="00DA66E7">
        <w:rPr>
          <w:rFonts w:ascii="Bookman Old Style" w:hAnsi="Bookman Old Style"/>
          <w:i/>
          <w:sz w:val="22"/>
          <w:szCs w:val="22"/>
        </w:rPr>
        <w:t xml:space="preserve"> un largo</w:t>
      </w:r>
      <w:r w:rsidR="003B683D">
        <w:rPr>
          <w:rFonts w:ascii="Bookman Old Style" w:hAnsi="Bookman Old Style"/>
          <w:i/>
          <w:sz w:val="22"/>
          <w:szCs w:val="22"/>
        </w:rPr>
        <w:t xml:space="preserve"> e intenso debate, se llegó a la decisión de dejar constancia de que las Iglesias debían gozar de una personalidad jurídica de derecho público, para lo que sólo bastaría que las autoridades competentes reconozcan su carácter de Iglesias o Confesiones, constituyendo así una excepción a la regla general de que las personas jurídicas de derecho público deben ser constituidas por ley (sesiones </w:t>
      </w:r>
      <w:proofErr w:type="spellStart"/>
      <w:r w:rsidR="003B683D">
        <w:rPr>
          <w:rFonts w:ascii="Bookman Old Style" w:hAnsi="Bookman Old Style"/>
          <w:i/>
          <w:sz w:val="22"/>
          <w:szCs w:val="22"/>
        </w:rPr>
        <w:t>Nros</w:t>
      </w:r>
      <w:proofErr w:type="spellEnd"/>
      <w:r w:rsidR="003B683D">
        <w:rPr>
          <w:rFonts w:ascii="Bookman Old Style" w:hAnsi="Bookman Old Style"/>
          <w:i/>
          <w:sz w:val="22"/>
          <w:szCs w:val="22"/>
        </w:rPr>
        <w:t>. 130, 131 y 132)</w:t>
      </w:r>
      <w:r w:rsidR="00DA66E7">
        <w:rPr>
          <w:rFonts w:ascii="Bookman Old Style" w:hAnsi="Bookman Old Style"/>
          <w:sz w:val="22"/>
          <w:szCs w:val="22"/>
        </w:rPr>
        <w:t>"</w:t>
      </w:r>
      <w:r w:rsidR="003B683D">
        <w:rPr>
          <w:rStyle w:val="Refdenotaalpie"/>
          <w:rFonts w:ascii="Bookman Old Style" w:hAnsi="Bookman Old Style"/>
          <w:sz w:val="22"/>
          <w:szCs w:val="22"/>
        </w:rPr>
        <w:footnoteReference w:id="3"/>
      </w:r>
      <w:r w:rsidR="00DA66E7">
        <w:rPr>
          <w:rFonts w:ascii="Bookman Old Style" w:hAnsi="Bookman Old Style"/>
          <w:sz w:val="22"/>
          <w:szCs w:val="22"/>
        </w:rPr>
        <w:t>.</w:t>
      </w:r>
    </w:p>
    <w:p w:rsidR="00DA66E7" w:rsidRDefault="00DA66E7" w:rsidP="004506E0">
      <w:pPr>
        <w:spacing w:line="360" w:lineRule="auto"/>
        <w:ind w:firstLine="708"/>
        <w:jc w:val="both"/>
        <w:rPr>
          <w:rFonts w:ascii="Bookman Old Style" w:hAnsi="Bookman Old Style"/>
          <w:sz w:val="22"/>
          <w:szCs w:val="22"/>
        </w:rPr>
      </w:pPr>
    </w:p>
    <w:p w:rsidR="009837EB" w:rsidRDefault="00DA66E7" w:rsidP="004506E0">
      <w:pPr>
        <w:spacing w:line="360" w:lineRule="auto"/>
        <w:ind w:firstLine="708"/>
        <w:jc w:val="both"/>
        <w:rPr>
          <w:rFonts w:ascii="Bookman Old Style" w:hAnsi="Bookman Old Style"/>
          <w:sz w:val="22"/>
          <w:szCs w:val="22"/>
        </w:rPr>
      </w:pPr>
      <w:r>
        <w:rPr>
          <w:rFonts w:ascii="Bookman Old Style" w:hAnsi="Bookman Old Style"/>
          <w:sz w:val="22"/>
          <w:szCs w:val="22"/>
        </w:rPr>
        <w:t>La Ley 19.638, comúnmente</w:t>
      </w:r>
      <w:r w:rsidR="00723CB4">
        <w:rPr>
          <w:rFonts w:ascii="Bookman Old Style" w:hAnsi="Bookman Old Style"/>
          <w:sz w:val="22"/>
          <w:szCs w:val="22"/>
        </w:rPr>
        <w:t xml:space="preserve"> </w:t>
      </w:r>
      <w:r w:rsidR="009F256F">
        <w:rPr>
          <w:rFonts w:ascii="Bookman Old Style" w:hAnsi="Bookman Old Style"/>
          <w:sz w:val="22"/>
          <w:szCs w:val="22"/>
        </w:rPr>
        <w:t xml:space="preserve">conocida </w:t>
      </w:r>
      <w:r w:rsidR="009837EB">
        <w:rPr>
          <w:rFonts w:ascii="Bookman Old Style" w:hAnsi="Bookman Old Style"/>
          <w:sz w:val="22"/>
          <w:szCs w:val="22"/>
        </w:rPr>
        <w:t>como "Ley de Culto", estableció</w:t>
      </w:r>
      <w:r w:rsidR="00723CB4">
        <w:rPr>
          <w:rFonts w:ascii="Bookman Old Style" w:hAnsi="Bookman Old Style"/>
          <w:sz w:val="22"/>
          <w:szCs w:val="22"/>
        </w:rPr>
        <w:t xml:space="preserve"> </w:t>
      </w:r>
      <w:r w:rsidR="009837EB">
        <w:rPr>
          <w:rFonts w:ascii="Bookman Old Style" w:hAnsi="Bookman Old Style"/>
          <w:sz w:val="22"/>
          <w:szCs w:val="22"/>
        </w:rPr>
        <w:t xml:space="preserve">las </w:t>
      </w:r>
      <w:r w:rsidR="00723CB4">
        <w:rPr>
          <w:rFonts w:ascii="Bookman Old Style" w:hAnsi="Bookman Old Style"/>
          <w:sz w:val="22"/>
          <w:szCs w:val="22"/>
        </w:rPr>
        <w:t xml:space="preserve">normas </w:t>
      </w:r>
      <w:r w:rsidR="009837EB">
        <w:rPr>
          <w:rFonts w:ascii="Bookman Old Style" w:hAnsi="Bookman Old Style"/>
          <w:sz w:val="22"/>
          <w:szCs w:val="22"/>
        </w:rPr>
        <w:t>que regularían</w:t>
      </w:r>
      <w:r w:rsidR="00723CB4">
        <w:rPr>
          <w:rFonts w:ascii="Bookman Old Style" w:hAnsi="Bookman Old Style"/>
          <w:sz w:val="22"/>
          <w:szCs w:val="22"/>
        </w:rPr>
        <w:t xml:space="preserve"> la constitución jurídica de las iglesias y organizaciones religiosas.</w:t>
      </w:r>
    </w:p>
    <w:p w:rsidR="004506E0" w:rsidRDefault="004506E0" w:rsidP="004506E0">
      <w:pPr>
        <w:spacing w:line="360" w:lineRule="auto"/>
        <w:ind w:firstLine="708"/>
        <w:jc w:val="both"/>
        <w:rPr>
          <w:rFonts w:ascii="Bookman Old Style" w:hAnsi="Bookman Old Style"/>
          <w:sz w:val="22"/>
          <w:szCs w:val="22"/>
        </w:rPr>
      </w:pPr>
    </w:p>
    <w:p w:rsidR="009F256F" w:rsidRDefault="00376641" w:rsidP="004506E0">
      <w:pPr>
        <w:spacing w:line="360" w:lineRule="auto"/>
        <w:ind w:firstLine="708"/>
        <w:jc w:val="both"/>
        <w:rPr>
          <w:rFonts w:ascii="Bookman Old Style" w:hAnsi="Bookman Old Style"/>
          <w:sz w:val="22"/>
          <w:szCs w:val="22"/>
        </w:rPr>
      </w:pPr>
      <w:r>
        <w:rPr>
          <w:rFonts w:ascii="Bookman Old Style" w:hAnsi="Bookman Old Style"/>
          <w:sz w:val="22"/>
          <w:szCs w:val="22"/>
        </w:rPr>
        <w:t xml:space="preserve">En el </w:t>
      </w:r>
      <w:r w:rsidR="00723CB4">
        <w:rPr>
          <w:rFonts w:ascii="Bookman Old Style" w:hAnsi="Bookman Old Style"/>
          <w:sz w:val="22"/>
          <w:szCs w:val="22"/>
        </w:rPr>
        <w:t xml:space="preserve">Capítulo I sobre "Normas Generales" se expresa que el Estado de Chile garantiza que las personas desarrollen libremente sus actividades religiosas y la libertad de las iglesias, confesiones y entidades religiosas. </w:t>
      </w:r>
    </w:p>
    <w:p w:rsidR="009F256F" w:rsidRDefault="009F256F" w:rsidP="004506E0">
      <w:pPr>
        <w:spacing w:line="360" w:lineRule="auto"/>
        <w:ind w:firstLine="708"/>
        <w:jc w:val="both"/>
        <w:rPr>
          <w:rFonts w:ascii="Bookman Old Style" w:hAnsi="Bookman Old Style"/>
          <w:sz w:val="22"/>
          <w:szCs w:val="22"/>
        </w:rPr>
      </w:pPr>
    </w:p>
    <w:p w:rsidR="008A1A8F" w:rsidRDefault="009F256F" w:rsidP="004506E0">
      <w:pPr>
        <w:spacing w:line="360" w:lineRule="auto"/>
        <w:ind w:firstLine="708"/>
        <w:jc w:val="both"/>
        <w:rPr>
          <w:rFonts w:ascii="Bookman Old Style" w:hAnsi="Bookman Old Style"/>
          <w:sz w:val="22"/>
        </w:rPr>
      </w:pPr>
      <w:r>
        <w:rPr>
          <w:rFonts w:ascii="Bookman Old Style" w:hAnsi="Bookman Old Style"/>
          <w:sz w:val="22"/>
          <w:szCs w:val="22"/>
        </w:rPr>
        <w:t>E</w:t>
      </w:r>
      <w:r w:rsidR="00723CB4">
        <w:rPr>
          <w:rFonts w:ascii="Bookman Old Style" w:hAnsi="Bookman Old Style"/>
          <w:sz w:val="22"/>
          <w:szCs w:val="22"/>
        </w:rPr>
        <w:t xml:space="preserve">n </w:t>
      </w:r>
      <w:r w:rsidR="009837EB">
        <w:rPr>
          <w:rFonts w:ascii="Bookman Old Style" w:hAnsi="Bookman Old Style"/>
          <w:sz w:val="22"/>
          <w:szCs w:val="22"/>
        </w:rPr>
        <w:t>el</w:t>
      </w:r>
      <w:r w:rsidR="00723CB4">
        <w:rPr>
          <w:rFonts w:ascii="Bookman Old Style" w:hAnsi="Bookman Old Style"/>
          <w:sz w:val="22"/>
          <w:szCs w:val="22"/>
        </w:rPr>
        <w:t xml:space="preserve"> artículo 7° </w:t>
      </w:r>
      <w:r w:rsidR="009837EB">
        <w:rPr>
          <w:rFonts w:ascii="Bookman Old Style" w:hAnsi="Bookman Old Style"/>
          <w:sz w:val="22"/>
          <w:szCs w:val="22"/>
        </w:rPr>
        <w:t>se</w:t>
      </w:r>
      <w:r w:rsidR="00723CB4">
        <w:rPr>
          <w:rFonts w:ascii="Bookman Old Style" w:hAnsi="Bookman Old Style"/>
          <w:sz w:val="22"/>
          <w:szCs w:val="22"/>
        </w:rPr>
        <w:t xml:space="preserve"> </w:t>
      </w:r>
      <w:r w:rsidR="009837EB">
        <w:rPr>
          <w:rFonts w:ascii="Bookman Old Style" w:hAnsi="Bookman Old Style"/>
          <w:sz w:val="22"/>
          <w:szCs w:val="22"/>
        </w:rPr>
        <w:t xml:space="preserve">les </w:t>
      </w:r>
      <w:r w:rsidR="00723CB4">
        <w:rPr>
          <w:rFonts w:ascii="Bookman Old Style" w:hAnsi="Bookman Old Style"/>
          <w:sz w:val="22"/>
          <w:szCs w:val="22"/>
        </w:rPr>
        <w:t>reconoce "</w:t>
      </w:r>
      <w:r w:rsidR="00723CB4" w:rsidRPr="00723CB4">
        <w:rPr>
          <w:rFonts w:ascii="Bookman Old Style" w:hAnsi="Bookman Old Style"/>
          <w:i/>
          <w:sz w:val="22"/>
          <w:szCs w:val="22"/>
        </w:rPr>
        <w:t>plena autonomía</w:t>
      </w:r>
      <w:r w:rsidR="00723CB4">
        <w:rPr>
          <w:rFonts w:ascii="Bookman Old Style" w:hAnsi="Bookman Old Style"/>
          <w:sz w:val="22"/>
          <w:szCs w:val="22"/>
        </w:rPr>
        <w:t xml:space="preserve"> </w:t>
      </w:r>
      <w:r w:rsidR="00723CB4" w:rsidRPr="00376641">
        <w:rPr>
          <w:rFonts w:ascii="Bookman Old Style" w:hAnsi="Bookman Old Style"/>
          <w:i/>
          <w:sz w:val="22"/>
          <w:szCs w:val="22"/>
        </w:rPr>
        <w:t>para</w:t>
      </w:r>
      <w:r w:rsidR="00723CB4">
        <w:rPr>
          <w:rFonts w:ascii="Bookman Old Style" w:hAnsi="Bookman Old Style"/>
          <w:sz w:val="22"/>
          <w:szCs w:val="22"/>
        </w:rPr>
        <w:t xml:space="preserve"> </w:t>
      </w:r>
      <w:r w:rsidR="00723CB4" w:rsidRPr="00376641">
        <w:rPr>
          <w:rFonts w:ascii="Bookman Old Style" w:hAnsi="Bookman Old Style"/>
          <w:i/>
          <w:sz w:val="22"/>
          <w:szCs w:val="22"/>
        </w:rPr>
        <w:t>el</w:t>
      </w:r>
      <w:r w:rsidR="00723CB4">
        <w:rPr>
          <w:rFonts w:ascii="Bookman Old Style" w:hAnsi="Bookman Old Style"/>
          <w:sz w:val="22"/>
          <w:szCs w:val="22"/>
        </w:rPr>
        <w:t xml:space="preserve"> </w:t>
      </w:r>
      <w:r w:rsidR="00723CB4" w:rsidRPr="00376641">
        <w:rPr>
          <w:rFonts w:ascii="Bookman Old Style" w:hAnsi="Bookman Old Style"/>
          <w:i/>
          <w:sz w:val="22"/>
          <w:szCs w:val="22"/>
        </w:rPr>
        <w:t>desarrollo</w:t>
      </w:r>
      <w:r w:rsidR="00723CB4">
        <w:rPr>
          <w:rFonts w:ascii="Bookman Old Style" w:hAnsi="Bookman Old Style"/>
          <w:sz w:val="22"/>
          <w:szCs w:val="22"/>
        </w:rPr>
        <w:t xml:space="preserve"> </w:t>
      </w:r>
      <w:r w:rsidR="00723CB4" w:rsidRPr="00376641">
        <w:rPr>
          <w:rFonts w:ascii="Bookman Old Style" w:hAnsi="Bookman Old Style"/>
          <w:i/>
          <w:sz w:val="22"/>
          <w:szCs w:val="22"/>
        </w:rPr>
        <w:t>de</w:t>
      </w:r>
      <w:r w:rsidR="00723CB4">
        <w:rPr>
          <w:rFonts w:ascii="Bookman Old Style" w:hAnsi="Bookman Old Style"/>
          <w:sz w:val="22"/>
          <w:szCs w:val="22"/>
        </w:rPr>
        <w:t xml:space="preserve"> </w:t>
      </w:r>
      <w:r w:rsidR="00723CB4" w:rsidRPr="00376641">
        <w:rPr>
          <w:rFonts w:ascii="Bookman Old Style" w:hAnsi="Bookman Old Style"/>
          <w:i/>
          <w:sz w:val="22"/>
          <w:szCs w:val="22"/>
        </w:rPr>
        <w:t>sus</w:t>
      </w:r>
      <w:r w:rsidR="00723CB4">
        <w:rPr>
          <w:rFonts w:ascii="Bookman Old Style" w:hAnsi="Bookman Old Style"/>
          <w:sz w:val="22"/>
          <w:szCs w:val="22"/>
        </w:rPr>
        <w:t xml:space="preserve"> </w:t>
      </w:r>
      <w:r w:rsidR="00723CB4" w:rsidRPr="00376641">
        <w:rPr>
          <w:rFonts w:ascii="Bookman Old Style" w:hAnsi="Bookman Old Style"/>
          <w:i/>
          <w:sz w:val="22"/>
          <w:szCs w:val="22"/>
        </w:rPr>
        <w:t>fines</w:t>
      </w:r>
      <w:r w:rsidR="00723CB4">
        <w:rPr>
          <w:rFonts w:ascii="Bookman Old Style" w:hAnsi="Bookman Old Style"/>
          <w:sz w:val="22"/>
          <w:szCs w:val="22"/>
        </w:rPr>
        <w:t xml:space="preserve"> </w:t>
      </w:r>
      <w:r w:rsidR="00723CB4" w:rsidRPr="00376641">
        <w:rPr>
          <w:rFonts w:ascii="Bookman Old Style" w:hAnsi="Bookman Old Style"/>
          <w:i/>
          <w:sz w:val="22"/>
          <w:szCs w:val="22"/>
        </w:rPr>
        <w:t>propios</w:t>
      </w:r>
      <w:r w:rsidR="00376641">
        <w:rPr>
          <w:rFonts w:ascii="Bookman Old Style" w:hAnsi="Bookman Old Style"/>
          <w:sz w:val="22"/>
          <w:szCs w:val="22"/>
        </w:rPr>
        <w:t xml:space="preserve">", admitiendo jurídicamente las siguientes potestades: </w:t>
      </w:r>
      <w:r w:rsidR="00723CB4" w:rsidRPr="00723CB4">
        <w:rPr>
          <w:rFonts w:ascii="Bookman Old Style" w:hAnsi="Bookman Old Style"/>
          <w:sz w:val="22"/>
        </w:rPr>
        <w:t>a) Ejercer libremente su propio ministerio, practicar el culto, celebrar</w:t>
      </w:r>
      <w:r w:rsidR="00376641">
        <w:rPr>
          <w:rFonts w:ascii="Bookman Old Style" w:hAnsi="Bookman Old Style"/>
          <w:sz w:val="22"/>
          <w:szCs w:val="22"/>
        </w:rPr>
        <w:t xml:space="preserve"> </w:t>
      </w:r>
      <w:r w:rsidR="00723CB4" w:rsidRPr="00723CB4">
        <w:rPr>
          <w:rFonts w:ascii="Bookman Old Style" w:hAnsi="Bookman Old Style"/>
          <w:sz w:val="22"/>
        </w:rPr>
        <w:t>reuniones de carácter religioso y fundar y mantener lugares par</w:t>
      </w:r>
      <w:r w:rsidR="00376641">
        <w:rPr>
          <w:rFonts w:ascii="Bookman Old Style" w:hAnsi="Bookman Old Style"/>
          <w:sz w:val="22"/>
        </w:rPr>
        <w:t xml:space="preserve">a esos fines; </w:t>
      </w:r>
      <w:r w:rsidR="00723CB4" w:rsidRPr="00723CB4">
        <w:rPr>
          <w:rFonts w:ascii="Bookman Old Style" w:hAnsi="Bookman Old Style"/>
          <w:sz w:val="22"/>
        </w:rPr>
        <w:t xml:space="preserve">b) Establecer su propia organización interna y jerarquía; capacitar, nombrar, elegir y designar en cargos y jerarquías a </w:t>
      </w:r>
      <w:r w:rsidR="00376641">
        <w:rPr>
          <w:rFonts w:ascii="Bookman Old Style" w:hAnsi="Bookman Old Style"/>
          <w:sz w:val="22"/>
        </w:rPr>
        <w:t xml:space="preserve">las </w:t>
      </w:r>
      <w:r w:rsidR="00723CB4" w:rsidRPr="00723CB4">
        <w:rPr>
          <w:rFonts w:ascii="Bookman Old Style" w:hAnsi="Bookman Old Style"/>
          <w:sz w:val="22"/>
        </w:rPr>
        <w:t>personas que correspondan y determinar sus denominaciones, y</w:t>
      </w:r>
      <w:r w:rsidR="00376641">
        <w:rPr>
          <w:rFonts w:ascii="Bookman Old Style" w:hAnsi="Bookman Old Style"/>
          <w:sz w:val="22"/>
          <w:szCs w:val="22"/>
        </w:rPr>
        <w:t xml:space="preserve"> </w:t>
      </w:r>
      <w:r w:rsidR="00723CB4" w:rsidRPr="00723CB4">
        <w:rPr>
          <w:rFonts w:ascii="Bookman Old Style" w:hAnsi="Bookman Old Style"/>
          <w:sz w:val="22"/>
        </w:rPr>
        <w:t xml:space="preserve">c) Enunciar, comunicar y difundir, de </w:t>
      </w:r>
      <w:r w:rsidR="00723CB4" w:rsidRPr="00723CB4">
        <w:rPr>
          <w:rFonts w:ascii="Bookman Old Style" w:hAnsi="Bookman Old Style"/>
          <w:sz w:val="22"/>
        </w:rPr>
        <w:lastRenderedPageBreak/>
        <w:t xml:space="preserve">palabra, por escrito o por cualquier </w:t>
      </w:r>
      <w:r w:rsidR="00376641">
        <w:rPr>
          <w:rFonts w:ascii="Bookman Old Style" w:hAnsi="Bookman Old Style"/>
          <w:sz w:val="22"/>
        </w:rPr>
        <w:t xml:space="preserve">medio, </w:t>
      </w:r>
      <w:r w:rsidR="00723CB4" w:rsidRPr="00723CB4">
        <w:rPr>
          <w:rFonts w:ascii="Bookman Old Style" w:hAnsi="Bookman Old Style"/>
          <w:sz w:val="22"/>
        </w:rPr>
        <w:t>su propio credo y manifestar su doctrina.</w:t>
      </w:r>
    </w:p>
    <w:p w:rsidR="004506E0" w:rsidRDefault="004506E0" w:rsidP="004506E0">
      <w:pPr>
        <w:spacing w:line="360" w:lineRule="auto"/>
        <w:ind w:firstLine="708"/>
        <w:jc w:val="both"/>
        <w:rPr>
          <w:rFonts w:ascii="Bookman Old Style" w:hAnsi="Bookman Old Style"/>
          <w:sz w:val="22"/>
        </w:rPr>
      </w:pPr>
    </w:p>
    <w:p w:rsidR="00A13EC5" w:rsidRDefault="008A1A8F" w:rsidP="004506E0">
      <w:pPr>
        <w:spacing w:line="360" w:lineRule="auto"/>
        <w:ind w:firstLine="708"/>
        <w:jc w:val="both"/>
        <w:rPr>
          <w:rFonts w:ascii="Bookman Old Style" w:hAnsi="Bookman Old Style"/>
          <w:sz w:val="22"/>
        </w:rPr>
      </w:pPr>
      <w:r>
        <w:rPr>
          <w:rFonts w:ascii="Bookman Old Style" w:hAnsi="Bookman Old Style"/>
          <w:sz w:val="22"/>
        </w:rPr>
        <w:t xml:space="preserve">Pero en la práctica, para que estos derechos puedan efectivamente ser ejercidos en su plenitud, se hace necesario </w:t>
      </w:r>
      <w:r w:rsidR="009F256F">
        <w:rPr>
          <w:rFonts w:ascii="Bookman Old Style" w:hAnsi="Bookman Old Style"/>
          <w:sz w:val="22"/>
        </w:rPr>
        <w:t xml:space="preserve">el apoyo y la colaboración del Estado y </w:t>
      </w:r>
      <w:r w:rsidR="00607D93">
        <w:rPr>
          <w:rFonts w:ascii="Bookman Old Style" w:hAnsi="Bookman Old Style"/>
          <w:sz w:val="22"/>
        </w:rPr>
        <w:t xml:space="preserve">de </w:t>
      </w:r>
      <w:r w:rsidR="009F256F">
        <w:rPr>
          <w:rFonts w:ascii="Bookman Old Style" w:hAnsi="Bookman Old Style"/>
          <w:sz w:val="22"/>
        </w:rPr>
        <w:t>sus organismos.</w:t>
      </w:r>
      <w:r w:rsidR="006341B1">
        <w:rPr>
          <w:rFonts w:ascii="Bookman Old Style" w:hAnsi="Bookman Old Style"/>
          <w:sz w:val="22"/>
        </w:rPr>
        <w:t xml:space="preserve"> </w:t>
      </w:r>
    </w:p>
    <w:p w:rsidR="00A13EC5" w:rsidRDefault="00A13EC5" w:rsidP="004506E0">
      <w:pPr>
        <w:spacing w:line="360" w:lineRule="auto"/>
        <w:ind w:firstLine="708"/>
        <w:jc w:val="both"/>
        <w:rPr>
          <w:rFonts w:ascii="Bookman Old Style" w:hAnsi="Bookman Old Style"/>
          <w:sz w:val="22"/>
        </w:rPr>
      </w:pPr>
    </w:p>
    <w:p w:rsidR="004506E0" w:rsidRDefault="00BE77E4" w:rsidP="004506E0">
      <w:pPr>
        <w:spacing w:line="360" w:lineRule="auto"/>
        <w:ind w:firstLine="708"/>
        <w:jc w:val="both"/>
        <w:rPr>
          <w:rFonts w:ascii="Bookman Old Style" w:hAnsi="Bookman Old Style"/>
          <w:sz w:val="22"/>
        </w:rPr>
      </w:pPr>
      <w:r>
        <w:rPr>
          <w:rFonts w:ascii="Bookman Old Style" w:hAnsi="Bookman Old Style"/>
          <w:sz w:val="22"/>
        </w:rPr>
        <w:t>Suele ser</w:t>
      </w:r>
      <w:r w:rsidR="006341B1">
        <w:rPr>
          <w:rFonts w:ascii="Bookman Old Style" w:hAnsi="Bookman Old Style"/>
          <w:sz w:val="22"/>
        </w:rPr>
        <w:t xml:space="preserve"> difícil para las iglesias y demás organizaciones religiosas postular y ob</w:t>
      </w:r>
      <w:r w:rsidR="00A13EC5">
        <w:rPr>
          <w:rFonts w:ascii="Bookman Old Style" w:hAnsi="Bookman Old Style"/>
          <w:sz w:val="22"/>
        </w:rPr>
        <w:t xml:space="preserve">tener una serie de fondos </w:t>
      </w:r>
      <w:r>
        <w:rPr>
          <w:rFonts w:ascii="Bookman Old Style" w:hAnsi="Bookman Old Style"/>
          <w:sz w:val="22"/>
        </w:rPr>
        <w:t>de carácter público</w:t>
      </w:r>
      <w:r w:rsidR="00A13EC5">
        <w:rPr>
          <w:rFonts w:ascii="Bookman Old Style" w:hAnsi="Bookman Old Style"/>
          <w:sz w:val="22"/>
        </w:rPr>
        <w:t>. Existen diversas</w:t>
      </w:r>
      <w:r w:rsidR="006341B1">
        <w:rPr>
          <w:rFonts w:ascii="Bookman Old Style" w:hAnsi="Bookman Old Style"/>
          <w:sz w:val="22"/>
        </w:rPr>
        <w:t xml:space="preserve"> restricciones y trabas burocráticas o administrativas, </w:t>
      </w:r>
      <w:r w:rsidR="001C3B85">
        <w:rPr>
          <w:rFonts w:ascii="Bookman Old Style" w:hAnsi="Bookman Old Style"/>
          <w:sz w:val="22"/>
        </w:rPr>
        <w:t>y se las discrimina</w:t>
      </w:r>
      <w:r w:rsidR="006341B1">
        <w:rPr>
          <w:rFonts w:ascii="Bookman Old Style" w:hAnsi="Bookman Old Style"/>
          <w:sz w:val="22"/>
        </w:rPr>
        <w:t xml:space="preserve"> en forma arbitraria en razón de su naturaleza religiosa.</w:t>
      </w:r>
    </w:p>
    <w:p w:rsidR="004506E0" w:rsidRDefault="004506E0" w:rsidP="004506E0">
      <w:pPr>
        <w:spacing w:line="360" w:lineRule="auto"/>
        <w:ind w:firstLine="708"/>
        <w:jc w:val="both"/>
        <w:rPr>
          <w:rFonts w:ascii="Bookman Old Style" w:hAnsi="Bookman Old Style"/>
          <w:sz w:val="22"/>
        </w:rPr>
      </w:pPr>
    </w:p>
    <w:p w:rsidR="00BE77E4" w:rsidRDefault="00BE77E4" w:rsidP="004506E0">
      <w:pPr>
        <w:spacing w:line="360" w:lineRule="auto"/>
        <w:ind w:firstLine="708"/>
        <w:jc w:val="both"/>
        <w:rPr>
          <w:rFonts w:ascii="Bookman Old Style" w:hAnsi="Bookman Old Style"/>
          <w:sz w:val="22"/>
        </w:rPr>
      </w:pPr>
      <w:r>
        <w:rPr>
          <w:rFonts w:ascii="Bookman Old Style" w:hAnsi="Bookman Old Style"/>
          <w:sz w:val="22"/>
        </w:rPr>
        <w:t>Las iglesias cumplen un rol primordial dentro de la sociedad. Realizan labores caritativas y asistenciales, acompañan a los enfermos y necesitados, ayudan a familias en situación de pobreza, colaboran en los procesos de rehabilitación de personas con adicciones, e intervienen en el tejido social, mejorando la calidad de vida de las comunidades.</w:t>
      </w:r>
    </w:p>
    <w:p w:rsidR="004506E0" w:rsidRPr="00376641" w:rsidRDefault="004506E0" w:rsidP="004506E0">
      <w:pPr>
        <w:spacing w:line="360" w:lineRule="auto"/>
        <w:ind w:firstLine="708"/>
        <w:jc w:val="both"/>
        <w:rPr>
          <w:rFonts w:ascii="Bookman Old Style" w:hAnsi="Bookman Old Style"/>
          <w:sz w:val="22"/>
          <w:szCs w:val="22"/>
        </w:rPr>
      </w:pPr>
    </w:p>
    <w:p w:rsidR="006341B1" w:rsidRDefault="009F256F" w:rsidP="004506E0">
      <w:pPr>
        <w:tabs>
          <w:tab w:val="left" w:pos="7039"/>
        </w:tabs>
        <w:spacing w:line="360" w:lineRule="auto"/>
        <w:ind w:firstLine="708"/>
        <w:jc w:val="both"/>
        <w:rPr>
          <w:rFonts w:ascii="Bookman Old Style" w:hAnsi="Bookman Old Style"/>
          <w:sz w:val="22"/>
          <w:szCs w:val="22"/>
        </w:rPr>
      </w:pPr>
      <w:r w:rsidRPr="001C3B85">
        <w:rPr>
          <w:rFonts w:ascii="Bookman Old Style" w:hAnsi="Bookman Old Style"/>
          <w:sz w:val="22"/>
          <w:szCs w:val="22"/>
        </w:rPr>
        <w:t xml:space="preserve">En virtud de lo anterior, este proyecto de ley busca modificar la Ley 19.638 </w:t>
      </w:r>
      <w:r w:rsidR="00A22018" w:rsidRPr="001C3B85">
        <w:rPr>
          <w:rFonts w:ascii="Bookman Old Style" w:hAnsi="Bookman Old Style"/>
          <w:sz w:val="22"/>
          <w:szCs w:val="22"/>
        </w:rPr>
        <w:t xml:space="preserve">para reconocer </w:t>
      </w:r>
      <w:r w:rsidR="006341B1" w:rsidRPr="001C3B85">
        <w:rPr>
          <w:rFonts w:ascii="Bookman Old Style" w:hAnsi="Bookman Old Style"/>
          <w:sz w:val="22"/>
          <w:szCs w:val="22"/>
        </w:rPr>
        <w:t>el derecho</w:t>
      </w:r>
      <w:r w:rsidR="00A22018" w:rsidRPr="001C3B85">
        <w:rPr>
          <w:rFonts w:ascii="Bookman Old Style" w:hAnsi="Bookman Old Style"/>
          <w:sz w:val="22"/>
          <w:szCs w:val="22"/>
        </w:rPr>
        <w:t xml:space="preserve"> </w:t>
      </w:r>
      <w:r w:rsidR="006341B1" w:rsidRPr="001C3B85">
        <w:rPr>
          <w:rFonts w:ascii="Bookman Old Style" w:hAnsi="Bookman Old Style"/>
          <w:sz w:val="22"/>
          <w:szCs w:val="22"/>
        </w:rPr>
        <w:t>de las personas jurídicas de entidades religiosas a</w:t>
      </w:r>
      <w:r w:rsidRPr="001C3B85">
        <w:rPr>
          <w:rFonts w:ascii="Bookman Old Style" w:hAnsi="Bookman Old Style"/>
          <w:sz w:val="22"/>
          <w:szCs w:val="22"/>
        </w:rPr>
        <w:t xml:space="preserve"> postular a toda clase de fondos públicos</w:t>
      </w:r>
      <w:r w:rsidR="006341B1" w:rsidRPr="001C3B85">
        <w:rPr>
          <w:rFonts w:ascii="Bookman Old Style" w:hAnsi="Bookman Old Style"/>
          <w:sz w:val="22"/>
          <w:szCs w:val="22"/>
        </w:rPr>
        <w:t xml:space="preserve">. Dicha postulación y eventual obtención de fondos deberá realizarse en igualdad de condiciones con las </w:t>
      </w:r>
      <w:r w:rsidR="001C3B85" w:rsidRPr="001C3B85">
        <w:rPr>
          <w:rFonts w:ascii="Bookman Old Style" w:hAnsi="Bookman Old Style"/>
          <w:sz w:val="22"/>
          <w:szCs w:val="22"/>
        </w:rPr>
        <w:t>demás</w:t>
      </w:r>
      <w:r w:rsidR="006341B1" w:rsidRPr="001C3B85">
        <w:rPr>
          <w:rFonts w:ascii="Bookman Old Style" w:hAnsi="Bookman Old Style"/>
          <w:sz w:val="22"/>
          <w:szCs w:val="22"/>
        </w:rPr>
        <w:t xml:space="preserve"> organizaciones que no se rijan por esta ley. Además, se busca prohibir la discriminación arbitraria en esta materia. Cualquier rechazo para la obtención de fondos públicos por parte de las iglesias y demás organizaciones religiosas debe fundarse en razonamientos y antecedentes objetivos, debidamente fundados. </w:t>
      </w:r>
    </w:p>
    <w:p w:rsidR="004C5089" w:rsidRDefault="004C5089" w:rsidP="004506E0">
      <w:pPr>
        <w:tabs>
          <w:tab w:val="left" w:pos="7039"/>
        </w:tabs>
        <w:spacing w:line="360" w:lineRule="auto"/>
        <w:ind w:firstLine="708"/>
        <w:jc w:val="both"/>
        <w:rPr>
          <w:rFonts w:ascii="Bookman Old Style" w:hAnsi="Bookman Old Style"/>
          <w:sz w:val="22"/>
          <w:szCs w:val="22"/>
        </w:rPr>
      </w:pPr>
    </w:p>
    <w:p w:rsidR="004C5089" w:rsidRDefault="004C5089" w:rsidP="004506E0">
      <w:pPr>
        <w:tabs>
          <w:tab w:val="left" w:pos="7039"/>
        </w:tabs>
        <w:spacing w:line="360" w:lineRule="auto"/>
        <w:ind w:firstLine="708"/>
        <w:jc w:val="both"/>
        <w:rPr>
          <w:rFonts w:ascii="Bookman Old Style" w:hAnsi="Bookman Old Style"/>
          <w:sz w:val="22"/>
          <w:szCs w:val="22"/>
        </w:rPr>
      </w:pPr>
      <w:r>
        <w:rPr>
          <w:rFonts w:ascii="Bookman Old Style" w:hAnsi="Bookman Old Style"/>
          <w:sz w:val="22"/>
          <w:szCs w:val="22"/>
        </w:rPr>
        <w:t xml:space="preserve">La postulación a estos fondos públicos es un asunto muy relevante pues les permite a los beneficiarios adquirir, construir y mejorar bienes cuyo uso beneficia directamente a las comunidades. Asimismo, estos fondos permiten financiar diversos programas sociales (como por ejemplo, programas de rehabilitación de drogas), y diversos proyectos deportivos y culturales, </w:t>
      </w:r>
      <w:r>
        <w:rPr>
          <w:rFonts w:ascii="Bookman Old Style" w:hAnsi="Bookman Old Style"/>
          <w:sz w:val="22"/>
          <w:szCs w:val="22"/>
        </w:rPr>
        <w:lastRenderedPageBreak/>
        <w:t>todos los cuales ayudan a incrementar el bienestar y la calidad de vida de los ciudadanos.</w:t>
      </w:r>
    </w:p>
    <w:p w:rsidR="004C5089" w:rsidRDefault="004C5089" w:rsidP="004506E0">
      <w:pPr>
        <w:tabs>
          <w:tab w:val="left" w:pos="7039"/>
        </w:tabs>
        <w:spacing w:line="360" w:lineRule="auto"/>
        <w:ind w:firstLine="708"/>
        <w:jc w:val="both"/>
        <w:rPr>
          <w:rFonts w:ascii="Bookman Old Style" w:hAnsi="Bookman Old Style"/>
          <w:sz w:val="22"/>
          <w:szCs w:val="22"/>
        </w:rPr>
      </w:pPr>
    </w:p>
    <w:p w:rsidR="004C5089" w:rsidRDefault="004C5089" w:rsidP="004506E0">
      <w:pPr>
        <w:tabs>
          <w:tab w:val="left" w:pos="7039"/>
        </w:tabs>
        <w:spacing w:line="360" w:lineRule="auto"/>
        <w:ind w:firstLine="708"/>
        <w:jc w:val="both"/>
        <w:rPr>
          <w:rFonts w:ascii="Bookman Old Style" w:hAnsi="Bookman Old Style"/>
          <w:sz w:val="22"/>
          <w:szCs w:val="22"/>
        </w:rPr>
      </w:pPr>
      <w:r>
        <w:rPr>
          <w:rFonts w:ascii="Bookman Old Style" w:hAnsi="Bookman Old Style"/>
          <w:sz w:val="22"/>
          <w:szCs w:val="22"/>
        </w:rPr>
        <w:t>La Constitución Política de la República, en el Capítulo I sobre las "Bases de la Institucionalidad", específicamente en su artículo 1°, señala que "El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w:t>
      </w:r>
    </w:p>
    <w:p w:rsidR="004C5089" w:rsidRDefault="004C5089" w:rsidP="004506E0">
      <w:pPr>
        <w:tabs>
          <w:tab w:val="left" w:pos="7039"/>
        </w:tabs>
        <w:spacing w:line="360" w:lineRule="auto"/>
        <w:ind w:firstLine="708"/>
        <w:jc w:val="both"/>
        <w:rPr>
          <w:rFonts w:ascii="Bookman Old Style" w:hAnsi="Bookman Old Style"/>
          <w:sz w:val="22"/>
          <w:szCs w:val="22"/>
        </w:rPr>
      </w:pPr>
    </w:p>
    <w:p w:rsidR="005A4045" w:rsidRDefault="004C5089" w:rsidP="004506E0">
      <w:pPr>
        <w:tabs>
          <w:tab w:val="left" w:pos="7039"/>
        </w:tabs>
        <w:spacing w:line="360" w:lineRule="auto"/>
        <w:ind w:firstLine="708"/>
        <w:jc w:val="both"/>
        <w:rPr>
          <w:rFonts w:ascii="Bookman Old Style" w:hAnsi="Bookman Old Style"/>
          <w:sz w:val="22"/>
          <w:szCs w:val="22"/>
        </w:rPr>
      </w:pPr>
      <w:r>
        <w:rPr>
          <w:rFonts w:ascii="Bookman Old Style" w:hAnsi="Bookman Old Style"/>
          <w:sz w:val="22"/>
          <w:szCs w:val="22"/>
        </w:rPr>
        <w:t xml:space="preserve">Por tanto, el </w:t>
      </w:r>
      <w:r w:rsidR="005A4045">
        <w:rPr>
          <w:rFonts w:ascii="Bookman Old Style" w:hAnsi="Bookman Old Style"/>
          <w:sz w:val="22"/>
          <w:szCs w:val="22"/>
        </w:rPr>
        <w:t>derecho a acceder</w:t>
      </w:r>
      <w:r>
        <w:rPr>
          <w:rFonts w:ascii="Bookman Old Style" w:hAnsi="Bookman Old Style"/>
          <w:sz w:val="22"/>
          <w:szCs w:val="22"/>
        </w:rPr>
        <w:t xml:space="preserve"> a fondos públicos por parte de las personas </w:t>
      </w:r>
      <w:r w:rsidRPr="001C3B85">
        <w:rPr>
          <w:rFonts w:ascii="Bookman Old Style" w:hAnsi="Bookman Old Style"/>
          <w:sz w:val="22"/>
          <w:szCs w:val="22"/>
        </w:rPr>
        <w:t>jurídicas de entidades religiosas</w:t>
      </w:r>
      <w:r>
        <w:rPr>
          <w:rFonts w:ascii="Bookman Old Style" w:hAnsi="Bookman Old Style"/>
          <w:sz w:val="22"/>
          <w:szCs w:val="22"/>
        </w:rPr>
        <w:t xml:space="preserve"> regidas por la Ley</w:t>
      </w:r>
      <w:r w:rsidR="005A4045">
        <w:rPr>
          <w:rFonts w:ascii="Bookman Old Style" w:hAnsi="Bookman Old Style"/>
          <w:sz w:val="22"/>
          <w:szCs w:val="22"/>
        </w:rPr>
        <w:t xml:space="preserve"> 19.638</w:t>
      </w:r>
      <w:r>
        <w:rPr>
          <w:rFonts w:ascii="Bookman Old Style" w:hAnsi="Bookman Old Style"/>
          <w:sz w:val="22"/>
          <w:szCs w:val="22"/>
        </w:rPr>
        <w:t xml:space="preserve">, en igualdad de condiciones, y sin </w:t>
      </w:r>
      <w:r w:rsidR="005A4045">
        <w:rPr>
          <w:rFonts w:ascii="Bookman Old Style" w:hAnsi="Bookman Old Style"/>
          <w:sz w:val="22"/>
          <w:szCs w:val="22"/>
        </w:rPr>
        <w:t>sufrir discriminaciones</w:t>
      </w:r>
      <w:r>
        <w:rPr>
          <w:rFonts w:ascii="Bookman Old Style" w:hAnsi="Bookman Old Style"/>
          <w:sz w:val="22"/>
          <w:szCs w:val="22"/>
        </w:rPr>
        <w:t xml:space="preserve"> arbitrarias, </w:t>
      </w:r>
      <w:r w:rsidR="005A4045">
        <w:rPr>
          <w:rFonts w:ascii="Bookman Old Style" w:hAnsi="Bookman Old Style"/>
          <w:sz w:val="22"/>
          <w:szCs w:val="22"/>
        </w:rPr>
        <w:t>debe ser considerado</w:t>
      </w:r>
      <w:r>
        <w:rPr>
          <w:rFonts w:ascii="Bookman Old Style" w:hAnsi="Bookman Old Style"/>
          <w:sz w:val="22"/>
          <w:szCs w:val="22"/>
        </w:rPr>
        <w:t xml:space="preserve"> una manifestación </w:t>
      </w:r>
      <w:r w:rsidR="005A4045">
        <w:rPr>
          <w:rFonts w:ascii="Bookman Old Style" w:hAnsi="Bookman Old Style"/>
          <w:sz w:val="22"/>
          <w:szCs w:val="22"/>
        </w:rPr>
        <w:t>de lo preceptuado en el artículo 1° de nuestra Carta Fundamental, fundado en la promoción del bien común, en el respeto por las personas, y su libertad para lograr la satisfacción de sus proyectos de vida.</w:t>
      </w:r>
    </w:p>
    <w:p w:rsidR="004506E0" w:rsidRDefault="004506E0" w:rsidP="004506E0">
      <w:pPr>
        <w:spacing w:line="360" w:lineRule="auto"/>
        <w:jc w:val="both"/>
        <w:rPr>
          <w:rFonts w:ascii="Bookman Old Style" w:hAnsi="Bookman Old Style"/>
          <w:b/>
          <w:sz w:val="22"/>
          <w:szCs w:val="22"/>
        </w:rPr>
      </w:pPr>
    </w:p>
    <w:p w:rsidR="005F1EAA" w:rsidRPr="005F1EAA" w:rsidRDefault="005F1EAA" w:rsidP="004506E0">
      <w:pPr>
        <w:spacing w:line="360" w:lineRule="auto"/>
        <w:jc w:val="both"/>
        <w:rPr>
          <w:rFonts w:ascii="Bookman Old Style" w:hAnsi="Bookman Old Style"/>
          <w:b/>
          <w:sz w:val="22"/>
          <w:szCs w:val="22"/>
        </w:rPr>
      </w:pPr>
      <w:r w:rsidRPr="005F1EAA">
        <w:rPr>
          <w:rFonts w:ascii="Bookman Old Style" w:hAnsi="Bookman Old Style"/>
          <w:b/>
          <w:sz w:val="22"/>
          <w:szCs w:val="22"/>
        </w:rPr>
        <w:t>2.- Ideas Matrices</w:t>
      </w:r>
    </w:p>
    <w:p w:rsidR="005F1EAA" w:rsidRDefault="005F1EAA" w:rsidP="004506E0">
      <w:pPr>
        <w:spacing w:line="360" w:lineRule="auto"/>
        <w:jc w:val="both"/>
        <w:rPr>
          <w:rFonts w:ascii="Bookman Old Style" w:hAnsi="Bookman Old Style"/>
          <w:sz w:val="22"/>
          <w:szCs w:val="22"/>
        </w:rPr>
      </w:pPr>
    </w:p>
    <w:p w:rsidR="005F1EAA" w:rsidRDefault="00BE5010" w:rsidP="004506E0">
      <w:pPr>
        <w:spacing w:line="360" w:lineRule="auto"/>
        <w:ind w:firstLine="708"/>
        <w:jc w:val="both"/>
        <w:rPr>
          <w:rFonts w:ascii="Bookman Old Style" w:hAnsi="Bookman Old Style"/>
          <w:sz w:val="22"/>
          <w:szCs w:val="22"/>
        </w:rPr>
      </w:pPr>
      <w:r>
        <w:rPr>
          <w:rFonts w:ascii="Bookman Old Style" w:hAnsi="Bookman Old Style"/>
          <w:sz w:val="22"/>
          <w:szCs w:val="22"/>
        </w:rPr>
        <w:t>S</w:t>
      </w:r>
      <w:r w:rsidR="00636721">
        <w:rPr>
          <w:rFonts w:ascii="Bookman Old Style" w:hAnsi="Bookman Old Style"/>
          <w:sz w:val="22"/>
          <w:szCs w:val="22"/>
        </w:rPr>
        <w:t xml:space="preserve">e propone </w:t>
      </w:r>
      <w:r w:rsidR="00E2326F">
        <w:rPr>
          <w:rFonts w:ascii="Bookman Old Style" w:hAnsi="Bookman Old Style"/>
          <w:sz w:val="22"/>
          <w:szCs w:val="22"/>
        </w:rPr>
        <w:t xml:space="preserve">una modificación a la Ley de Culto (Ley 19.638) con el fin de </w:t>
      </w:r>
      <w:r>
        <w:rPr>
          <w:rFonts w:ascii="Bookman Old Style" w:hAnsi="Bookman Old Style"/>
          <w:sz w:val="22"/>
          <w:szCs w:val="22"/>
        </w:rPr>
        <w:t xml:space="preserve">reconocer legalmente el derecho de las iglesias y organizaciones religiosas regidas por </w:t>
      </w:r>
      <w:r w:rsidR="00E2326F">
        <w:rPr>
          <w:rFonts w:ascii="Bookman Old Style" w:hAnsi="Bookman Old Style"/>
          <w:sz w:val="22"/>
          <w:szCs w:val="22"/>
        </w:rPr>
        <w:t xml:space="preserve">esta normativa para </w:t>
      </w:r>
      <w:r>
        <w:rPr>
          <w:rFonts w:ascii="Bookman Old Style" w:hAnsi="Bookman Old Style"/>
          <w:sz w:val="22"/>
          <w:szCs w:val="22"/>
        </w:rPr>
        <w:t xml:space="preserve">postular a toda clase de fondos públicos, sin ser discriminadas arbitrariamente, y en igualdad de condiciones con las demás organizaciones no regidas por esta ley. </w:t>
      </w:r>
    </w:p>
    <w:p w:rsidR="005F1EAA" w:rsidRDefault="005F1EAA" w:rsidP="004506E0">
      <w:pPr>
        <w:spacing w:line="360" w:lineRule="auto"/>
        <w:jc w:val="both"/>
        <w:rPr>
          <w:rFonts w:ascii="Bookman Old Style" w:hAnsi="Bookman Old Style"/>
          <w:sz w:val="22"/>
          <w:szCs w:val="22"/>
        </w:rPr>
      </w:pPr>
    </w:p>
    <w:p w:rsidR="007E6E15" w:rsidRDefault="007E6E15" w:rsidP="004506E0">
      <w:pPr>
        <w:spacing w:line="360" w:lineRule="auto"/>
        <w:jc w:val="both"/>
        <w:rPr>
          <w:rFonts w:ascii="Bookman Old Style" w:hAnsi="Bookman Old Style"/>
          <w:b/>
          <w:sz w:val="22"/>
          <w:szCs w:val="22"/>
        </w:rPr>
      </w:pPr>
      <w:r>
        <w:rPr>
          <w:rFonts w:ascii="Bookman Old Style" w:hAnsi="Bookman Old Style"/>
          <w:b/>
          <w:sz w:val="22"/>
          <w:szCs w:val="22"/>
        </w:rPr>
        <w:t>3.- Contenido del Proyecto</w:t>
      </w:r>
    </w:p>
    <w:p w:rsidR="007E6E15" w:rsidRDefault="007E6E15" w:rsidP="004506E0">
      <w:pPr>
        <w:spacing w:line="360" w:lineRule="auto"/>
        <w:jc w:val="both"/>
        <w:rPr>
          <w:rFonts w:ascii="Bookman Old Style" w:hAnsi="Bookman Old Style"/>
          <w:b/>
          <w:sz w:val="22"/>
          <w:szCs w:val="22"/>
        </w:rPr>
      </w:pPr>
    </w:p>
    <w:p w:rsidR="007E6E15" w:rsidRDefault="007E6E15" w:rsidP="004506E0">
      <w:pPr>
        <w:spacing w:line="360" w:lineRule="auto"/>
        <w:jc w:val="both"/>
        <w:rPr>
          <w:rFonts w:ascii="Bookman Old Style" w:hAnsi="Bookman Old Style"/>
          <w:sz w:val="22"/>
          <w:szCs w:val="22"/>
        </w:rPr>
      </w:pPr>
      <w:r>
        <w:rPr>
          <w:rFonts w:ascii="Bookman Old Style" w:hAnsi="Bookman Old Style"/>
          <w:b/>
          <w:sz w:val="22"/>
          <w:szCs w:val="22"/>
        </w:rPr>
        <w:tab/>
      </w:r>
      <w:r>
        <w:rPr>
          <w:rFonts w:ascii="Bookman Old Style" w:hAnsi="Bookman Old Style"/>
          <w:sz w:val="22"/>
          <w:szCs w:val="22"/>
        </w:rPr>
        <w:t xml:space="preserve">En particular, el proyecto de ley tiene </w:t>
      </w:r>
      <w:r w:rsidR="00A96F4F">
        <w:rPr>
          <w:rFonts w:ascii="Bookman Old Style" w:hAnsi="Bookman Old Style"/>
          <w:sz w:val="22"/>
          <w:szCs w:val="22"/>
        </w:rPr>
        <w:t>los siguientes</w:t>
      </w:r>
      <w:r>
        <w:rPr>
          <w:rFonts w:ascii="Bookman Old Style" w:hAnsi="Bookman Old Style"/>
          <w:sz w:val="22"/>
          <w:szCs w:val="22"/>
        </w:rPr>
        <w:t xml:space="preserve"> objetivos:</w:t>
      </w:r>
    </w:p>
    <w:p w:rsidR="007E6E15" w:rsidRDefault="007E6E15" w:rsidP="004506E0">
      <w:pPr>
        <w:spacing w:line="360" w:lineRule="auto"/>
        <w:jc w:val="both"/>
        <w:rPr>
          <w:rFonts w:ascii="Bookman Old Style" w:hAnsi="Bookman Old Style"/>
          <w:sz w:val="22"/>
          <w:szCs w:val="22"/>
        </w:rPr>
      </w:pPr>
    </w:p>
    <w:p w:rsidR="007E6E15" w:rsidRDefault="007C123C" w:rsidP="004506E0">
      <w:pPr>
        <w:pStyle w:val="Prrafodelista"/>
        <w:numPr>
          <w:ilvl w:val="0"/>
          <w:numId w:val="10"/>
        </w:numPr>
        <w:spacing w:line="360" w:lineRule="auto"/>
        <w:jc w:val="both"/>
        <w:rPr>
          <w:rFonts w:ascii="Bookman Old Style" w:hAnsi="Bookman Old Style"/>
          <w:sz w:val="22"/>
          <w:szCs w:val="22"/>
        </w:rPr>
      </w:pPr>
      <w:r>
        <w:rPr>
          <w:rFonts w:ascii="Bookman Old Style" w:hAnsi="Bookman Old Style"/>
          <w:sz w:val="22"/>
          <w:szCs w:val="22"/>
        </w:rPr>
        <w:t>Reconocer el derecho de las iglesias y organizaciones regidas por la Ley 19.638 para postular a toda clase de fondos públicos.</w:t>
      </w:r>
      <w:r w:rsidR="00380018">
        <w:rPr>
          <w:rFonts w:ascii="Bookman Old Style" w:hAnsi="Bookman Old Style"/>
          <w:sz w:val="22"/>
          <w:szCs w:val="22"/>
        </w:rPr>
        <w:t xml:space="preserve"> </w:t>
      </w:r>
    </w:p>
    <w:p w:rsidR="007E6E15" w:rsidRDefault="007E6E15" w:rsidP="004506E0">
      <w:pPr>
        <w:pStyle w:val="Prrafodelista"/>
        <w:spacing w:line="360" w:lineRule="auto"/>
        <w:ind w:left="1068"/>
        <w:jc w:val="both"/>
        <w:rPr>
          <w:rFonts w:ascii="Bookman Old Style" w:hAnsi="Bookman Old Style"/>
          <w:sz w:val="22"/>
          <w:szCs w:val="22"/>
        </w:rPr>
      </w:pPr>
    </w:p>
    <w:p w:rsidR="007E6E15" w:rsidRDefault="007C123C" w:rsidP="004506E0">
      <w:pPr>
        <w:pStyle w:val="Prrafodelista"/>
        <w:numPr>
          <w:ilvl w:val="0"/>
          <w:numId w:val="10"/>
        </w:numPr>
        <w:spacing w:line="360" w:lineRule="auto"/>
        <w:jc w:val="both"/>
        <w:rPr>
          <w:rFonts w:ascii="Bookman Old Style" w:hAnsi="Bookman Old Style"/>
          <w:sz w:val="22"/>
          <w:szCs w:val="22"/>
        </w:rPr>
      </w:pPr>
      <w:r>
        <w:rPr>
          <w:rFonts w:ascii="Bookman Old Style" w:hAnsi="Bookman Old Style"/>
          <w:sz w:val="22"/>
          <w:szCs w:val="22"/>
        </w:rPr>
        <w:t>Establecer que los procesos de postulación y obtención a dichos fondos debe hacerse en igualdad de condiciones con el resto de las organizaciones que no estén regidas por esta ley.</w:t>
      </w:r>
    </w:p>
    <w:p w:rsidR="007C123C" w:rsidRDefault="007C123C" w:rsidP="004506E0">
      <w:pPr>
        <w:pStyle w:val="Prrafodelista"/>
        <w:spacing w:line="360" w:lineRule="auto"/>
        <w:ind w:left="1068"/>
        <w:jc w:val="both"/>
        <w:rPr>
          <w:rFonts w:ascii="Bookman Old Style" w:hAnsi="Bookman Old Style"/>
          <w:sz w:val="22"/>
          <w:szCs w:val="22"/>
        </w:rPr>
      </w:pPr>
    </w:p>
    <w:p w:rsidR="007C123C" w:rsidRDefault="007C123C" w:rsidP="004506E0">
      <w:pPr>
        <w:pStyle w:val="Prrafodelista"/>
        <w:numPr>
          <w:ilvl w:val="0"/>
          <w:numId w:val="10"/>
        </w:numPr>
        <w:spacing w:line="360" w:lineRule="auto"/>
        <w:jc w:val="both"/>
        <w:rPr>
          <w:rFonts w:ascii="Bookman Old Style" w:hAnsi="Bookman Old Style"/>
          <w:sz w:val="22"/>
          <w:szCs w:val="22"/>
        </w:rPr>
      </w:pPr>
      <w:r>
        <w:rPr>
          <w:rFonts w:ascii="Bookman Old Style" w:hAnsi="Bookman Old Style"/>
          <w:sz w:val="22"/>
          <w:szCs w:val="22"/>
        </w:rPr>
        <w:t>Prohibir discriminaciones arbitrarias</w:t>
      </w:r>
      <w:r w:rsidR="00927346">
        <w:rPr>
          <w:rFonts w:ascii="Bookman Old Style" w:hAnsi="Bookman Old Style"/>
          <w:sz w:val="22"/>
          <w:szCs w:val="22"/>
        </w:rPr>
        <w:t xml:space="preserve"> durante los procesos de </w:t>
      </w:r>
      <w:proofErr w:type="spellStart"/>
      <w:r w:rsidR="00927346">
        <w:rPr>
          <w:rFonts w:ascii="Bookman Old Style" w:hAnsi="Bookman Old Style"/>
          <w:sz w:val="22"/>
          <w:szCs w:val="22"/>
        </w:rPr>
        <w:t>de</w:t>
      </w:r>
      <w:proofErr w:type="spellEnd"/>
      <w:r w:rsidR="00927346">
        <w:rPr>
          <w:rFonts w:ascii="Bookman Old Style" w:hAnsi="Bookman Old Style"/>
          <w:sz w:val="22"/>
          <w:szCs w:val="22"/>
        </w:rPr>
        <w:t xml:space="preserve"> postulación y obtención de fondos públicos.</w:t>
      </w:r>
    </w:p>
    <w:p w:rsidR="00A96F4F" w:rsidRPr="00A96F4F" w:rsidRDefault="00A96F4F" w:rsidP="004506E0">
      <w:pPr>
        <w:pStyle w:val="Prrafodelista"/>
        <w:spacing w:line="360" w:lineRule="auto"/>
        <w:ind w:left="1068"/>
        <w:jc w:val="both"/>
        <w:rPr>
          <w:rFonts w:ascii="Bookman Old Style" w:hAnsi="Bookman Old Style"/>
          <w:sz w:val="22"/>
          <w:szCs w:val="22"/>
        </w:rPr>
      </w:pPr>
    </w:p>
    <w:p w:rsidR="005F1EAA" w:rsidRDefault="005F1EAA" w:rsidP="004506E0">
      <w:pPr>
        <w:tabs>
          <w:tab w:val="left" w:pos="709"/>
        </w:tabs>
        <w:spacing w:line="360" w:lineRule="auto"/>
        <w:ind w:firstLine="708"/>
        <w:jc w:val="both"/>
        <w:rPr>
          <w:rFonts w:ascii="Bookman Old Style" w:eastAsia="Calibri" w:hAnsi="Bookman Old Style" w:cs="Arial"/>
          <w:color w:val="000000"/>
          <w:sz w:val="22"/>
        </w:rPr>
      </w:pPr>
      <w:r w:rsidRPr="005F1EAA">
        <w:rPr>
          <w:rFonts w:ascii="Bookman Old Style" w:eastAsia="Calibri" w:hAnsi="Bookman Old Style" w:cs="Arial"/>
          <w:color w:val="000000"/>
          <w:sz w:val="22"/>
        </w:rPr>
        <w:t>Por consiguiente, y con el mérito de los antecedentes expuestos, vengo en somet</w:t>
      </w:r>
      <w:r>
        <w:rPr>
          <w:rFonts w:ascii="Bookman Old Style" w:hAnsi="Bookman Old Style" w:cs="Arial"/>
          <w:color w:val="000000"/>
          <w:sz w:val="22"/>
        </w:rPr>
        <w:t>er a la consideración de ésta Honorable</w:t>
      </w:r>
      <w:r w:rsidRPr="005F1EAA">
        <w:rPr>
          <w:rFonts w:ascii="Bookman Old Style" w:eastAsia="Calibri" w:hAnsi="Bookman Old Style" w:cs="Arial"/>
          <w:color w:val="000000"/>
          <w:sz w:val="22"/>
        </w:rPr>
        <w:t xml:space="preserve"> Corporación, el siguiente</w:t>
      </w:r>
      <w:r>
        <w:rPr>
          <w:rFonts w:ascii="Bookman Old Style" w:hAnsi="Bookman Old Style" w:cs="Arial"/>
          <w:color w:val="000000"/>
          <w:sz w:val="22"/>
        </w:rPr>
        <w:t xml:space="preserve"> Proyecto de Ley</w:t>
      </w:r>
      <w:r w:rsidRPr="005F1EAA">
        <w:rPr>
          <w:rFonts w:ascii="Bookman Old Style" w:eastAsia="Calibri" w:hAnsi="Bookman Old Style" w:cs="Arial"/>
          <w:color w:val="000000"/>
          <w:sz w:val="22"/>
        </w:rPr>
        <w:t>:</w:t>
      </w:r>
    </w:p>
    <w:p w:rsidR="005F1EAA" w:rsidRDefault="005F1EAA" w:rsidP="004506E0">
      <w:pPr>
        <w:spacing w:line="360" w:lineRule="auto"/>
        <w:jc w:val="center"/>
        <w:rPr>
          <w:rFonts w:ascii="Bookman Old Style" w:hAnsi="Bookman Old Style"/>
          <w:b/>
          <w:szCs w:val="22"/>
        </w:rPr>
      </w:pPr>
      <w:r w:rsidRPr="005441C0">
        <w:rPr>
          <w:rFonts w:ascii="Bookman Old Style" w:hAnsi="Bookman Old Style"/>
          <w:b/>
          <w:szCs w:val="22"/>
        </w:rPr>
        <w:t>Proyecto de Ley</w:t>
      </w:r>
    </w:p>
    <w:p w:rsidR="00636721" w:rsidRPr="005441C0" w:rsidRDefault="00636721" w:rsidP="004506E0">
      <w:pPr>
        <w:spacing w:line="360" w:lineRule="auto"/>
        <w:jc w:val="center"/>
        <w:rPr>
          <w:rFonts w:ascii="Bookman Old Style" w:hAnsi="Bookman Old Style"/>
          <w:b/>
          <w:szCs w:val="22"/>
        </w:rPr>
      </w:pPr>
    </w:p>
    <w:p w:rsidR="003B2B55" w:rsidRDefault="003B2B55" w:rsidP="004506E0">
      <w:pPr>
        <w:spacing w:line="360" w:lineRule="auto"/>
        <w:jc w:val="both"/>
        <w:rPr>
          <w:rFonts w:ascii="Bookman Old Style" w:hAnsi="Bookman Old Style"/>
          <w:sz w:val="22"/>
          <w:szCs w:val="22"/>
        </w:rPr>
      </w:pPr>
      <w:r>
        <w:rPr>
          <w:rFonts w:ascii="Bookman Old Style" w:hAnsi="Bookman Old Style"/>
          <w:b/>
          <w:sz w:val="22"/>
          <w:szCs w:val="22"/>
        </w:rPr>
        <w:t>ARTÍCULO ÚNICO:</w:t>
      </w:r>
      <w:r w:rsidR="00A96F4F">
        <w:rPr>
          <w:rFonts w:ascii="Bookman Old Style" w:hAnsi="Bookman Old Style"/>
          <w:sz w:val="22"/>
          <w:szCs w:val="22"/>
        </w:rPr>
        <w:t xml:space="preserve"> Modificase la Ley </w:t>
      </w:r>
      <w:r w:rsidR="00833E76">
        <w:rPr>
          <w:rFonts w:ascii="Bookman Old Style" w:hAnsi="Bookman Old Style"/>
          <w:sz w:val="22"/>
          <w:szCs w:val="22"/>
        </w:rPr>
        <w:t xml:space="preserve">19.638 sobre Constitución Jurídica de las Iglesias y Organizaciones Religiosas </w:t>
      </w:r>
      <w:r>
        <w:rPr>
          <w:rFonts w:ascii="Bookman Old Style" w:hAnsi="Bookman Old Style"/>
          <w:sz w:val="22"/>
          <w:szCs w:val="22"/>
        </w:rPr>
        <w:t>de la siguiente manera:</w:t>
      </w:r>
    </w:p>
    <w:p w:rsidR="005F1EAA" w:rsidRDefault="005F1EAA" w:rsidP="004506E0">
      <w:pPr>
        <w:spacing w:line="360" w:lineRule="auto"/>
        <w:jc w:val="both"/>
        <w:rPr>
          <w:rFonts w:ascii="Bookman Old Style" w:hAnsi="Bookman Old Style"/>
          <w:sz w:val="22"/>
          <w:szCs w:val="22"/>
        </w:rPr>
      </w:pPr>
    </w:p>
    <w:p w:rsidR="003B2B55" w:rsidRDefault="00833E76" w:rsidP="004506E0">
      <w:pPr>
        <w:spacing w:line="360" w:lineRule="auto"/>
        <w:jc w:val="both"/>
        <w:rPr>
          <w:rFonts w:ascii="Bookman Old Style" w:hAnsi="Bookman Old Style"/>
          <w:b/>
          <w:sz w:val="22"/>
          <w:szCs w:val="22"/>
        </w:rPr>
      </w:pPr>
      <w:r>
        <w:rPr>
          <w:rFonts w:ascii="Bookman Old Style" w:hAnsi="Bookman Old Style"/>
          <w:b/>
          <w:sz w:val="22"/>
          <w:szCs w:val="22"/>
        </w:rPr>
        <w:t>ARTÍCULO 17:</w:t>
      </w:r>
    </w:p>
    <w:p w:rsidR="003B2B55" w:rsidRDefault="003B2B55" w:rsidP="004506E0">
      <w:pPr>
        <w:spacing w:line="360" w:lineRule="auto"/>
        <w:jc w:val="both"/>
        <w:rPr>
          <w:rFonts w:ascii="Bookman Old Style" w:hAnsi="Bookman Old Style"/>
          <w:b/>
          <w:sz w:val="22"/>
          <w:szCs w:val="22"/>
        </w:rPr>
      </w:pPr>
    </w:p>
    <w:p w:rsidR="008F323A" w:rsidRPr="001C3B85" w:rsidRDefault="003B2B55" w:rsidP="004506E0">
      <w:pPr>
        <w:spacing w:line="360" w:lineRule="auto"/>
        <w:jc w:val="both"/>
        <w:rPr>
          <w:rFonts w:ascii="Bookman Old Style" w:hAnsi="Bookman Old Style"/>
          <w:sz w:val="22"/>
          <w:szCs w:val="22"/>
        </w:rPr>
      </w:pPr>
      <w:r w:rsidRPr="001C3B85">
        <w:rPr>
          <w:rFonts w:ascii="Bookman Old Style" w:hAnsi="Bookman Old Style"/>
          <w:b/>
          <w:sz w:val="22"/>
          <w:szCs w:val="22"/>
        </w:rPr>
        <w:t xml:space="preserve">1. </w:t>
      </w:r>
      <w:r w:rsidR="008F323A" w:rsidRPr="001C3B85">
        <w:rPr>
          <w:rFonts w:ascii="Bookman Old Style" w:hAnsi="Bookman Old Style"/>
          <w:b/>
          <w:sz w:val="22"/>
          <w:szCs w:val="22"/>
        </w:rPr>
        <w:t>Agréguese</w:t>
      </w:r>
      <w:r w:rsidR="00E0227D" w:rsidRPr="001C3B85">
        <w:rPr>
          <w:rFonts w:ascii="Bookman Old Style" w:hAnsi="Bookman Old Style"/>
          <w:b/>
          <w:sz w:val="22"/>
          <w:szCs w:val="22"/>
        </w:rPr>
        <w:t xml:space="preserve"> </w:t>
      </w:r>
      <w:r w:rsidR="00833E76" w:rsidRPr="001C3B85">
        <w:rPr>
          <w:rFonts w:ascii="Bookman Old Style" w:hAnsi="Bookman Old Style"/>
          <w:b/>
          <w:sz w:val="22"/>
          <w:szCs w:val="22"/>
        </w:rPr>
        <w:t xml:space="preserve">al final del artículo 17 lo siguiente: </w:t>
      </w:r>
      <w:r w:rsidR="00833E76" w:rsidRPr="001C3B85">
        <w:rPr>
          <w:rFonts w:ascii="Bookman Old Style" w:hAnsi="Bookman Old Style"/>
          <w:sz w:val="22"/>
          <w:szCs w:val="22"/>
        </w:rPr>
        <w:t xml:space="preserve">"Asimismo, </w:t>
      </w:r>
      <w:r w:rsidR="006341B1" w:rsidRPr="001C3B85">
        <w:rPr>
          <w:rFonts w:ascii="Bookman Old Style" w:hAnsi="Bookman Old Style"/>
          <w:sz w:val="22"/>
          <w:szCs w:val="22"/>
        </w:rPr>
        <w:t xml:space="preserve">tendrán derecho a </w:t>
      </w:r>
      <w:r w:rsidR="00833E76" w:rsidRPr="001C3B85">
        <w:rPr>
          <w:rFonts w:ascii="Bookman Old Style" w:hAnsi="Bookman Old Style"/>
          <w:sz w:val="22"/>
          <w:szCs w:val="22"/>
        </w:rPr>
        <w:t>postular a toda clase de fondos públicos</w:t>
      </w:r>
      <w:r w:rsidR="006A6624" w:rsidRPr="001C3B85">
        <w:rPr>
          <w:rFonts w:ascii="Bookman Old Style" w:hAnsi="Bookman Old Style"/>
          <w:sz w:val="22"/>
          <w:szCs w:val="22"/>
        </w:rPr>
        <w:t xml:space="preserve">, incluyendo aquellos fondos destinados a la adquisición de bienes muebles o inmuebles, a la construcción, mejoramiento, ampliación, reparación o mantención de infraestructura, </w:t>
      </w:r>
      <w:r w:rsidR="00AB2926" w:rsidRPr="001C3B85">
        <w:rPr>
          <w:rFonts w:ascii="Bookman Old Style" w:hAnsi="Bookman Old Style"/>
          <w:sz w:val="22"/>
          <w:szCs w:val="22"/>
        </w:rPr>
        <w:t xml:space="preserve">al desarrollo de actividades culturales y deportivas, </w:t>
      </w:r>
      <w:r w:rsidR="006A6624" w:rsidRPr="001C3B85">
        <w:rPr>
          <w:rFonts w:ascii="Bookman Old Style" w:hAnsi="Bookman Old Style"/>
          <w:sz w:val="22"/>
          <w:szCs w:val="22"/>
        </w:rPr>
        <w:t>y al financiamiento de proyectos sociales que mejoren la calidad de vida de la comunidad.</w:t>
      </w:r>
      <w:r w:rsidR="00833E76" w:rsidRPr="001C3B85">
        <w:rPr>
          <w:rFonts w:ascii="Bookman Old Style" w:hAnsi="Bookman Old Style"/>
          <w:sz w:val="22"/>
          <w:szCs w:val="22"/>
        </w:rPr>
        <w:t xml:space="preserve"> La postulación y obtención de estos fondos se realizará en igualdad de condiciones con las demás organizaciones no regidas por esta ley, no pudiendo ser discriminadas arbitrariamente</w:t>
      </w:r>
      <w:r w:rsidR="00833E76" w:rsidRPr="001C3B85">
        <w:rPr>
          <w:rFonts w:ascii="Bookman Old Style" w:hAnsi="Bookman Old Style"/>
          <w:b/>
          <w:sz w:val="22"/>
          <w:szCs w:val="22"/>
        </w:rPr>
        <w:t>".</w:t>
      </w:r>
    </w:p>
    <w:p w:rsidR="009119BD" w:rsidRDefault="00833E76" w:rsidP="004506E0">
      <w:pPr>
        <w:tabs>
          <w:tab w:val="left" w:pos="6716"/>
        </w:tabs>
        <w:spacing w:line="360" w:lineRule="auto"/>
        <w:jc w:val="both"/>
        <w:rPr>
          <w:rFonts w:ascii="Bookman Old Style" w:hAnsi="Bookman Old Style"/>
          <w:sz w:val="22"/>
          <w:szCs w:val="22"/>
        </w:rPr>
      </w:pPr>
      <w:r>
        <w:rPr>
          <w:rFonts w:ascii="Bookman Old Style" w:hAnsi="Bookman Old Style"/>
          <w:sz w:val="22"/>
          <w:szCs w:val="22"/>
        </w:rPr>
        <w:tab/>
      </w:r>
    </w:p>
    <w:p w:rsidR="004506E0" w:rsidRDefault="004506E0" w:rsidP="004506E0">
      <w:pPr>
        <w:tabs>
          <w:tab w:val="left" w:pos="6716"/>
        </w:tabs>
        <w:spacing w:line="360" w:lineRule="auto"/>
        <w:jc w:val="both"/>
        <w:rPr>
          <w:rFonts w:ascii="Bookman Old Style" w:hAnsi="Bookman Old Style"/>
          <w:sz w:val="22"/>
          <w:szCs w:val="22"/>
        </w:rPr>
      </w:pPr>
    </w:p>
    <w:p w:rsidR="009119BD" w:rsidRDefault="009119BD" w:rsidP="004506E0">
      <w:pPr>
        <w:tabs>
          <w:tab w:val="left" w:pos="6716"/>
        </w:tabs>
        <w:spacing w:line="360" w:lineRule="auto"/>
        <w:jc w:val="both"/>
        <w:rPr>
          <w:rFonts w:ascii="Bookman Old Style" w:hAnsi="Bookman Old Style"/>
          <w:sz w:val="22"/>
          <w:szCs w:val="22"/>
        </w:rPr>
      </w:pPr>
    </w:p>
    <w:p w:rsidR="005F1EAA" w:rsidRDefault="005F1EAA" w:rsidP="004506E0">
      <w:pPr>
        <w:spacing w:line="276" w:lineRule="auto"/>
        <w:jc w:val="center"/>
        <w:rPr>
          <w:rFonts w:ascii="Bookman Old Style" w:hAnsi="Bookman Old Style"/>
          <w:b/>
          <w:sz w:val="22"/>
          <w:szCs w:val="22"/>
        </w:rPr>
      </w:pPr>
      <w:r>
        <w:rPr>
          <w:rFonts w:ascii="Bookman Old Style" w:hAnsi="Bookman Old Style"/>
          <w:b/>
          <w:sz w:val="22"/>
          <w:szCs w:val="22"/>
        </w:rPr>
        <w:t xml:space="preserve">Cristóbal </w:t>
      </w:r>
      <w:proofErr w:type="spellStart"/>
      <w:r>
        <w:rPr>
          <w:rFonts w:ascii="Bookman Old Style" w:hAnsi="Bookman Old Style"/>
          <w:b/>
          <w:sz w:val="22"/>
          <w:szCs w:val="22"/>
        </w:rPr>
        <w:t>Urruticoechea</w:t>
      </w:r>
      <w:proofErr w:type="spellEnd"/>
    </w:p>
    <w:p w:rsidR="006341B1" w:rsidRPr="006341B1" w:rsidRDefault="005F1EAA" w:rsidP="00D666D1">
      <w:pPr>
        <w:spacing w:line="276" w:lineRule="auto"/>
        <w:jc w:val="center"/>
        <w:rPr>
          <w:rFonts w:ascii="Bookman Old Style" w:hAnsi="Bookman Old Style"/>
          <w:sz w:val="22"/>
        </w:rPr>
      </w:pPr>
      <w:r>
        <w:rPr>
          <w:rFonts w:ascii="Bookman Old Style" w:hAnsi="Bookman Old Style"/>
          <w:b/>
          <w:sz w:val="22"/>
          <w:szCs w:val="22"/>
        </w:rPr>
        <w:t>Diputado de la República</w:t>
      </w:r>
    </w:p>
    <w:sectPr w:rsidR="006341B1" w:rsidRPr="006341B1" w:rsidSect="004506E0">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5F9" w:rsidRDefault="008C05F9" w:rsidP="00776200">
      <w:r>
        <w:separator/>
      </w:r>
    </w:p>
  </w:endnote>
  <w:endnote w:type="continuationSeparator" w:id="0">
    <w:p w:rsidR="008C05F9" w:rsidRDefault="008C05F9" w:rsidP="0077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47" w:rsidRDefault="001D3347" w:rsidP="001D3347">
    <w:pPr>
      <w:spacing w:line="276" w:lineRule="auto"/>
      <w:jc w:val="center"/>
      <w:rPr>
        <w:rFonts w:ascii="Bookman Old Style" w:hAnsi="Bookman Old Style"/>
        <w:b/>
        <w:sz w:val="20"/>
        <w:lang w:val="es-CL"/>
      </w:rPr>
    </w:pPr>
  </w:p>
  <w:p w:rsidR="001D3347" w:rsidRDefault="001D33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5F9" w:rsidRDefault="008C05F9" w:rsidP="00776200">
      <w:r>
        <w:separator/>
      </w:r>
    </w:p>
  </w:footnote>
  <w:footnote w:type="continuationSeparator" w:id="0">
    <w:p w:rsidR="008C05F9" w:rsidRDefault="008C05F9" w:rsidP="00776200">
      <w:r>
        <w:continuationSeparator/>
      </w:r>
    </w:p>
  </w:footnote>
  <w:footnote w:id="1">
    <w:p w:rsidR="008A1A8F" w:rsidRPr="008A1A8F" w:rsidRDefault="008A1A8F" w:rsidP="008A1A8F">
      <w:pPr>
        <w:pStyle w:val="Textonotapie"/>
        <w:spacing w:line="276" w:lineRule="auto"/>
        <w:jc w:val="both"/>
        <w:rPr>
          <w:rFonts w:ascii="Bookman Old Style" w:hAnsi="Bookman Old Style"/>
          <w:lang w:val="es-CL"/>
        </w:rPr>
      </w:pPr>
      <w:r>
        <w:rPr>
          <w:rStyle w:val="Refdenotaalpie"/>
        </w:rPr>
        <w:footnoteRef/>
      </w:r>
      <w:r>
        <w:t xml:space="preserve"> </w:t>
      </w:r>
      <w:r w:rsidR="00123579">
        <w:rPr>
          <w:rFonts w:ascii="Bookman Old Style" w:hAnsi="Bookman Old Style"/>
        </w:rPr>
        <w:t xml:space="preserve">CANDIA FALCÓN, Gonzalo, </w:t>
      </w:r>
      <w:r w:rsidR="00123579">
        <w:rPr>
          <w:rFonts w:ascii="Bookman Old Style" w:hAnsi="Bookman Old Style"/>
          <w:i/>
        </w:rPr>
        <w:t>Introducción al Derecho Internacional de los Derechos Humanos. Análisis, Doctrina y Jurisprudencia</w:t>
      </w:r>
      <w:r w:rsidR="00123579">
        <w:rPr>
          <w:rFonts w:ascii="Bookman Old Style" w:hAnsi="Bookman Old Style"/>
        </w:rPr>
        <w:t xml:space="preserve"> (Santiago de Chile, Ediciones Universidad Católica de Chile, 2016)</w:t>
      </w:r>
      <w:proofErr w:type="gramStart"/>
      <w:r w:rsidR="00123579">
        <w:rPr>
          <w:rFonts w:ascii="Bookman Old Style" w:hAnsi="Bookman Old Style"/>
        </w:rPr>
        <w:t>,p</w:t>
      </w:r>
      <w:r>
        <w:rPr>
          <w:rFonts w:ascii="Bookman Old Style" w:hAnsi="Bookman Old Style"/>
        </w:rPr>
        <w:t>ágina</w:t>
      </w:r>
      <w:proofErr w:type="gramEnd"/>
      <w:r>
        <w:rPr>
          <w:rFonts w:ascii="Bookman Old Style" w:hAnsi="Bookman Old Style"/>
        </w:rPr>
        <w:t xml:space="preserve"> 268. </w:t>
      </w:r>
    </w:p>
  </w:footnote>
  <w:footnote w:id="2">
    <w:p w:rsidR="003B683D" w:rsidRPr="003B683D" w:rsidRDefault="003B683D" w:rsidP="009F256F">
      <w:pPr>
        <w:pStyle w:val="Textonotapie"/>
        <w:jc w:val="both"/>
        <w:rPr>
          <w:rFonts w:ascii="Bookman Old Style" w:hAnsi="Bookman Old Style"/>
          <w:lang w:val="es-CL"/>
        </w:rPr>
      </w:pPr>
      <w:r w:rsidRPr="003B683D">
        <w:rPr>
          <w:rStyle w:val="Refdenotaalpie"/>
          <w:rFonts w:ascii="Bookman Old Style" w:hAnsi="Bookman Old Style"/>
        </w:rPr>
        <w:footnoteRef/>
      </w:r>
      <w:r w:rsidRPr="003B683D">
        <w:rPr>
          <w:rFonts w:ascii="Bookman Old Style" w:hAnsi="Bookman Old Style"/>
        </w:rPr>
        <w:t xml:space="preserve"> CRUZ-COKE</w:t>
      </w:r>
      <w:r w:rsidRPr="003B683D">
        <w:rPr>
          <w:rFonts w:ascii="Bookman Old Style" w:hAnsi="Bookman Old Style"/>
          <w:i/>
        </w:rPr>
        <w:t xml:space="preserve"> </w:t>
      </w:r>
      <w:r w:rsidRPr="003B683D">
        <w:rPr>
          <w:rFonts w:ascii="Bookman Old Style" w:hAnsi="Bookman Old Style"/>
        </w:rPr>
        <w:t xml:space="preserve">OSSA, Carlos, </w:t>
      </w:r>
      <w:r>
        <w:rPr>
          <w:rFonts w:ascii="Bookman Old Style" w:hAnsi="Bookman Old Style"/>
          <w:i/>
          <w:lang w:val="es-CL"/>
        </w:rPr>
        <w:t xml:space="preserve">Instituciones Políticas y Derecho Constitucional </w:t>
      </w:r>
      <w:r>
        <w:rPr>
          <w:rFonts w:ascii="Bookman Old Style" w:hAnsi="Bookman Old Style"/>
          <w:lang w:val="es-CL"/>
        </w:rPr>
        <w:t xml:space="preserve">(Santiago de Chile, Ediciones Universidad </w:t>
      </w:r>
      <w:proofErr w:type="spellStart"/>
      <w:r>
        <w:rPr>
          <w:rFonts w:ascii="Bookman Old Style" w:hAnsi="Bookman Old Style"/>
          <w:lang w:val="es-CL"/>
        </w:rPr>
        <w:t>Finis</w:t>
      </w:r>
      <w:proofErr w:type="spellEnd"/>
      <w:r>
        <w:rPr>
          <w:rFonts w:ascii="Bookman Old Style" w:hAnsi="Bookman Old Style"/>
          <w:lang w:val="es-CL"/>
        </w:rPr>
        <w:t xml:space="preserve"> </w:t>
      </w:r>
      <w:proofErr w:type="spellStart"/>
      <w:r>
        <w:rPr>
          <w:rFonts w:ascii="Bookman Old Style" w:hAnsi="Bookman Old Style"/>
          <w:lang w:val="es-CL"/>
        </w:rPr>
        <w:t>Terrae</w:t>
      </w:r>
      <w:proofErr w:type="spellEnd"/>
      <w:r>
        <w:rPr>
          <w:rFonts w:ascii="Bookman Old Style" w:hAnsi="Bookman Old Style"/>
          <w:lang w:val="es-CL"/>
        </w:rPr>
        <w:t>, 2009), página 408.</w:t>
      </w:r>
    </w:p>
  </w:footnote>
  <w:footnote w:id="3">
    <w:p w:rsidR="003B683D" w:rsidRPr="003B683D" w:rsidRDefault="003B683D" w:rsidP="003B683D">
      <w:pPr>
        <w:pStyle w:val="Textonotapie"/>
        <w:spacing w:line="276" w:lineRule="auto"/>
        <w:jc w:val="both"/>
        <w:rPr>
          <w:rFonts w:ascii="Bookman Old Style" w:hAnsi="Bookman Old Style"/>
          <w:lang w:val="es-CL"/>
        </w:rPr>
      </w:pPr>
      <w:r>
        <w:rPr>
          <w:rStyle w:val="Refdenotaalpie"/>
        </w:rPr>
        <w:footnoteRef/>
      </w:r>
      <w:r>
        <w:t xml:space="preserve"> </w:t>
      </w:r>
      <w:r w:rsidRPr="003B683D">
        <w:rPr>
          <w:rFonts w:ascii="Bookman Old Style" w:hAnsi="Bookman Old Style"/>
          <w:i/>
        </w:rPr>
        <w:t>Ibídem</w:t>
      </w:r>
      <w:r w:rsidRPr="003B683D">
        <w:rPr>
          <w:rFonts w:ascii="Bookman Old Style" w:hAnsi="Bookman Old Style"/>
        </w:rPr>
        <w:t>,</w:t>
      </w:r>
      <w:r>
        <w:rPr>
          <w:rFonts w:ascii="Bookman Old Style" w:hAnsi="Bookman Old Style"/>
        </w:rPr>
        <w:t xml:space="preserve"> páginas 408 y 409.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AA" w:rsidRDefault="005F1EAA" w:rsidP="005F1EAA">
    <w:pPr>
      <w:pStyle w:val="Encabezado"/>
      <w:jc w:val="center"/>
      <w:rPr>
        <w:sz w:val="22"/>
      </w:rPr>
    </w:pPr>
    <w:r w:rsidRPr="005F1EAA">
      <w:rPr>
        <w:noProof/>
        <w:lang w:val="es-CL" w:eastAsia="es-CL"/>
      </w:rPr>
      <w:drawing>
        <wp:inline distT="0" distB="0" distL="0" distR="0">
          <wp:extent cx="1155700" cy="1155700"/>
          <wp:effectExtent l="0" t="0" r="12700" b="12700"/>
          <wp:docPr id="2" name="Imagen 1" descr="Descripción: Descripción: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logo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4E3D0E" w:rsidRPr="004E3D0E" w:rsidRDefault="004E3D0E" w:rsidP="005F1EAA">
    <w:pPr>
      <w:pStyle w:val="Encabezado"/>
      <w:jc w:val="cent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46A"/>
    <w:multiLevelType w:val="hybridMultilevel"/>
    <w:tmpl w:val="2B4ED152"/>
    <w:lvl w:ilvl="0" w:tplc="1854A47E">
      <w:start w:val="1"/>
      <w:numFmt w:val="bullet"/>
      <w:lvlText w:val="-"/>
      <w:lvlJc w:val="left"/>
      <w:pPr>
        <w:ind w:left="1146" w:hanging="360"/>
      </w:pPr>
      <w:rPr>
        <w:rFonts w:ascii="Sylfaen" w:hAnsi="Sylfaen"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3190041"/>
    <w:multiLevelType w:val="multilevel"/>
    <w:tmpl w:val="C244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F2AD5"/>
    <w:multiLevelType w:val="hybridMultilevel"/>
    <w:tmpl w:val="E9503F20"/>
    <w:lvl w:ilvl="0" w:tplc="1854A47E">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2FE1EDA"/>
    <w:multiLevelType w:val="hybridMultilevel"/>
    <w:tmpl w:val="7116C3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5BC1920"/>
    <w:multiLevelType w:val="hybridMultilevel"/>
    <w:tmpl w:val="31FC1C70"/>
    <w:lvl w:ilvl="0" w:tplc="340A0013">
      <w:start w:val="1"/>
      <w:numFmt w:val="upperRoman"/>
      <w:lvlText w:val="%1."/>
      <w:lvlJc w:val="righ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98B3BCD"/>
    <w:multiLevelType w:val="hybridMultilevel"/>
    <w:tmpl w:val="CB8C53D2"/>
    <w:lvl w:ilvl="0" w:tplc="1854A47E">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DB47556"/>
    <w:multiLevelType w:val="hybridMultilevel"/>
    <w:tmpl w:val="4B487CB2"/>
    <w:lvl w:ilvl="0" w:tplc="8AC4E48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5D3516A4"/>
    <w:multiLevelType w:val="multilevel"/>
    <w:tmpl w:val="7EC843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5F993158"/>
    <w:multiLevelType w:val="multilevel"/>
    <w:tmpl w:val="61A42C22"/>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77915217"/>
    <w:multiLevelType w:val="hybridMultilevel"/>
    <w:tmpl w:val="0F94F23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9"/>
  </w:num>
  <w:num w:numId="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187C"/>
    <w:rsid w:val="00002A78"/>
    <w:rsid w:val="00004717"/>
    <w:rsid w:val="0000729F"/>
    <w:rsid w:val="00045584"/>
    <w:rsid w:val="00063674"/>
    <w:rsid w:val="0007651F"/>
    <w:rsid w:val="00076D5B"/>
    <w:rsid w:val="0009439A"/>
    <w:rsid w:val="000A3082"/>
    <w:rsid w:val="000A4C86"/>
    <w:rsid w:val="000C3BA4"/>
    <w:rsid w:val="000E16F9"/>
    <w:rsid w:val="001153FC"/>
    <w:rsid w:val="00123579"/>
    <w:rsid w:val="0013321F"/>
    <w:rsid w:val="001333D6"/>
    <w:rsid w:val="001747AB"/>
    <w:rsid w:val="00182ECB"/>
    <w:rsid w:val="001A3D9E"/>
    <w:rsid w:val="001C3B85"/>
    <w:rsid w:val="001C690C"/>
    <w:rsid w:val="001D3347"/>
    <w:rsid w:val="001D7167"/>
    <w:rsid w:val="001E5179"/>
    <w:rsid w:val="002037DB"/>
    <w:rsid w:val="002156A0"/>
    <w:rsid w:val="00227DE2"/>
    <w:rsid w:val="002401D0"/>
    <w:rsid w:val="00252572"/>
    <w:rsid w:val="00271F7A"/>
    <w:rsid w:val="002750E2"/>
    <w:rsid w:val="002B6D92"/>
    <w:rsid w:val="002D4718"/>
    <w:rsid w:val="00307A6B"/>
    <w:rsid w:val="003714C4"/>
    <w:rsid w:val="00376641"/>
    <w:rsid w:val="00380018"/>
    <w:rsid w:val="00386ED0"/>
    <w:rsid w:val="0039477C"/>
    <w:rsid w:val="003A790A"/>
    <w:rsid w:val="003B2B55"/>
    <w:rsid w:val="003B3BF4"/>
    <w:rsid w:val="003B683D"/>
    <w:rsid w:val="003E1665"/>
    <w:rsid w:val="003F0B25"/>
    <w:rsid w:val="00414D0F"/>
    <w:rsid w:val="00421EFE"/>
    <w:rsid w:val="00441F0E"/>
    <w:rsid w:val="00442B65"/>
    <w:rsid w:val="00443D22"/>
    <w:rsid w:val="00447F9D"/>
    <w:rsid w:val="004506E0"/>
    <w:rsid w:val="00452984"/>
    <w:rsid w:val="004825E0"/>
    <w:rsid w:val="00487C05"/>
    <w:rsid w:val="004C1089"/>
    <w:rsid w:val="004C41A4"/>
    <w:rsid w:val="004C5089"/>
    <w:rsid w:val="004D42C5"/>
    <w:rsid w:val="004E3D0E"/>
    <w:rsid w:val="004E461A"/>
    <w:rsid w:val="005441C0"/>
    <w:rsid w:val="00547F5C"/>
    <w:rsid w:val="00584CBA"/>
    <w:rsid w:val="00587A40"/>
    <w:rsid w:val="00596DF4"/>
    <w:rsid w:val="005A22CD"/>
    <w:rsid w:val="005A4045"/>
    <w:rsid w:val="005C0DEC"/>
    <w:rsid w:val="005C2FFD"/>
    <w:rsid w:val="005E1981"/>
    <w:rsid w:val="005F1311"/>
    <w:rsid w:val="005F1EAA"/>
    <w:rsid w:val="006008CB"/>
    <w:rsid w:val="00607D93"/>
    <w:rsid w:val="00621B65"/>
    <w:rsid w:val="00632E73"/>
    <w:rsid w:val="006341B1"/>
    <w:rsid w:val="00636721"/>
    <w:rsid w:val="00653341"/>
    <w:rsid w:val="0065476C"/>
    <w:rsid w:val="00662D42"/>
    <w:rsid w:val="00672A5B"/>
    <w:rsid w:val="006A6624"/>
    <w:rsid w:val="006D3DF6"/>
    <w:rsid w:val="006F201E"/>
    <w:rsid w:val="006F7E93"/>
    <w:rsid w:val="00705135"/>
    <w:rsid w:val="00715ABB"/>
    <w:rsid w:val="00723CB4"/>
    <w:rsid w:val="007324FB"/>
    <w:rsid w:val="00752E81"/>
    <w:rsid w:val="00776200"/>
    <w:rsid w:val="007762E7"/>
    <w:rsid w:val="0078431C"/>
    <w:rsid w:val="00786265"/>
    <w:rsid w:val="007B5077"/>
    <w:rsid w:val="007C123C"/>
    <w:rsid w:val="007C3B8E"/>
    <w:rsid w:val="007D1D17"/>
    <w:rsid w:val="007D7A1A"/>
    <w:rsid w:val="007E6E15"/>
    <w:rsid w:val="007F7188"/>
    <w:rsid w:val="00805D15"/>
    <w:rsid w:val="0080753E"/>
    <w:rsid w:val="00821E43"/>
    <w:rsid w:val="00833E76"/>
    <w:rsid w:val="0087562E"/>
    <w:rsid w:val="00894701"/>
    <w:rsid w:val="008A1A8F"/>
    <w:rsid w:val="008A5D25"/>
    <w:rsid w:val="008C05F9"/>
    <w:rsid w:val="008D1B97"/>
    <w:rsid w:val="008E707D"/>
    <w:rsid w:val="008F323A"/>
    <w:rsid w:val="008F5DCC"/>
    <w:rsid w:val="009119BD"/>
    <w:rsid w:val="00927346"/>
    <w:rsid w:val="0094273E"/>
    <w:rsid w:val="009577CA"/>
    <w:rsid w:val="009622AF"/>
    <w:rsid w:val="009714CD"/>
    <w:rsid w:val="00977B29"/>
    <w:rsid w:val="009835EB"/>
    <w:rsid w:val="009837EB"/>
    <w:rsid w:val="00991F76"/>
    <w:rsid w:val="009933C8"/>
    <w:rsid w:val="009A1450"/>
    <w:rsid w:val="009F256F"/>
    <w:rsid w:val="009F6D39"/>
    <w:rsid w:val="009F7037"/>
    <w:rsid w:val="00A02F76"/>
    <w:rsid w:val="00A064AE"/>
    <w:rsid w:val="00A13EC5"/>
    <w:rsid w:val="00A2172A"/>
    <w:rsid w:val="00A22018"/>
    <w:rsid w:val="00A26725"/>
    <w:rsid w:val="00A42412"/>
    <w:rsid w:val="00A45CAA"/>
    <w:rsid w:val="00A47C15"/>
    <w:rsid w:val="00A760F8"/>
    <w:rsid w:val="00A878D9"/>
    <w:rsid w:val="00A96F4F"/>
    <w:rsid w:val="00AA07A2"/>
    <w:rsid w:val="00AB2926"/>
    <w:rsid w:val="00AD3812"/>
    <w:rsid w:val="00AD472C"/>
    <w:rsid w:val="00B01A77"/>
    <w:rsid w:val="00B022BE"/>
    <w:rsid w:val="00B2477A"/>
    <w:rsid w:val="00B31BBD"/>
    <w:rsid w:val="00B40231"/>
    <w:rsid w:val="00B82739"/>
    <w:rsid w:val="00B91FC7"/>
    <w:rsid w:val="00B97C3E"/>
    <w:rsid w:val="00BB3A98"/>
    <w:rsid w:val="00BC7D34"/>
    <w:rsid w:val="00BE5010"/>
    <w:rsid w:val="00BE77E4"/>
    <w:rsid w:val="00C050FC"/>
    <w:rsid w:val="00C1387F"/>
    <w:rsid w:val="00C20211"/>
    <w:rsid w:val="00C44D4E"/>
    <w:rsid w:val="00C4779C"/>
    <w:rsid w:val="00C51C20"/>
    <w:rsid w:val="00C63363"/>
    <w:rsid w:val="00C940CC"/>
    <w:rsid w:val="00C942DD"/>
    <w:rsid w:val="00CD578B"/>
    <w:rsid w:val="00D1330C"/>
    <w:rsid w:val="00D26A27"/>
    <w:rsid w:val="00D44F0C"/>
    <w:rsid w:val="00D666D1"/>
    <w:rsid w:val="00D771FC"/>
    <w:rsid w:val="00DA66E7"/>
    <w:rsid w:val="00DE1F83"/>
    <w:rsid w:val="00DF1545"/>
    <w:rsid w:val="00DF54A1"/>
    <w:rsid w:val="00DF61FA"/>
    <w:rsid w:val="00E0227D"/>
    <w:rsid w:val="00E2326F"/>
    <w:rsid w:val="00E8651C"/>
    <w:rsid w:val="00E90AAA"/>
    <w:rsid w:val="00EB187C"/>
    <w:rsid w:val="00EB2205"/>
    <w:rsid w:val="00ED2E85"/>
    <w:rsid w:val="00ED2F80"/>
    <w:rsid w:val="00ED3A21"/>
    <w:rsid w:val="00EE5A49"/>
    <w:rsid w:val="00EF6627"/>
    <w:rsid w:val="00F07C53"/>
    <w:rsid w:val="00F44603"/>
    <w:rsid w:val="00F60C61"/>
    <w:rsid w:val="00F6540D"/>
    <w:rsid w:val="00F714CF"/>
    <w:rsid w:val="00FB7CA8"/>
    <w:rsid w:val="00FC14B5"/>
    <w:rsid w:val="00FC160F"/>
    <w:rsid w:val="00FD6886"/>
    <w:rsid w:val="00FE4D5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A32C8-9D59-4C70-A302-39687F88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8CB"/>
  </w:style>
  <w:style w:type="paragraph" w:styleId="Ttulo2">
    <w:name w:val="heading 2"/>
    <w:basedOn w:val="Normal"/>
    <w:link w:val="Ttulo2Car"/>
    <w:uiPriority w:val="9"/>
    <w:qFormat/>
    <w:rsid w:val="00182ECB"/>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182ECB"/>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1"/>
    <w:basedOn w:val="Normal"/>
    <w:next w:val="Textoindependiente"/>
    <w:link w:val="TextodecuerpoCar"/>
    <w:rsid w:val="00EB187C"/>
    <w:pPr>
      <w:suppressAutoHyphens/>
      <w:jc w:val="both"/>
    </w:pPr>
    <w:rPr>
      <w:rFonts w:ascii="Times New Roman" w:eastAsia="Times New Roman" w:hAnsi="Times New Roman" w:cs="Times New Roman"/>
      <w:szCs w:val="20"/>
      <w:lang w:val="es-ES" w:eastAsia="ar-SA"/>
    </w:rPr>
  </w:style>
  <w:style w:type="character" w:customStyle="1" w:styleId="TextodecuerpoCar">
    <w:name w:val="Texto de cuerpo Car"/>
    <w:link w:val="1"/>
    <w:rsid w:val="00EB187C"/>
    <w:rPr>
      <w:rFonts w:ascii="Times New Roman" w:eastAsia="Times New Roman" w:hAnsi="Times New Roman" w:cs="Times New Roman"/>
      <w:szCs w:val="20"/>
      <w:lang w:val="es-ES" w:eastAsia="ar-SA"/>
    </w:rPr>
  </w:style>
  <w:style w:type="paragraph" w:styleId="Textoindependiente">
    <w:name w:val="Body Text"/>
    <w:basedOn w:val="Normal"/>
    <w:link w:val="TextoindependienteCar"/>
    <w:uiPriority w:val="99"/>
    <w:unhideWhenUsed/>
    <w:rsid w:val="00EB187C"/>
    <w:pPr>
      <w:spacing w:after="120"/>
    </w:pPr>
  </w:style>
  <w:style w:type="character" w:customStyle="1" w:styleId="TextoindependienteCar">
    <w:name w:val="Texto independiente Car"/>
    <w:basedOn w:val="Fuentedeprrafopredeter"/>
    <w:link w:val="Textoindependiente"/>
    <w:uiPriority w:val="99"/>
    <w:rsid w:val="00EB187C"/>
  </w:style>
  <w:style w:type="paragraph" w:styleId="Textodeglobo">
    <w:name w:val="Balloon Text"/>
    <w:basedOn w:val="Normal"/>
    <w:link w:val="TextodegloboCar"/>
    <w:uiPriority w:val="99"/>
    <w:semiHidden/>
    <w:unhideWhenUsed/>
    <w:rsid w:val="00076D5B"/>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D5B"/>
    <w:rPr>
      <w:rFonts w:ascii="Tahoma" w:hAnsi="Tahoma" w:cs="Tahoma"/>
      <w:sz w:val="16"/>
      <w:szCs w:val="16"/>
    </w:rPr>
  </w:style>
  <w:style w:type="paragraph" w:styleId="Encabezado">
    <w:name w:val="header"/>
    <w:basedOn w:val="Normal"/>
    <w:link w:val="EncabezadoCar"/>
    <w:uiPriority w:val="99"/>
    <w:semiHidden/>
    <w:unhideWhenUsed/>
    <w:rsid w:val="00776200"/>
    <w:pPr>
      <w:tabs>
        <w:tab w:val="center" w:pos="4419"/>
        <w:tab w:val="right" w:pos="8838"/>
      </w:tabs>
    </w:pPr>
  </w:style>
  <w:style w:type="character" w:customStyle="1" w:styleId="EncabezadoCar">
    <w:name w:val="Encabezado Car"/>
    <w:basedOn w:val="Fuentedeprrafopredeter"/>
    <w:link w:val="Encabezado"/>
    <w:uiPriority w:val="99"/>
    <w:semiHidden/>
    <w:rsid w:val="00776200"/>
  </w:style>
  <w:style w:type="paragraph" w:styleId="Piedepgina">
    <w:name w:val="footer"/>
    <w:basedOn w:val="Normal"/>
    <w:link w:val="PiedepginaCar"/>
    <w:uiPriority w:val="99"/>
    <w:semiHidden/>
    <w:unhideWhenUsed/>
    <w:rsid w:val="00776200"/>
    <w:pPr>
      <w:tabs>
        <w:tab w:val="center" w:pos="4419"/>
        <w:tab w:val="right" w:pos="8838"/>
      </w:tabs>
    </w:pPr>
  </w:style>
  <w:style w:type="character" w:customStyle="1" w:styleId="PiedepginaCar">
    <w:name w:val="Pie de página Car"/>
    <w:basedOn w:val="Fuentedeprrafopredeter"/>
    <w:link w:val="Piedepgina"/>
    <w:uiPriority w:val="99"/>
    <w:semiHidden/>
    <w:rsid w:val="00776200"/>
  </w:style>
  <w:style w:type="table" w:styleId="Tablaconcuadrcula">
    <w:name w:val="Table Grid"/>
    <w:basedOn w:val="Tablanormal"/>
    <w:uiPriority w:val="39"/>
    <w:rsid w:val="005E19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F0B25"/>
    <w:pPr>
      <w:ind w:left="720"/>
      <w:contextualSpacing/>
    </w:pPr>
  </w:style>
  <w:style w:type="paragraph" w:styleId="NormalWeb">
    <w:name w:val="Normal (Web)"/>
    <w:basedOn w:val="Normal"/>
    <w:uiPriority w:val="99"/>
    <w:semiHidden/>
    <w:unhideWhenUsed/>
    <w:rsid w:val="00063674"/>
    <w:pPr>
      <w:spacing w:before="100" w:beforeAutospacing="1" w:after="100" w:afterAutospacing="1"/>
    </w:pPr>
    <w:rPr>
      <w:rFonts w:ascii="Times New Roman" w:eastAsia="Times New Roman" w:hAnsi="Times New Roman" w:cs="Times New Roman"/>
      <w:lang w:val="es-CL" w:eastAsia="es-CL"/>
    </w:rPr>
  </w:style>
  <w:style w:type="character" w:styleId="nfasis">
    <w:name w:val="Emphasis"/>
    <w:basedOn w:val="Fuentedeprrafopredeter"/>
    <w:qFormat/>
    <w:rsid w:val="00063674"/>
    <w:rPr>
      <w:i/>
      <w:iCs/>
    </w:rPr>
  </w:style>
  <w:style w:type="paragraph" w:styleId="Textonotapie">
    <w:name w:val="footnote text"/>
    <w:basedOn w:val="Normal"/>
    <w:link w:val="TextonotapieCar"/>
    <w:uiPriority w:val="99"/>
    <w:semiHidden/>
    <w:unhideWhenUsed/>
    <w:rsid w:val="00063674"/>
    <w:rPr>
      <w:sz w:val="20"/>
      <w:szCs w:val="20"/>
    </w:rPr>
  </w:style>
  <w:style w:type="character" w:customStyle="1" w:styleId="TextonotapieCar">
    <w:name w:val="Texto nota pie Car"/>
    <w:basedOn w:val="Fuentedeprrafopredeter"/>
    <w:link w:val="Textonotapie"/>
    <w:uiPriority w:val="99"/>
    <w:semiHidden/>
    <w:rsid w:val="00063674"/>
    <w:rPr>
      <w:sz w:val="20"/>
      <w:szCs w:val="20"/>
    </w:rPr>
  </w:style>
  <w:style w:type="character" w:styleId="Refdenotaalpie">
    <w:name w:val="footnote reference"/>
    <w:basedOn w:val="Fuentedeprrafopredeter"/>
    <w:uiPriority w:val="99"/>
    <w:semiHidden/>
    <w:unhideWhenUsed/>
    <w:rsid w:val="00063674"/>
    <w:rPr>
      <w:vertAlign w:val="superscript"/>
    </w:rPr>
  </w:style>
  <w:style w:type="paragraph" w:styleId="Textosinformato">
    <w:name w:val="Plain Text"/>
    <w:basedOn w:val="Normal"/>
    <w:link w:val="TextosinformatoCar"/>
    <w:uiPriority w:val="99"/>
    <w:unhideWhenUsed/>
    <w:rsid w:val="00DF1545"/>
    <w:pPr>
      <w:jc w:val="both"/>
    </w:pPr>
    <w:rPr>
      <w:rFonts w:ascii="Consolas" w:eastAsia="Calibri" w:hAnsi="Consolas" w:cs="Times New Roman"/>
      <w:color w:val="000000"/>
      <w:sz w:val="21"/>
      <w:szCs w:val="21"/>
      <w:lang w:val="es-CL"/>
    </w:rPr>
  </w:style>
  <w:style w:type="character" w:customStyle="1" w:styleId="TextosinformatoCar">
    <w:name w:val="Texto sin formato Car"/>
    <w:basedOn w:val="Fuentedeprrafopredeter"/>
    <w:link w:val="Textosinformato"/>
    <w:uiPriority w:val="99"/>
    <w:rsid w:val="00DF1545"/>
    <w:rPr>
      <w:rFonts w:ascii="Consolas" w:eastAsia="Calibri" w:hAnsi="Consolas" w:cs="Times New Roman"/>
      <w:color w:val="000000"/>
      <w:sz w:val="21"/>
      <w:szCs w:val="21"/>
      <w:lang w:val="es-CL"/>
    </w:rPr>
  </w:style>
  <w:style w:type="character" w:styleId="Textoennegrita">
    <w:name w:val="Strong"/>
    <w:uiPriority w:val="22"/>
    <w:qFormat/>
    <w:rsid w:val="00587A40"/>
    <w:rPr>
      <w:rFonts w:cs="Times New Roman"/>
      <w:b/>
      <w:bCs/>
    </w:rPr>
  </w:style>
  <w:style w:type="character" w:styleId="Hipervnculo">
    <w:name w:val="Hyperlink"/>
    <w:basedOn w:val="Fuentedeprrafopredeter"/>
    <w:uiPriority w:val="99"/>
    <w:unhideWhenUsed/>
    <w:rsid w:val="00414D0F"/>
    <w:rPr>
      <w:color w:val="0563C1" w:themeColor="hyperlink"/>
      <w:u w:val="single"/>
    </w:rPr>
  </w:style>
  <w:style w:type="paragraph" w:customStyle="1" w:styleId="Style1">
    <w:name w:val="Style 1"/>
    <w:uiPriority w:val="99"/>
    <w:rsid w:val="00DE1F83"/>
    <w:pPr>
      <w:widowControl w:val="0"/>
      <w:autoSpaceDE w:val="0"/>
      <w:autoSpaceDN w:val="0"/>
      <w:adjustRightInd w:val="0"/>
    </w:pPr>
    <w:rPr>
      <w:rFonts w:ascii="Times New Roman" w:eastAsia="Times New Roman" w:hAnsi="Times New Roman" w:cs="Times New Roman"/>
      <w:sz w:val="20"/>
      <w:szCs w:val="20"/>
      <w:lang w:val="en-US" w:eastAsia="es-CL"/>
    </w:rPr>
  </w:style>
  <w:style w:type="character" w:customStyle="1" w:styleId="Ttulo2Car">
    <w:name w:val="Título 2 Car"/>
    <w:basedOn w:val="Fuentedeprrafopredeter"/>
    <w:link w:val="Ttulo2"/>
    <w:uiPriority w:val="9"/>
    <w:rsid w:val="00182ECB"/>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182ECB"/>
    <w:rPr>
      <w:rFonts w:ascii="Times New Roman" w:eastAsia="Times New Roman" w:hAnsi="Times New Roman" w:cs="Times New Roman"/>
      <w:b/>
      <w:bCs/>
      <w:sz w:val="27"/>
      <w:szCs w:val="27"/>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9536">
      <w:bodyDiv w:val="1"/>
      <w:marLeft w:val="0"/>
      <w:marRight w:val="0"/>
      <w:marTop w:val="0"/>
      <w:marBottom w:val="0"/>
      <w:divBdr>
        <w:top w:val="none" w:sz="0" w:space="0" w:color="auto"/>
        <w:left w:val="none" w:sz="0" w:space="0" w:color="auto"/>
        <w:bottom w:val="none" w:sz="0" w:space="0" w:color="auto"/>
        <w:right w:val="none" w:sz="0" w:space="0" w:color="auto"/>
      </w:divBdr>
    </w:div>
    <w:div w:id="173810365">
      <w:bodyDiv w:val="1"/>
      <w:marLeft w:val="0"/>
      <w:marRight w:val="0"/>
      <w:marTop w:val="0"/>
      <w:marBottom w:val="0"/>
      <w:divBdr>
        <w:top w:val="none" w:sz="0" w:space="0" w:color="auto"/>
        <w:left w:val="none" w:sz="0" w:space="0" w:color="auto"/>
        <w:bottom w:val="none" w:sz="0" w:space="0" w:color="auto"/>
        <w:right w:val="none" w:sz="0" w:space="0" w:color="auto"/>
      </w:divBdr>
    </w:div>
    <w:div w:id="196087524">
      <w:bodyDiv w:val="1"/>
      <w:marLeft w:val="0"/>
      <w:marRight w:val="0"/>
      <w:marTop w:val="0"/>
      <w:marBottom w:val="0"/>
      <w:divBdr>
        <w:top w:val="none" w:sz="0" w:space="0" w:color="auto"/>
        <w:left w:val="none" w:sz="0" w:space="0" w:color="auto"/>
        <w:bottom w:val="none" w:sz="0" w:space="0" w:color="auto"/>
        <w:right w:val="none" w:sz="0" w:space="0" w:color="auto"/>
      </w:divBdr>
    </w:div>
    <w:div w:id="241447432">
      <w:bodyDiv w:val="1"/>
      <w:marLeft w:val="0"/>
      <w:marRight w:val="0"/>
      <w:marTop w:val="0"/>
      <w:marBottom w:val="0"/>
      <w:divBdr>
        <w:top w:val="none" w:sz="0" w:space="0" w:color="auto"/>
        <w:left w:val="none" w:sz="0" w:space="0" w:color="auto"/>
        <w:bottom w:val="none" w:sz="0" w:space="0" w:color="auto"/>
        <w:right w:val="none" w:sz="0" w:space="0" w:color="auto"/>
      </w:divBdr>
    </w:div>
    <w:div w:id="266040984">
      <w:bodyDiv w:val="1"/>
      <w:marLeft w:val="0"/>
      <w:marRight w:val="0"/>
      <w:marTop w:val="0"/>
      <w:marBottom w:val="0"/>
      <w:divBdr>
        <w:top w:val="none" w:sz="0" w:space="0" w:color="auto"/>
        <w:left w:val="none" w:sz="0" w:space="0" w:color="auto"/>
        <w:bottom w:val="none" w:sz="0" w:space="0" w:color="auto"/>
        <w:right w:val="none" w:sz="0" w:space="0" w:color="auto"/>
      </w:divBdr>
    </w:div>
    <w:div w:id="443817059">
      <w:bodyDiv w:val="1"/>
      <w:marLeft w:val="0"/>
      <w:marRight w:val="0"/>
      <w:marTop w:val="0"/>
      <w:marBottom w:val="0"/>
      <w:divBdr>
        <w:top w:val="none" w:sz="0" w:space="0" w:color="auto"/>
        <w:left w:val="none" w:sz="0" w:space="0" w:color="auto"/>
        <w:bottom w:val="none" w:sz="0" w:space="0" w:color="auto"/>
        <w:right w:val="none" w:sz="0" w:space="0" w:color="auto"/>
      </w:divBdr>
    </w:div>
    <w:div w:id="485829136">
      <w:bodyDiv w:val="1"/>
      <w:marLeft w:val="0"/>
      <w:marRight w:val="0"/>
      <w:marTop w:val="0"/>
      <w:marBottom w:val="0"/>
      <w:divBdr>
        <w:top w:val="none" w:sz="0" w:space="0" w:color="auto"/>
        <w:left w:val="none" w:sz="0" w:space="0" w:color="auto"/>
        <w:bottom w:val="none" w:sz="0" w:space="0" w:color="auto"/>
        <w:right w:val="none" w:sz="0" w:space="0" w:color="auto"/>
      </w:divBdr>
    </w:div>
    <w:div w:id="560167234">
      <w:bodyDiv w:val="1"/>
      <w:marLeft w:val="0"/>
      <w:marRight w:val="0"/>
      <w:marTop w:val="0"/>
      <w:marBottom w:val="0"/>
      <w:divBdr>
        <w:top w:val="none" w:sz="0" w:space="0" w:color="auto"/>
        <w:left w:val="none" w:sz="0" w:space="0" w:color="auto"/>
        <w:bottom w:val="none" w:sz="0" w:space="0" w:color="auto"/>
        <w:right w:val="none" w:sz="0" w:space="0" w:color="auto"/>
      </w:divBdr>
    </w:div>
    <w:div w:id="597636169">
      <w:bodyDiv w:val="1"/>
      <w:marLeft w:val="0"/>
      <w:marRight w:val="0"/>
      <w:marTop w:val="0"/>
      <w:marBottom w:val="0"/>
      <w:divBdr>
        <w:top w:val="none" w:sz="0" w:space="0" w:color="auto"/>
        <w:left w:val="none" w:sz="0" w:space="0" w:color="auto"/>
        <w:bottom w:val="none" w:sz="0" w:space="0" w:color="auto"/>
        <w:right w:val="none" w:sz="0" w:space="0" w:color="auto"/>
      </w:divBdr>
    </w:div>
    <w:div w:id="764955378">
      <w:bodyDiv w:val="1"/>
      <w:marLeft w:val="0"/>
      <w:marRight w:val="0"/>
      <w:marTop w:val="0"/>
      <w:marBottom w:val="0"/>
      <w:divBdr>
        <w:top w:val="none" w:sz="0" w:space="0" w:color="auto"/>
        <w:left w:val="none" w:sz="0" w:space="0" w:color="auto"/>
        <w:bottom w:val="none" w:sz="0" w:space="0" w:color="auto"/>
        <w:right w:val="none" w:sz="0" w:space="0" w:color="auto"/>
      </w:divBdr>
    </w:div>
    <w:div w:id="936328957">
      <w:bodyDiv w:val="1"/>
      <w:marLeft w:val="0"/>
      <w:marRight w:val="0"/>
      <w:marTop w:val="0"/>
      <w:marBottom w:val="0"/>
      <w:divBdr>
        <w:top w:val="none" w:sz="0" w:space="0" w:color="auto"/>
        <w:left w:val="none" w:sz="0" w:space="0" w:color="auto"/>
        <w:bottom w:val="none" w:sz="0" w:space="0" w:color="auto"/>
        <w:right w:val="none" w:sz="0" w:space="0" w:color="auto"/>
      </w:divBdr>
    </w:div>
    <w:div w:id="1202595527">
      <w:bodyDiv w:val="1"/>
      <w:marLeft w:val="0"/>
      <w:marRight w:val="0"/>
      <w:marTop w:val="0"/>
      <w:marBottom w:val="0"/>
      <w:divBdr>
        <w:top w:val="none" w:sz="0" w:space="0" w:color="auto"/>
        <w:left w:val="none" w:sz="0" w:space="0" w:color="auto"/>
        <w:bottom w:val="none" w:sz="0" w:space="0" w:color="auto"/>
        <w:right w:val="none" w:sz="0" w:space="0" w:color="auto"/>
      </w:divBdr>
    </w:div>
    <w:div w:id="1302224722">
      <w:bodyDiv w:val="1"/>
      <w:marLeft w:val="0"/>
      <w:marRight w:val="0"/>
      <w:marTop w:val="0"/>
      <w:marBottom w:val="0"/>
      <w:divBdr>
        <w:top w:val="none" w:sz="0" w:space="0" w:color="auto"/>
        <w:left w:val="none" w:sz="0" w:space="0" w:color="auto"/>
        <w:bottom w:val="none" w:sz="0" w:space="0" w:color="auto"/>
        <w:right w:val="none" w:sz="0" w:space="0" w:color="auto"/>
      </w:divBdr>
    </w:div>
    <w:div w:id="1500345926">
      <w:bodyDiv w:val="1"/>
      <w:marLeft w:val="0"/>
      <w:marRight w:val="0"/>
      <w:marTop w:val="0"/>
      <w:marBottom w:val="0"/>
      <w:divBdr>
        <w:top w:val="none" w:sz="0" w:space="0" w:color="auto"/>
        <w:left w:val="none" w:sz="0" w:space="0" w:color="auto"/>
        <w:bottom w:val="none" w:sz="0" w:space="0" w:color="auto"/>
        <w:right w:val="none" w:sz="0" w:space="0" w:color="auto"/>
      </w:divBdr>
    </w:div>
    <w:div w:id="166292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0C5F-CAB1-44B3-A48E-16C7B6E6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Pages>
  <Words>1252</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ARAYA PRESMITA, ALEXIS A.</dc:creator>
  <cp:lastModifiedBy>Leonardo Lueiza Ureta</cp:lastModifiedBy>
  <cp:revision>17</cp:revision>
  <dcterms:created xsi:type="dcterms:W3CDTF">2018-04-03T20:19:00Z</dcterms:created>
  <dcterms:modified xsi:type="dcterms:W3CDTF">2018-06-14T13:14:00Z</dcterms:modified>
</cp:coreProperties>
</file>