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97" w:rsidRDefault="00974D6D" w:rsidP="00974D6D">
      <w:pPr>
        <w:pStyle w:val="Prrafodelista"/>
        <w:ind w:left="0"/>
        <w:jc w:val="center"/>
        <w:rPr>
          <w:rFonts w:cstheme="minorHAnsi"/>
          <w:b/>
        </w:rPr>
      </w:pPr>
      <w:r w:rsidRPr="00974D6D">
        <w:rPr>
          <w:rFonts w:cstheme="minorHAnsi"/>
          <w:b/>
        </w:rPr>
        <w:t>Modifica la ley N°19.925, Sobre expendio y consumo de bebidas alcohólicas, para incrementar las sanciones aplicables al consumo de alcohol en lugares públicos</w:t>
      </w:r>
    </w:p>
    <w:p w:rsidR="00974D6D" w:rsidRPr="00974D6D" w:rsidRDefault="00974D6D" w:rsidP="00974D6D">
      <w:pPr>
        <w:pStyle w:val="Prrafodelista"/>
        <w:ind w:left="0"/>
        <w:jc w:val="center"/>
        <w:rPr>
          <w:rFonts w:cstheme="minorHAnsi"/>
          <w:b/>
        </w:rPr>
      </w:pPr>
      <w:bookmarkStart w:id="0" w:name="_GoBack"/>
      <w:r w:rsidRPr="00974D6D">
        <w:rPr>
          <w:rFonts w:cstheme="minorHAnsi"/>
          <w:b/>
        </w:rPr>
        <w:t>Boletín N°11836-25</w:t>
      </w:r>
    </w:p>
    <w:bookmarkEnd w:id="0"/>
    <w:p w:rsidR="00A61B09" w:rsidRPr="00B7703B" w:rsidRDefault="00A61B09" w:rsidP="004071E5">
      <w:pPr>
        <w:jc w:val="both"/>
        <w:rPr>
          <w:rFonts w:cstheme="minorHAnsi"/>
        </w:rPr>
      </w:pPr>
      <w:r w:rsidRPr="00B7703B">
        <w:rPr>
          <w:rFonts w:cstheme="minorHAnsi"/>
        </w:rPr>
        <w:t>“El consumo de alcohol es uno de los principales factores de riesgo para la salud pública, al ser responsable anualmente de 3.3 millones de muertes en la población mundial, lo que representa un 5,9% de todas las defunciones (OMS, 2014). Es a su vez factor causal en más de 200 enfermedades y trastornos, siendo responsable del 5,1%”</w:t>
      </w:r>
      <w:r w:rsidRPr="00B7703B">
        <w:rPr>
          <w:rStyle w:val="Refdenotaalpie"/>
          <w:rFonts w:cstheme="minorHAnsi"/>
        </w:rPr>
        <w:footnoteReference w:id="1"/>
      </w:r>
    </w:p>
    <w:p w:rsidR="00A61B09" w:rsidRPr="00B7703B" w:rsidRDefault="00A61B09" w:rsidP="004071E5">
      <w:pPr>
        <w:jc w:val="both"/>
        <w:rPr>
          <w:rFonts w:cstheme="minorHAnsi"/>
        </w:rPr>
      </w:pPr>
      <w:r w:rsidRPr="00B7703B">
        <w:rPr>
          <w:rFonts w:cstheme="minorHAnsi"/>
        </w:rPr>
        <w:t>Según la Organización Panamericana para la salud, el año 2012</w:t>
      </w:r>
      <w:r w:rsidR="00B7703B">
        <w:rPr>
          <w:rFonts w:cstheme="minorHAnsi"/>
        </w:rPr>
        <w:t xml:space="preserve">, </w:t>
      </w:r>
      <w:r w:rsidRPr="00B7703B">
        <w:rPr>
          <w:rFonts w:cstheme="minorHAnsi"/>
        </w:rPr>
        <w:t>se vincularon al consumo de alcohol un total de 300.000 defunciones al año; de ellas, se ha estimado que más de 80.000 no habrían ocurrido si no hubiese intermediado el consumo de alcohol. En relación a la carga mundial de morbilidad y lesiones, se estima que 5,7% de la población de la región declaró sufrir algún trastorno debido al consumo de alcohol.</w:t>
      </w:r>
    </w:p>
    <w:p w:rsidR="00B7703B" w:rsidRPr="00B7703B" w:rsidRDefault="00B7703B" w:rsidP="004071E5">
      <w:pPr>
        <w:jc w:val="both"/>
        <w:rPr>
          <w:rFonts w:cstheme="minorHAnsi"/>
        </w:rPr>
      </w:pPr>
      <w:r>
        <w:rPr>
          <w:rFonts w:cstheme="minorHAnsi"/>
        </w:rPr>
        <w:t>A su turno, el</w:t>
      </w:r>
      <w:r w:rsidR="00A61B09" w:rsidRPr="00B7703B">
        <w:rPr>
          <w:rFonts w:cstheme="minorHAnsi"/>
        </w:rPr>
        <w:t xml:space="preserve"> 11° Estudio de drogas en población </w:t>
      </w:r>
      <w:r>
        <w:rPr>
          <w:rFonts w:cstheme="minorHAnsi"/>
        </w:rPr>
        <w:t xml:space="preserve">general, </w:t>
      </w:r>
      <w:r w:rsidR="00A61B09" w:rsidRPr="00B7703B">
        <w:rPr>
          <w:rFonts w:cstheme="minorHAnsi"/>
        </w:rPr>
        <w:t xml:space="preserve">elaborado por </w:t>
      </w:r>
      <w:r w:rsidR="00A61B09" w:rsidRPr="00B7703B">
        <w:rPr>
          <w:rFonts w:cstheme="minorHAnsi"/>
          <w:shd w:val="clear" w:color="auto" w:fill="FFFFFF"/>
        </w:rPr>
        <w:t xml:space="preserve">el </w:t>
      </w:r>
      <w:r w:rsidR="00A61B09" w:rsidRPr="00B7703B">
        <w:rPr>
          <w:rStyle w:val="strg"/>
          <w:rFonts w:cstheme="minorHAnsi"/>
          <w:bdr w:val="none" w:sz="0" w:space="0" w:color="auto" w:frame="1"/>
          <w:shd w:val="clear" w:color="auto" w:fill="FFFFFF"/>
        </w:rPr>
        <w:t>Servicio Nacional para la Prevención y Rehabilitación del Consumo de Drogas y Alcohol (SENDA)</w:t>
      </w:r>
      <w:r>
        <w:rPr>
          <w:rStyle w:val="Refdenotaalpie"/>
          <w:rFonts w:cstheme="minorHAnsi"/>
          <w:bdr w:val="none" w:sz="0" w:space="0" w:color="auto" w:frame="1"/>
          <w:shd w:val="clear" w:color="auto" w:fill="FFFFFF"/>
        </w:rPr>
        <w:footnoteReference w:id="2"/>
      </w:r>
      <w:r w:rsidR="00A61B09" w:rsidRPr="00B7703B">
        <w:rPr>
          <w:rFonts w:cstheme="minorHAnsi"/>
        </w:rPr>
        <w:t xml:space="preserve"> </w:t>
      </w:r>
      <w:r>
        <w:rPr>
          <w:rFonts w:cstheme="minorHAnsi"/>
        </w:rPr>
        <w:t xml:space="preserve">señala que </w:t>
      </w:r>
      <w:r w:rsidR="00A61B09" w:rsidRPr="00B7703B">
        <w:rPr>
          <w:rFonts w:cstheme="minorHAnsi"/>
        </w:rPr>
        <w:t xml:space="preserve">la prevalencia mensual de consumo de alcohol asciende a un 48,9% de la población. </w:t>
      </w:r>
      <w:r w:rsidRPr="00B7703B">
        <w:rPr>
          <w:rFonts w:cstheme="minorHAnsi"/>
        </w:rPr>
        <w:t xml:space="preserve">Eso significa que alrededor de </w:t>
      </w:r>
      <w:r w:rsidR="00A61B09" w:rsidRPr="00B7703B">
        <w:rPr>
          <w:rFonts w:cstheme="minorHAnsi"/>
        </w:rPr>
        <w:t xml:space="preserve">4.801.318 personas entre 12 y 64 años consumieron alcohol el último mes en nuestro país. </w:t>
      </w:r>
      <w:r w:rsidRPr="00B7703B">
        <w:rPr>
          <w:rFonts w:cstheme="minorHAnsi"/>
        </w:rPr>
        <w:t xml:space="preserve">Por otra parte, se estima que </w:t>
      </w:r>
      <w:r w:rsidR="00A61B09" w:rsidRPr="00B7703B">
        <w:rPr>
          <w:rFonts w:cstheme="minorHAnsi"/>
        </w:rPr>
        <w:t xml:space="preserve">2.097.615 personas declaran haber tenido a lo menos un episodio de embriaguez en el último mes, lo que corresponde a un 43.6% de la población consumidora </w:t>
      </w:r>
    </w:p>
    <w:p w:rsidR="00A61B09" w:rsidRPr="00B7703B" w:rsidRDefault="00B7703B" w:rsidP="004071E5">
      <w:pPr>
        <w:jc w:val="both"/>
        <w:rPr>
          <w:rFonts w:cstheme="minorHAnsi"/>
        </w:rPr>
      </w:pPr>
      <w:r w:rsidRPr="00B7703B">
        <w:rPr>
          <w:rFonts w:cstheme="minorHAnsi"/>
        </w:rPr>
        <w:t>Por otra parte, s</w:t>
      </w:r>
      <w:r w:rsidR="00A61B09" w:rsidRPr="00B7703B">
        <w:rPr>
          <w:rFonts w:cstheme="minorHAnsi"/>
        </w:rPr>
        <w:t xml:space="preserve">egún </w:t>
      </w:r>
      <w:r w:rsidRPr="00B7703B">
        <w:rPr>
          <w:rFonts w:cstheme="minorHAnsi"/>
        </w:rPr>
        <w:t>SENDA</w:t>
      </w:r>
      <w:r>
        <w:rPr>
          <w:rStyle w:val="Refdenotaalpie"/>
          <w:rFonts w:cstheme="minorHAnsi"/>
        </w:rPr>
        <w:footnoteReference w:id="3"/>
      </w:r>
      <w:r>
        <w:rPr>
          <w:rFonts w:cstheme="minorHAnsi"/>
        </w:rPr>
        <w:t>, e</w:t>
      </w:r>
      <w:r w:rsidR="00A61B09" w:rsidRPr="00B7703B">
        <w:rPr>
          <w:rFonts w:cstheme="minorHAnsi"/>
        </w:rPr>
        <w:t>n Chile, 1 de cada 2 personas mayores reconoce haber consumido alcohol alguna vez en el último mes, transformando a esta droga en la más consumida en el país.</w:t>
      </w:r>
      <w:r>
        <w:rPr>
          <w:rFonts w:cstheme="minorHAnsi"/>
        </w:rPr>
        <w:t xml:space="preserve">  </w:t>
      </w:r>
      <w:r w:rsidR="00A61B09" w:rsidRPr="00B7703B">
        <w:rPr>
          <w:rFonts w:cstheme="minorHAnsi"/>
        </w:rPr>
        <w:t>De acuerdo a</w:t>
      </w:r>
      <w:r>
        <w:rPr>
          <w:rFonts w:cstheme="minorHAnsi"/>
        </w:rPr>
        <w:t>l organismo</w:t>
      </w:r>
      <w:r w:rsidR="00A61B09" w:rsidRPr="00B7703B">
        <w:rPr>
          <w:rFonts w:cstheme="minorHAnsi"/>
        </w:rPr>
        <w:t>, el 80% de los mayores de 12 años reconoce haber consumido alcohol alguna vez durante su vida.</w:t>
      </w:r>
    </w:p>
    <w:p w:rsidR="00A61B09" w:rsidRPr="00B7703B" w:rsidRDefault="00A61B09" w:rsidP="004071E5">
      <w:pPr>
        <w:pStyle w:val="NormalWeb"/>
        <w:shd w:val="clear" w:color="auto" w:fill="FFFFFF"/>
        <w:spacing w:before="0" w:beforeAutospacing="0" w:after="225" w:afterAutospacing="0"/>
        <w:ind w:right="300"/>
        <w:jc w:val="both"/>
        <w:textAlignment w:val="baseline"/>
        <w:rPr>
          <w:rFonts w:asciiTheme="minorHAnsi" w:hAnsiTheme="minorHAnsi" w:cstheme="minorHAnsi"/>
          <w:sz w:val="22"/>
          <w:szCs w:val="22"/>
        </w:rPr>
      </w:pPr>
      <w:r w:rsidRPr="00B7703B">
        <w:rPr>
          <w:rFonts w:asciiTheme="minorHAnsi" w:hAnsiTheme="minorHAnsi" w:cstheme="minorHAnsi"/>
          <w:sz w:val="22"/>
          <w:szCs w:val="22"/>
        </w:rPr>
        <w:t>En cuanto al patrón de consumo, los chilenos tienen un comportamiento riesgoso:</w:t>
      </w:r>
    </w:p>
    <w:p w:rsidR="00A61B09" w:rsidRPr="00B7703B" w:rsidRDefault="00A61B09" w:rsidP="004071E5">
      <w:pPr>
        <w:pStyle w:val="NormalWeb"/>
        <w:shd w:val="clear" w:color="auto" w:fill="FFFFFF"/>
        <w:spacing w:before="0" w:beforeAutospacing="0" w:after="225" w:afterAutospacing="0"/>
        <w:ind w:right="300"/>
        <w:jc w:val="both"/>
        <w:textAlignment w:val="baseline"/>
        <w:rPr>
          <w:rFonts w:asciiTheme="minorHAnsi" w:hAnsiTheme="minorHAnsi" w:cstheme="minorHAnsi"/>
          <w:sz w:val="22"/>
          <w:szCs w:val="22"/>
        </w:rPr>
      </w:pPr>
      <w:r w:rsidRPr="00B7703B">
        <w:rPr>
          <w:rFonts w:asciiTheme="minorHAnsi" w:hAnsiTheme="minorHAnsi" w:cstheme="minorHAnsi"/>
          <w:sz w:val="22"/>
          <w:szCs w:val="22"/>
        </w:rPr>
        <w:t>• El consumo se concentra en 1,6 días de la semana.</w:t>
      </w:r>
    </w:p>
    <w:p w:rsidR="00A61B09" w:rsidRPr="00B7703B" w:rsidRDefault="00A61B09" w:rsidP="004071E5">
      <w:pPr>
        <w:pStyle w:val="NormalWeb"/>
        <w:shd w:val="clear" w:color="auto" w:fill="FFFFFF"/>
        <w:spacing w:before="0" w:beforeAutospacing="0" w:after="225" w:afterAutospacing="0"/>
        <w:ind w:right="300"/>
        <w:jc w:val="both"/>
        <w:textAlignment w:val="baseline"/>
        <w:rPr>
          <w:rFonts w:asciiTheme="minorHAnsi" w:hAnsiTheme="minorHAnsi" w:cstheme="minorHAnsi"/>
          <w:sz w:val="22"/>
          <w:szCs w:val="22"/>
        </w:rPr>
      </w:pPr>
      <w:r w:rsidRPr="00B7703B">
        <w:rPr>
          <w:rFonts w:asciiTheme="minorHAnsi" w:hAnsiTheme="minorHAnsi" w:cstheme="minorHAnsi"/>
          <w:sz w:val="22"/>
          <w:szCs w:val="22"/>
        </w:rPr>
        <w:t>• Beben 55 gramos de alcohol puro por día de consumo, cuando por sobre 20 gramos se considera riesgos. Esto se asocia a embriaguez.</w:t>
      </w:r>
    </w:p>
    <w:p w:rsidR="00A61B09" w:rsidRPr="00B7703B" w:rsidRDefault="00A61B09" w:rsidP="004071E5">
      <w:pPr>
        <w:pStyle w:val="NormalWeb"/>
        <w:shd w:val="clear" w:color="auto" w:fill="FFFFFF"/>
        <w:spacing w:before="0" w:beforeAutospacing="0" w:after="225" w:afterAutospacing="0"/>
        <w:ind w:right="300"/>
        <w:jc w:val="both"/>
        <w:textAlignment w:val="baseline"/>
        <w:rPr>
          <w:rFonts w:asciiTheme="minorHAnsi" w:hAnsiTheme="minorHAnsi" w:cstheme="minorHAnsi"/>
          <w:sz w:val="22"/>
          <w:szCs w:val="22"/>
        </w:rPr>
      </w:pPr>
      <w:r w:rsidRPr="00B7703B">
        <w:rPr>
          <w:rFonts w:asciiTheme="minorHAnsi" w:hAnsiTheme="minorHAnsi" w:cstheme="minorHAnsi"/>
          <w:sz w:val="22"/>
          <w:szCs w:val="22"/>
        </w:rPr>
        <w:t>• Los jóvenes (15-24 años) beben en promedio 8 tragos cada día de consumo.</w:t>
      </w:r>
    </w:p>
    <w:p w:rsidR="00A61B09" w:rsidRPr="00B7703B" w:rsidRDefault="00A61B09" w:rsidP="004071E5">
      <w:pPr>
        <w:jc w:val="both"/>
        <w:rPr>
          <w:rFonts w:cstheme="minorHAnsi"/>
        </w:rPr>
      </w:pPr>
    </w:p>
    <w:p w:rsidR="004F0F97" w:rsidRDefault="00B7703B" w:rsidP="004071E5">
      <w:pPr>
        <w:jc w:val="both"/>
        <w:rPr>
          <w:rFonts w:cstheme="minorHAnsi"/>
        </w:rPr>
      </w:pPr>
      <w:r>
        <w:rPr>
          <w:rFonts w:cstheme="minorHAnsi"/>
        </w:rPr>
        <w:t xml:space="preserve">Conocidas son las consecuencias negativas del consumo de alcohol, </w:t>
      </w:r>
      <w:r w:rsidR="004F0F97">
        <w:rPr>
          <w:rFonts w:cstheme="minorHAnsi"/>
        </w:rPr>
        <w:t>s</w:t>
      </w:r>
      <w:r>
        <w:rPr>
          <w:rFonts w:cstheme="minorHAnsi"/>
        </w:rPr>
        <w:t xml:space="preserve">egún </w:t>
      </w:r>
      <w:r w:rsidR="004F0F97">
        <w:rPr>
          <w:rFonts w:cstheme="minorHAnsi"/>
        </w:rPr>
        <w:t xml:space="preserve">un estudio del Centro de Estudios Públicos </w:t>
      </w:r>
      <w:r>
        <w:rPr>
          <w:rStyle w:val="Refdenotaalpie"/>
          <w:rFonts w:cstheme="minorHAnsi"/>
        </w:rPr>
        <w:footnoteReference w:id="4"/>
      </w:r>
      <w:r w:rsidRPr="00B7703B">
        <w:rPr>
          <w:rFonts w:cstheme="minorHAnsi"/>
        </w:rPr>
        <w:t xml:space="preserve">, cuyo objetivo fue estimar la fracción de delitos atribuibles al consumo o abuso </w:t>
      </w:r>
      <w:r w:rsidRPr="00B7703B">
        <w:rPr>
          <w:rFonts w:cstheme="minorHAnsi"/>
        </w:rPr>
        <w:lastRenderedPageBreak/>
        <w:t>de alcohol y otras drogas en población adolescente y adulta, se observó que el 37% de los delitos tienen alguna relación con el consumo de drogas en población adulta, mientras que en los adolescentes llega al 21%. Sin embargo, cuando se realiza esta misma estimación en relación al consumo de drogas y/o alcohol, los porcentajes aumentan a 57% y 32% respectivamente, lo que evidencia que la contribución del alcohol en este tipo de acciones es de gran importancia</w:t>
      </w:r>
      <w:r w:rsidR="004F0F97">
        <w:rPr>
          <w:rFonts w:cstheme="minorHAnsi"/>
        </w:rPr>
        <w:t>.</w:t>
      </w:r>
    </w:p>
    <w:p w:rsidR="00B7703B" w:rsidRDefault="004F0F97" w:rsidP="004071E5">
      <w:pPr>
        <w:jc w:val="both"/>
        <w:rPr>
          <w:rFonts w:cstheme="minorHAnsi"/>
        </w:rPr>
      </w:pPr>
      <w:r>
        <w:rPr>
          <w:rFonts w:cstheme="minorHAnsi"/>
        </w:rPr>
        <w:t>O</w:t>
      </w:r>
      <w:r w:rsidR="00B7703B" w:rsidRPr="00B7703B">
        <w:rPr>
          <w:rFonts w:cstheme="minorHAnsi"/>
        </w:rPr>
        <w:t xml:space="preserve">tro estudio, de carácter regional, que evaluó la presencia de consumo de alcohol y otras drogas en personas ingresadas a servicios de urgencia, encontró que de los 2.963 participantes de 6 países latinoamericanos (Chile, Argentina, Bolivia, Perú, Uruguay y Colombia), 231 pacientes ingresaron por accidentes relacionados con algún tipo de acto de violencia, donde la prevalencia de consumo de alcohol llegó al 46% (n=106). Para el caso específico de Chile, de 56 pacientes ingresados por violencia de algún tipo, un 39% (vs. un 12% en la muestra total) lo hizo con presencia de alcohol en aliento. </w:t>
      </w:r>
      <w:r>
        <w:rPr>
          <w:rStyle w:val="Refdenotaalpie"/>
          <w:rFonts w:cstheme="minorHAnsi"/>
        </w:rPr>
        <w:footnoteReference w:id="5"/>
      </w:r>
    </w:p>
    <w:p w:rsidR="004F0F97" w:rsidRDefault="004F0F97" w:rsidP="004071E5">
      <w:pPr>
        <w:jc w:val="both"/>
        <w:rPr>
          <w:rFonts w:cstheme="minorHAnsi"/>
        </w:rPr>
      </w:pPr>
      <w:r>
        <w:rPr>
          <w:rFonts w:cstheme="minorHAnsi"/>
        </w:rPr>
        <w:t xml:space="preserve">Finalmente, cabe destacar que, en 2017, hubo 1483 muertes por accidentes de tránsito, el 35% de las cuales tuvieron como causal basal la imprudencia del conductor o peatón y 126 estuvieron relacionadas con consumo de alcohol </w:t>
      </w:r>
      <w:r>
        <w:rPr>
          <w:rStyle w:val="Refdenotaalpie"/>
          <w:rFonts w:cstheme="minorHAnsi"/>
        </w:rPr>
        <w:footnoteReference w:id="6"/>
      </w:r>
    </w:p>
    <w:p w:rsidR="004F0F97" w:rsidRDefault="004F0F97" w:rsidP="004071E5">
      <w:pPr>
        <w:pStyle w:val="HTMLconformatoprevio"/>
        <w:shd w:val="clear" w:color="auto" w:fill="FFFFFF"/>
        <w:jc w:val="both"/>
        <w:rPr>
          <w:rFonts w:asciiTheme="minorHAnsi" w:eastAsiaTheme="minorHAnsi" w:hAnsiTheme="minorHAnsi" w:cstheme="minorHAnsi"/>
          <w:sz w:val="22"/>
          <w:szCs w:val="22"/>
          <w:lang w:eastAsia="en-US"/>
        </w:rPr>
      </w:pPr>
      <w:r w:rsidRPr="00471A21">
        <w:rPr>
          <w:rFonts w:asciiTheme="minorHAnsi" w:eastAsiaTheme="minorHAnsi" w:hAnsiTheme="minorHAnsi" w:cstheme="minorHAnsi"/>
          <w:sz w:val="22"/>
          <w:szCs w:val="22"/>
          <w:lang w:eastAsia="en-US"/>
        </w:rPr>
        <w:t xml:space="preserve">Actualmente la </w:t>
      </w:r>
      <w:r w:rsidR="00471A21">
        <w:rPr>
          <w:rFonts w:asciiTheme="minorHAnsi" w:eastAsiaTheme="minorHAnsi" w:hAnsiTheme="minorHAnsi" w:cstheme="minorHAnsi"/>
          <w:sz w:val="22"/>
          <w:szCs w:val="22"/>
          <w:lang w:eastAsia="en-US"/>
        </w:rPr>
        <w:t>Le</w:t>
      </w:r>
      <w:r w:rsidRPr="00471A21">
        <w:rPr>
          <w:rFonts w:asciiTheme="minorHAnsi" w:eastAsiaTheme="minorHAnsi" w:hAnsiTheme="minorHAnsi" w:cstheme="minorHAnsi"/>
          <w:sz w:val="22"/>
          <w:szCs w:val="22"/>
          <w:lang w:eastAsia="en-US"/>
        </w:rPr>
        <w:t>y 19.925 sobre Expendio y Consumo de Bebidas Alcohólicas, establece en sus artículos 25 y siguientes las sanciones asociadas al consumo de bebidas alcohólicas en calles, caminos, plazas, paseos y demás lugares de uso público</w:t>
      </w:r>
      <w:r w:rsidR="00471A21">
        <w:rPr>
          <w:rFonts w:asciiTheme="minorHAnsi" w:eastAsiaTheme="minorHAnsi" w:hAnsiTheme="minorHAnsi" w:cstheme="minorHAnsi"/>
          <w:sz w:val="22"/>
          <w:szCs w:val="22"/>
          <w:lang w:eastAsia="en-US"/>
        </w:rPr>
        <w:t xml:space="preserve"> y a transitar bajo manifiesto estado de ebriedad, las cuales a la luz de los antecedentes antes expuesto resultan absolutamente insuficientes</w:t>
      </w:r>
      <w:r w:rsidRPr="00471A21">
        <w:rPr>
          <w:rFonts w:asciiTheme="minorHAnsi" w:eastAsiaTheme="minorHAnsi" w:hAnsiTheme="minorHAnsi" w:cstheme="minorHAnsi"/>
          <w:sz w:val="22"/>
          <w:szCs w:val="22"/>
          <w:lang w:eastAsia="en-US"/>
        </w:rPr>
        <w:t>.</w:t>
      </w:r>
    </w:p>
    <w:p w:rsidR="00471A21" w:rsidRDefault="00471A21" w:rsidP="004071E5">
      <w:pPr>
        <w:pStyle w:val="HTMLconformatoprevio"/>
        <w:shd w:val="clear" w:color="auto" w:fill="FFFFFF"/>
        <w:jc w:val="both"/>
        <w:rPr>
          <w:rFonts w:asciiTheme="minorHAnsi" w:eastAsiaTheme="minorHAnsi" w:hAnsiTheme="minorHAnsi" w:cstheme="minorHAnsi"/>
          <w:sz w:val="22"/>
          <w:szCs w:val="22"/>
          <w:lang w:eastAsia="en-US"/>
        </w:rPr>
      </w:pPr>
    </w:p>
    <w:p w:rsidR="004071E5" w:rsidRDefault="00471A21" w:rsidP="004071E5">
      <w:pPr>
        <w:pStyle w:val="HTMLconformatoprevio"/>
        <w:shd w:val="clear" w:color="auto" w:fill="FFFFFF"/>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El objetivo de esta propuesta es</w:t>
      </w:r>
      <w:r w:rsidR="004071E5">
        <w:rPr>
          <w:rFonts w:asciiTheme="minorHAnsi" w:eastAsiaTheme="minorHAnsi" w:hAnsiTheme="minorHAnsi" w:cstheme="minorHAnsi"/>
          <w:sz w:val="22"/>
          <w:szCs w:val="22"/>
          <w:lang w:eastAsia="en-US"/>
        </w:rPr>
        <w:t xml:space="preserve"> aumentar el catálogo de lugares de uso público en que</w:t>
      </w:r>
      <w:r>
        <w:rPr>
          <w:rFonts w:asciiTheme="minorHAnsi" w:eastAsiaTheme="minorHAnsi" w:hAnsiTheme="minorHAnsi" w:cstheme="minorHAnsi"/>
          <w:sz w:val="22"/>
          <w:szCs w:val="22"/>
          <w:lang w:eastAsia="en-US"/>
        </w:rPr>
        <w:t xml:space="preserve"> </w:t>
      </w:r>
      <w:r w:rsidR="004071E5">
        <w:rPr>
          <w:rFonts w:asciiTheme="minorHAnsi" w:eastAsiaTheme="minorHAnsi" w:hAnsiTheme="minorHAnsi" w:cstheme="minorHAnsi"/>
          <w:sz w:val="22"/>
          <w:szCs w:val="22"/>
          <w:lang w:eastAsia="en-US"/>
        </w:rPr>
        <w:t>se encuentra prohibido consumir alcohol, agregando los estadios y establecimientos educacionales o de capacitación y, equiparar</w:t>
      </w:r>
      <w:r>
        <w:rPr>
          <w:rFonts w:asciiTheme="minorHAnsi" w:eastAsiaTheme="minorHAnsi" w:hAnsiTheme="minorHAnsi" w:cstheme="minorHAnsi"/>
          <w:sz w:val="22"/>
          <w:szCs w:val="22"/>
          <w:lang w:eastAsia="en-US"/>
        </w:rPr>
        <w:t xml:space="preserve"> las sanciones</w:t>
      </w:r>
      <w:r w:rsidR="004071E5">
        <w:rPr>
          <w:rFonts w:asciiTheme="minorHAnsi" w:eastAsiaTheme="minorHAnsi" w:hAnsiTheme="minorHAnsi" w:cstheme="minorHAnsi"/>
          <w:sz w:val="22"/>
          <w:szCs w:val="22"/>
          <w:lang w:eastAsia="en-US"/>
        </w:rPr>
        <w:t xml:space="preserve"> a dicha prohibición</w:t>
      </w:r>
      <w:r>
        <w:rPr>
          <w:rFonts w:asciiTheme="minorHAnsi" w:eastAsiaTheme="minorHAnsi" w:hAnsiTheme="minorHAnsi" w:cstheme="minorHAnsi"/>
          <w:sz w:val="22"/>
          <w:szCs w:val="22"/>
          <w:lang w:eastAsia="en-US"/>
        </w:rPr>
        <w:t xml:space="preserve">, con las dispuestas actualmente en el artículo 50 de la Ley </w:t>
      </w:r>
      <w:r w:rsidR="004071E5">
        <w:rPr>
          <w:rFonts w:asciiTheme="minorHAnsi" w:eastAsiaTheme="minorHAnsi" w:hAnsiTheme="minorHAnsi" w:cstheme="minorHAnsi"/>
          <w:sz w:val="22"/>
          <w:szCs w:val="22"/>
          <w:lang w:eastAsia="en-US"/>
        </w:rPr>
        <w:t xml:space="preserve">N° </w:t>
      </w:r>
      <w:r>
        <w:rPr>
          <w:rFonts w:asciiTheme="minorHAnsi" w:eastAsiaTheme="minorHAnsi" w:hAnsiTheme="minorHAnsi" w:cstheme="minorHAnsi"/>
          <w:sz w:val="22"/>
          <w:szCs w:val="22"/>
          <w:lang w:eastAsia="en-US"/>
        </w:rPr>
        <w:t>20.000</w:t>
      </w:r>
      <w:r w:rsidR="004071E5">
        <w:rPr>
          <w:rFonts w:asciiTheme="minorHAnsi" w:eastAsiaTheme="minorHAnsi" w:hAnsiTheme="minorHAnsi" w:cstheme="minorHAnsi"/>
          <w:sz w:val="22"/>
          <w:szCs w:val="22"/>
          <w:lang w:eastAsia="en-US"/>
        </w:rPr>
        <w:t xml:space="preserve"> </w:t>
      </w:r>
      <w:r w:rsidR="004071E5" w:rsidRPr="007A18AF">
        <w:rPr>
          <w:rFonts w:asciiTheme="minorHAnsi" w:hAnsiTheme="minorHAnsi" w:cstheme="minorHAnsi"/>
          <w:sz w:val="22"/>
          <w:szCs w:val="22"/>
          <w:lang w:val="es-CL"/>
        </w:rPr>
        <w:t xml:space="preserve">que Sustituye la Ley N° 19.366, que sanciona el tráfico </w:t>
      </w:r>
      <w:r w:rsidR="004071E5" w:rsidRPr="007A18AF">
        <w:rPr>
          <w:rFonts w:asciiTheme="minorHAnsi" w:hAnsiTheme="minorHAnsi" w:cstheme="minorHAnsi"/>
          <w:sz w:val="22"/>
          <w:szCs w:val="22"/>
        </w:rPr>
        <w:t>ilícito</w:t>
      </w:r>
      <w:r w:rsidR="004071E5" w:rsidRPr="007A18AF">
        <w:rPr>
          <w:rFonts w:asciiTheme="minorHAnsi" w:hAnsiTheme="minorHAnsi" w:cstheme="minorHAnsi"/>
          <w:sz w:val="22"/>
          <w:szCs w:val="22"/>
          <w:lang w:val="es-CL"/>
        </w:rPr>
        <w:t xml:space="preserve"> de estupefacientes y sustancias sicotrópicas</w:t>
      </w:r>
      <w:r w:rsidR="004071E5">
        <w:rPr>
          <w:rFonts w:asciiTheme="minorHAnsi" w:hAnsiTheme="minorHAnsi" w:cstheme="minorHAnsi"/>
          <w:sz w:val="22"/>
          <w:szCs w:val="22"/>
          <w:lang w:val="es-CL"/>
        </w:rPr>
        <w:t>.</w:t>
      </w:r>
    </w:p>
    <w:p w:rsidR="00471A21" w:rsidRDefault="00471A21" w:rsidP="004071E5">
      <w:pPr>
        <w:pStyle w:val="HTMLconformatoprevio"/>
        <w:shd w:val="clear" w:color="auto" w:fill="FFFFFF"/>
        <w:jc w:val="both"/>
        <w:rPr>
          <w:rFonts w:asciiTheme="minorHAnsi" w:eastAsiaTheme="minorHAnsi" w:hAnsiTheme="minorHAnsi" w:cstheme="minorHAnsi"/>
          <w:sz w:val="22"/>
          <w:szCs w:val="22"/>
          <w:lang w:eastAsia="en-US"/>
        </w:rPr>
      </w:pPr>
    </w:p>
    <w:p w:rsidR="00471A21" w:rsidRPr="007A18AF" w:rsidRDefault="00471A21" w:rsidP="004071E5">
      <w:pPr>
        <w:spacing w:line="276" w:lineRule="auto"/>
        <w:jc w:val="both"/>
        <w:rPr>
          <w:rFonts w:cstheme="minorHAnsi"/>
          <w:lang w:val="es-CL"/>
        </w:rPr>
      </w:pPr>
      <w:r w:rsidRPr="007A18AF">
        <w:rPr>
          <w:rFonts w:cstheme="minorHAnsi"/>
        </w:rPr>
        <w:t>En razón de lo anteriormente expuesto</w:t>
      </w:r>
      <w:r w:rsidRPr="007A18AF">
        <w:rPr>
          <w:rFonts w:cstheme="minorHAnsi"/>
          <w:lang w:val="es-CL"/>
        </w:rPr>
        <w:t>, los H. Diputados que suscribimos, venimos en proponer a esta Honorable Cámara</w:t>
      </w:r>
      <w:r>
        <w:rPr>
          <w:rFonts w:cstheme="minorHAnsi"/>
          <w:lang w:val="es-CL"/>
        </w:rPr>
        <w:t xml:space="preserve"> de Diputados</w:t>
      </w:r>
      <w:r w:rsidRPr="007A18AF">
        <w:rPr>
          <w:rFonts w:cstheme="minorHAnsi"/>
          <w:lang w:val="es-CL"/>
        </w:rPr>
        <w:t>, el siguiente</w:t>
      </w:r>
    </w:p>
    <w:p w:rsidR="00471A21" w:rsidRPr="007A18AF" w:rsidRDefault="00471A21" w:rsidP="00471A21">
      <w:pPr>
        <w:pStyle w:val="Prrafodelista"/>
        <w:spacing w:line="360" w:lineRule="auto"/>
        <w:ind w:left="792"/>
        <w:rPr>
          <w:rFonts w:cstheme="minorHAnsi"/>
          <w:lang w:val="es-CL"/>
        </w:rPr>
      </w:pPr>
    </w:p>
    <w:p w:rsidR="00471A21" w:rsidRPr="007A18AF" w:rsidRDefault="00471A21" w:rsidP="00471A21">
      <w:pPr>
        <w:jc w:val="center"/>
        <w:rPr>
          <w:rFonts w:cstheme="minorHAnsi"/>
          <w:b/>
          <w:lang w:val="es-CL"/>
        </w:rPr>
      </w:pPr>
      <w:r w:rsidRPr="007A18AF">
        <w:rPr>
          <w:rFonts w:cstheme="minorHAnsi"/>
          <w:b/>
          <w:lang w:val="es-CL"/>
        </w:rPr>
        <w:t>PROYECTO DE LEY</w:t>
      </w:r>
    </w:p>
    <w:p w:rsidR="00471A21" w:rsidRPr="007A18AF" w:rsidRDefault="00471A21" w:rsidP="004071E5">
      <w:pPr>
        <w:shd w:val="clear" w:color="auto" w:fill="FFFFFF"/>
        <w:spacing w:before="150" w:after="150" w:line="312" w:lineRule="atLeast"/>
        <w:ind w:left="150"/>
        <w:jc w:val="both"/>
        <w:outlineLvl w:val="0"/>
        <w:rPr>
          <w:rFonts w:cstheme="minorHAnsi"/>
        </w:rPr>
      </w:pPr>
      <w:r w:rsidRPr="007A18AF">
        <w:rPr>
          <w:rFonts w:cstheme="minorHAnsi"/>
          <w:lang w:val="es-CL"/>
        </w:rPr>
        <w:t xml:space="preserve">ARTÍCULO ÚNICO.- Modifíquese la Ley </w:t>
      </w:r>
      <w:r>
        <w:rPr>
          <w:rFonts w:cstheme="minorHAnsi"/>
          <w:lang w:val="es-CL"/>
        </w:rPr>
        <w:t>N° 19.925</w:t>
      </w:r>
      <w:r w:rsidRPr="00471A21">
        <w:rPr>
          <w:rFonts w:cstheme="minorHAnsi"/>
        </w:rPr>
        <w:t xml:space="preserve"> sobre Expendio y Consumo de Bebidas Alcohólicas</w:t>
      </w:r>
      <w:r w:rsidRPr="007A18AF">
        <w:rPr>
          <w:rFonts w:cstheme="minorHAnsi"/>
          <w:lang w:val="es-CL"/>
        </w:rPr>
        <w:t xml:space="preserve"> en el siguiente sentido:</w:t>
      </w:r>
    </w:p>
    <w:p w:rsidR="00471A21" w:rsidRDefault="00471A21" w:rsidP="004071E5">
      <w:pPr>
        <w:pStyle w:val="HTMLconformatoprevio"/>
        <w:shd w:val="clear" w:color="auto" w:fill="FFFFFF"/>
        <w:jc w:val="both"/>
        <w:rPr>
          <w:rFonts w:asciiTheme="minorHAnsi" w:eastAsiaTheme="minorHAnsi" w:hAnsiTheme="minorHAnsi" w:cstheme="minorHAnsi"/>
          <w:sz w:val="22"/>
          <w:szCs w:val="22"/>
          <w:lang w:eastAsia="en-US"/>
        </w:rPr>
      </w:pPr>
    </w:p>
    <w:p w:rsidR="00881E53" w:rsidRPr="00852C50" w:rsidRDefault="00881E53" w:rsidP="004071E5">
      <w:pPr>
        <w:pStyle w:val="Prrafodelista"/>
        <w:numPr>
          <w:ilvl w:val="0"/>
          <w:numId w:val="4"/>
        </w:numPr>
        <w:spacing w:after="0" w:line="360" w:lineRule="auto"/>
        <w:jc w:val="both"/>
        <w:rPr>
          <w:rFonts w:eastAsia="Times New Roman" w:cstheme="minorHAnsi"/>
          <w:lang w:eastAsia="es-ES"/>
        </w:rPr>
      </w:pPr>
      <w:r w:rsidRPr="00852C50">
        <w:rPr>
          <w:rFonts w:eastAsia="Times New Roman" w:cstheme="minorHAnsi"/>
          <w:lang w:eastAsia="es-ES"/>
        </w:rPr>
        <w:t>Remplácese el inciso primero del artículo 25 por los siguientes 1° y 2° nuevos del siguiente tenor:</w:t>
      </w:r>
    </w:p>
    <w:p w:rsidR="00471A21" w:rsidRDefault="00471A21" w:rsidP="004071E5">
      <w:pPr>
        <w:pStyle w:val="HTMLconformatoprevio"/>
        <w:shd w:val="clear" w:color="auto" w:fill="FFFFFF"/>
        <w:jc w:val="both"/>
        <w:rPr>
          <w:rFonts w:asciiTheme="minorHAnsi" w:eastAsiaTheme="minorHAnsi" w:hAnsiTheme="minorHAnsi" w:cstheme="minorHAnsi"/>
          <w:sz w:val="22"/>
          <w:szCs w:val="22"/>
          <w:lang w:eastAsia="en-US"/>
        </w:rPr>
      </w:pPr>
    </w:p>
    <w:p w:rsidR="00471A21" w:rsidRPr="00881E53" w:rsidRDefault="00881E53" w:rsidP="004071E5">
      <w:pPr>
        <w:pStyle w:val="HTMLconformatoprevio"/>
        <w:shd w:val="clear" w:color="auto" w:fill="FFFFFF"/>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t>“</w:t>
      </w:r>
      <w:r w:rsidR="00471A21" w:rsidRPr="00881E53">
        <w:rPr>
          <w:rFonts w:asciiTheme="minorHAnsi" w:eastAsiaTheme="minorHAnsi" w:hAnsiTheme="minorHAnsi" w:cstheme="minorHAnsi"/>
          <w:sz w:val="22"/>
          <w:szCs w:val="22"/>
          <w:lang w:val="es-CL" w:eastAsia="en-US"/>
        </w:rPr>
        <w:t xml:space="preserve">Los que consumieren bebidas alcohólicas en calles, caminos, plazas y paseos, con excepción de </w:t>
      </w:r>
      <w:r w:rsidRPr="00881E53">
        <w:rPr>
          <w:rFonts w:asciiTheme="minorHAnsi" w:eastAsiaTheme="minorHAnsi" w:hAnsiTheme="minorHAnsi" w:cstheme="minorHAnsi"/>
          <w:sz w:val="22"/>
          <w:szCs w:val="22"/>
          <w:lang w:val="es-CL" w:eastAsia="en-US"/>
        </w:rPr>
        <w:t xml:space="preserve">aquellos que lo hagan en terrazas </w:t>
      </w:r>
      <w:r w:rsidR="00471A21" w:rsidRPr="00881E53">
        <w:rPr>
          <w:rFonts w:asciiTheme="minorHAnsi" w:eastAsiaTheme="minorHAnsi" w:hAnsiTheme="minorHAnsi" w:cstheme="minorHAnsi"/>
          <w:sz w:val="22"/>
          <w:szCs w:val="22"/>
          <w:lang w:val="es-CL" w:eastAsia="en-US"/>
        </w:rPr>
        <w:t xml:space="preserve">bares y restaurantes que cuenten cuyo funcionamiento este autorizado </w:t>
      </w:r>
      <w:r w:rsidRPr="00881E53">
        <w:rPr>
          <w:rFonts w:asciiTheme="minorHAnsi" w:eastAsiaTheme="minorHAnsi" w:hAnsiTheme="minorHAnsi" w:cstheme="minorHAnsi"/>
          <w:sz w:val="22"/>
          <w:szCs w:val="22"/>
          <w:lang w:val="es-CL" w:eastAsia="en-US"/>
        </w:rPr>
        <w:t>previamente por el respectivo municipio</w:t>
      </w:r>
      <w:r w:rsidR="00471A21" w:rsidRPr="00881E53">
        <w:rPr>
          <w:rFonts w:asciiTheme="minorHAnsi" w:eastAsiaTheme="minorHAnsi" w:hAnsiTheme="minorHAnsi" w:cstheme="minorHAnsi"/>
          <w:sz w:val="22"/>
          <w:szCs w:val="22"/>
          <w:lang w:val="es-CL" w:eastAsia="en-US"/>
        </w:rPr>
        <w:t>, estadios, establecimientos educacionales o de capacitación y demás lugares de uso público. La contravención a esta prohibición será sancionada con alguna de las siguientes penas:</w:t>
      </w:r>
    </w:p>
    <w:p w:rsidR="00471A21" w:rsidRPr="00881E53" w:rsidRDefault="00471A21" w:rsidP="004071E5">
      <w:pPr>
        <w:pStyle w:val="HTMLconformatoprevio"/>
        <w:shd w:val="clear" w:color="auto" w:fill="FFFFFF"/>
        <w:jc w:val="both"/>
        <w:rPr>
          <w:rFonts w:asciiTheme="minorHAnsi" w:eastAsiaTheme="minorHAnsi" w:hAnsiTheme="minorHAnsi" w:cstheme="minorHAnsi"/>
          <w:sz w:val="22"/>
          <w:szCs w:val="22"/>
          <w:lang w:val="es-CL" w:eastAsia="en-US"/>
        </w:rPr>
      </w:pPr>
    </w:p>
    <w:p w:rsidR="00881E53" w:rsidRDefault="00471A21" w:rsidP="004071E5">
      <w:pPr>
        <w:pStyle w:val="HTMLconformatoprevio"/>
        <w:numPr>
          <w:ilvl w:val="0"/>
          <w:numId w:val="3"/>
        </w:numPr>
        <w:shd w:val="clear" w:color="auto" w:fill="FFFFFF"/>
        <w:jc w:val="both"/>
        <w:rPr>
          <w:rFonts w:asciiTheme="minorHAnsi" w:eastAsiaTheme="minorHAnsi" w:hAnsiTheme="minorHAnsi" w:cstheme="minorHAnsi"/>
          <w:sz w:val="22"/>
          <w:szCs w:val="22"/>
          <w:lang w:val="es-CL" w:eastAsia="en-US"/>
        </w:rPr>
      </w:pPr>
      <w:r w:rsidRPr="00881E53">
        <w:rPr>
          <w:rFonts w:asciiTheme="minorHAnsi" w:eastAsiaTheme="minorHAnsi" w:hAnsiTheme="minorHAnsi" w:cstheme="minorHAnsi"/>
          <w:sz w:val="22"/>
          <w:szCs w:val="22"/>
          <w:lang w:val="es-CL" w:eastAsia="en-US"/>
        </w:rPr>
        <w:t xml:space="preserve">Multa de </w:t>
      </w:r>
      <w:r w:rsidR="007A7F49">
        <w:rPr>
          <w:rFonts w:asciiTheme="minorHAnsi" w:eastAsiaTheme="minorHAnsi" w:hAnsiTheme="minorHAnsi" w:cstheme="minorHAnsi"/>
          <w:sz w:val="22"/>
          <w:szCs w:val="22"/>
          <w:lang w:val="es-CL" w:eastAsia="en-US"/>
        </w:rPr>
        <w:t>cinco</w:t>
      </w:r>
      <w:r w:rsidRPr="00881E53">
        <w:rPr>
          <w:rFonts w:asciiTheme="minorHAnsi" w:eastAsiaTheme="minorHAnsi" w:hAnsiTheme="minorHAnsi" w:cstheme="minorHAnsi"/>
          <w:sz w:val="22"/>
          <w:szCs w:val="22"/>
          <w:lang w:val="es-CL" w:eastAsia="en-US"/>
        </w:rPr>
        <w:t xml:space="preserve"> a diez unidades tributarias mensuales.</w:t>
      </w:r>
    </w:p>
    <w:p w:rsidR="00881E53" w:rsidRDefault="00471A21" w:rsidP="004071E5">
      <w:pPr>
        <w:pStyle w:val="HTMLconformatoprevio"/>
        <w:numPr>
          <w:ilvl w:val="0"/>
          <w:numId w:val="3"/>
        </w:numPr>
        <w:shd w:val="clear" w:color="auto" w:fill="FFFFFF"/>
        <w:jc w:val="both"/>
        <w:rPr>
          <w:rFonts w:asciiTheme="minorHAnsi" w:eastAsiaTheme="minorHAnsi" w:hAnsiTheme="minorHAnsi" w:cstheme="minorHAnsi"/>
          <w:sz w:val="22"/>
          <w:szCs w:val="22"/>
          <w:lang w:val="es-CL" w:eastAsia="en-US"/>
        </w:rPr>
      </w:pPr>
      <w:r w:rsidRPr="00881E53">
        <w:rPr>
          <w:rFonts w:asciiTheme="minorHAnsi" w:eastAsiaTheme="minorHAnsi" w:hAnsiTheme="minorHAnsi" w:cstheme="minorHAnsi"/>
          <w:sz w:val="22"/>
          <w:szCs w:val="22"/>
          <w:lang w:val="es-CL" w:eastAsia="en-US"/>
        </w:rPr>
        <w:t xml:space="preserve">Participación en actividades determinadas a beneficio de la comunidad, con acuerdo del infractor y a propuesta del departamento social de la municipalidad respectiva, hasta por un máximo de treinta horas, o en cursos de capacitación por un número de horas suficientes para el aprendizaje de la técnica o arte objeto del curso. Para estos efectos, cada municipalidad deberá anualmente informar a </w:t>
      </w:r>
      <w:proofErr w:type="spellStart"/>
      <w:r w:rsidRPr="00881E53">
        <w:rPr>
          <w:rFonts w:asciiTheme="minorHAnsi" w:eastAsiaTheme="minorHAnsi" w:hAnsiTheme="minorHAnsi" w:cstheme="minorHAnsi"/>
          <w:sz w:val="22"/>
          <w:szCs w:val="22"/>
          <w:lang w:val="es-CL" w:eastAsia="en-US"/>
        </w:rPr>
        <w:t>el</w:t>
      </w:r>
      <w:proofErr w:type="spellEnd"/>
      <w:r w:rsidRPr="00881E53">
        <w:rPr>
          <w:rFonts w:asciiTheme="minorHAnsi" w:eastAsiaTheme="minorHAnsi" w:hAnsiTheme="minorHAnsi" w:cstheme="minorHAnsi"/>
          <w:sz w:val="22"/>
          <w:szCs w:val="22"/>
          <w:lang w:val="es-CL" w:eastAsia="en-US"/>
        </w:rPr>
        <w:t xml:space="preserve"> o los juzgados de garantía correspondientes acerca de los programas en beneficio de la comunidad de que disponga. El juez deberá indicar el tipo de actividades a que se refiere esta letra, el lugar en que se desarrollarán y el organismo o autoridad encargada de su supervisión. Esta medida se cumplirá sin afectar la jornada educacional o laboral del infractor.</w:t>
      </w:r>
    </w:p>
    <w:p w:rsidR="00852C50" w:rsidRDefault="00852C50" w:rsidP="004071E5">
      <w:pPr>
        <w:pStyle w:val="HTMLconformatoprevio"/>
        <w:shd w:val="clear" w:color="auto" w:fill="FFFFFF"/>
        <w:jc w:val="both"/>
        <w:rPr>
          <w:rFonts w:asciiTheme="minorHAnsi" w:eastAsiaTheme="minorHAnsi" w:hAnsiTheme="minorHAnsi" w:cstheme="minorHAnsi"/>
          <w:sz w:val="22"/>
          <w:szCs w:val="22"/>
          <w:lang w:val="es-CL" w:eastAsia="en-US"/>
        </w:rPr>
      </w:pPr>
    </w:p>
    <w:p w:rsidR="00881E53" w:rsidRDefault="00471A21" w:rsidP="004071E5">
      <w:pPr>
        <w:pStyle w:val="HTMLconformatoprevio"/>
        <w:shd w:val="clear" w:color="auto" w:fill="FFFFFF"/>
        <w:jc w:val="both"/>
        <w:rPr>
          <w:rFonts w:asciiTheme="minorHAnsi" w:eastAsiaTheme="minorHAnsi" w:hAnsiTheme="minorHAnsi" w:cstheme="minorHAnsi"/>
          <w:sz w:val="22"/>
          <w:szCs w:val="22"/>
          <w:lang w:val="es-CL" w:eastAsia="en-US"/>
        </w:rPr>
      </w:pPr>
      <w:r w:rsidRPr="00881E53">
        <w:rPr>
          <w:rFonts w:asciiTheme="minorHAnsi" w:eastAsiaTheme="minorHAnsi" w:hAnsiTheme="minorHAnsi" w:cstheme="minorHAnsi"/>
          <w:sz w:val="22"/>
          <w:szCs w:val="22"/>
          <w:lang w:val="es-CL" w:eastAsia="en-US"/>
        </w:rPr>
        <w:t>Se aplicará como pena accesoria, en su caso, la suspensión de la licencia para conducir vehículos motorizados por un plazo máximo de seis meses. En caso de reincidencia, la suspensión será de hasta un año y, de reincidir nuevamente, podrá extenderse hasta por dos años. Esta medida no podrá ser suspendida, ni aun cuando el juez hiciere uso de la facultad contemplada en el artículo 398 del Código Procesal Penal.</w:t>
      </w:r>
      <w:r w:rsidR="00852C50">
        <w:rPr>
          <w:rFonts w:asciiTheme="minorHAnsi" w:eastAsiaTheme="minorHAnsi" w:hAnsiTheme="minorHAnsi" w:cstheme="minorHAnsi"/>
          <w:sz w:val="22"/>
          <w:szCs w:val="22"/>
          <w:lang w:val="es-CL" w:eastAsia="en-US"/>
        </w:rPr>
        <w:t>”</w:t>
      </w:r>
    </w:p>
    <w:p w:rsidR="00471A21" w:rsidRDefault="00471A21" w:rsidP="00881E53">
      <w:pPr>
        <w:pStyle w:val="HTMLconformatoprevio"/>
        <w:shd w:val="clear" w:color="auto" w:fill="FFFFFF"/>
        <w:ind w:left="615"/>
        <w:jc w:val="both"/>
        <w:rPr>
          <w:rFonts w:asciiTheme="minorHAnsi" w:eastAsiaTheme="minorHAnsi" w:hAnsiTheme="minorHAnsi" w:cstheme="minorHAnsi"/>
          <w:sz w:val="22"/>
          <w:szCs w:val="22"/>
          <w:lang w:val="es-CL" w:eastAsia="en-US"/>
        </w:rPr>
      </w:pPr>
      <w:r w:rsidRPr="00881E53">
        <w:rPr>
          <w:rFonts w:asciiTheme="minorHAnsi" w:eastAsiaTheme="minorHAnsi" w:hAnsiTheme="minorHAnsi" w:cstheme="minorHAnsi"/>
          <w:sz w:val="22"/>
          <w:szCs w:val="22"/>
          <w:lang w:val="es-CL" w:eastAsia="en-US"/>
        </w:rPr>
        <w:br/>
        <w:t>  </w:t>
      </w:r>
    </w:p>
    <w:p w:rsidR="00852C50" w:rsidRPr="00881E53" w:rsidRDefault="00852C50" w:rsidP="00852C50">
      <w:pPr>
        <w:pStyle w:val="HTMLconformatoprevio"/>
        <w:shd w:val="clear" w:color="auto" w:fill="FFFFFF"/>
        <w:ind w:left="720"/>
        <w:jc w:val="both"/>
        <w:rPr>
          <w:rFonts w:asciiTheme="minorHAnsi" w:eastAsiaTheme="minorHAnsi" w:hAnsiTheme="minorHAnsi" w:cstheme="minorHAnsi"/>
          <w:sz w:val="22"/>
          <w:szCs w:val="22"/>
          <w:lang w:val="es-CL" w:eastAsia="en-US"/>
        </w:rPr>
      </w:pPr>
    </w:p>
    <w:p w:rsidR="00471A21" w:rsidRDefault="00471A21" w:rsidP="004F0F97">
      <w:pPr>
        <w:pStyle w:val="HTMLconformatoprevio"/>
        <w:shd w:val="clear" w:color="auto" w:fill="FFFFFF"/>
        <w:rPr>
          <w:rFonts w:asciiTheme="minorHAnsi" w:eastAsiaTheme="minorHAnsi" w:hAnsiTheme="minorHAnsi" w:cstheme="minorHAnsi"/>
          <w:sz w:val="22"/>
          <w:szCs w:val="22"/>
          <w:lang w:eastAsia="en-US"/>
        </w:rPr>
      </w:pPr>
    </w:p>
    <w:p w:rsidR="00852C50" w:rsidRDefault="00852C50" w:rsidP="004F0F97">
      <w:pPr>
        <w:pStyle w:val="HTMLconformatoprevio"/>
        <w:shd w:val="clear" w:color="auto" w:fill="FFFFFF"/>
        <w:rPr>
          <w:rFonts w:asciiTheme="minorHAnsi" w:eastAsiaTheme="minorHAnsi" w:hAnsiTheme="minorHAnsi" w:cstheme="minorHAnsi"/>
          <w:sz w:val="22"/>
          <w:szCs w:val="22"/>
          <w:lang w:eastAsia="en-US"/>
        </w:rPr>
      </w:pPr>
    </w:p>
    <w:p w:rsidR="00852C50" w:rsidRDefault="00852C50" w:rsidP="004F0F97">
      <w:pPr>
        <w:pStyle w:val="HTMLconformatoprevio"/>
        <w:shd w:val="clear" w:color="auto" w:fill="FFFFFF"/>
        <w:rPr>
          <w:rFonts w:asciiTheme="minorHAnsi" w:eastAsiaTheme="minorHAnsi" w:hAnsiTheme="minorHAnsi" w:cstheme="minorHAnsi"/>
          <w:sz w:val="22"/>
          <w:szCs w:val="22"/>
          <w:lang w:eastAsia="en-US"/>
        </w:rPr>
      </w:pPr>
    </w:p>
    <w:p w:rsidR="00852C50" w:rsidRPr="00471A21" w:rsidRDefault="00852C50" w:rsidP="004F0F97">
      <w:pPr>
        <w:pStyle w:val="HTMLconformatoprevio"/>
        <w:shd w:val="clear" w:color="auto" w:fill="FFFFFF"/>
        <w:rPr>
          <w:rFonts w:asciiTheme="minorHAnsi" w:eastAsiaTheme="minorHAnsi" w:hAnsiTheme="minorHAnsi" w:cstheme="minorHAnsi"/>
          <w:sz w:val="22"/>
          <w:szCs w:val="22"/>
          <w:lang w:eastAsia="en-US"/>
        </w:rPr>
      </w:pPr>
    </w:p>
    <w:p w:rsidR="004F0F97" w:rsidRDefault="004F0F97" w:rsidP="004F0F97">
      <w:pPr>
        <w:pStyle w:val="HTMLconformatoprevio"/>
        <w:shd w:val="clear" w:color="auto" w:fill="FFFFFF"/>
        <w:rPr>
          <w:rFonts w:cstheme="minorHAnsi"/>
        </w:rPr>
      </w:pPr>
    </w:p>
    <w:p w:rsidR="00881E53" w:rsidRPr="007A18AF" w:rsidRDefault="00881E53" w:rsidP="00881E53">
      <w:pPr>
        <w:jc w:val="center"/>
        <w:rPr>
          <w:rFonts w:cstheme="minorHAnsi"/>
          <w:b/>
        </w:rPr>
      </w:pPr>
      <w:r w:rsidRPr="007A18AF">
        <w:rPr>
          <w:rFonts w:cstheme="minorHAnsi"/>
          <w:b/>
        </w:rPr>
        <w:t>SEBASTIAN TORREALBA</w:t>
      </w:r>
    </w:p>
    <w:p w:rsidR="00881E53" w:rsidRPr="007A18AF" w:rsidRDefault="00881E53" w:rsidP="00881E53">
      <w:pPr>
        <w:jc w:val="center"/>
        <w:rPr>
          <w:rFonts w:cstheme="minorHAnsi"/>
        </w:rPr>
      </w:pPr>
      <w:r w:rsidRPr="007A18AF">
        <w:rPr>
          <w:rFonts w:cstheme="minorHAnsi"/>
          <w:b/>
        </w:rPr>
        <w:t>DIPUTADO</w:t>
      </w:r>
      <w:r>
        <w:rPr>
          <w:rFonts w:cstheme="minorHAnsi"/>
        </w:rPr>
        <w:t xml:space="preserve"> </w:t>
      </w:r>
    </w:p>
    <w:p w:rsidR="00881E53" w:rsidRDefault="00881E53" w:rsidP="004F0F97">
      <w:pPr>
        <w:pStyle w:val="HTMLconformatoprevio"/>
        <w:shd w:val="clear" w:color="auto" w:fill="FFFFFF"/>
        <w:rPr>
          <w:rFonts w:cstheme="minorHAnsi"/>
        </w:rPr>
      </w:pPr>
    </w:p>
    <w:p w:rsidR="004F0F97" w:rsidRDefault="004F0F97" w:rsidP="004F0F97">
      <w:pPr>
        <w:pStyle w:val="HTMLconformatoprevio"/>
        <w:shd w:val="clear" w:color="auto" w:fill="FFFFFF"/>
        <w:rPr>
          <w:rFonts w:cstheme="minorHAnsi"/>
        </w:rPr>
      </w:pPr>
    </w:p>
    <w:p w:rsidR="004F0F97" w:rsidRPr="00B7703B" w:rsidRDefault="004F0F97" w:rsidP="00B7703B">
      <w:pPr>
        <w:jc w:val="both"/>
        <w:rPr>
          <w:rFonts w:cstheme="minorHAnsi"/>
        </w:rPr>
      </w:pPr>
    </w:p>
    <w:sectPr w:rsidR="004F0F97" w:rsidRPr="00B7703B" w:rsidSect="00A073C2">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78" w:rsidRDefault="00020E78" w:rsidP="00A61B09">
      <w:pPr>
        <w:spacing w:after="0" w:line="240" w:lineRule="auto"/>
      </w:pPr>
      <w:r>
        <w:separator/>
      </w:r>
    </w:p>
  </w:endnote>
  <w:endnote w:type="continuationSeparator" w:id="0">
    <w:p w:rsidR="00020E78" w:rsidRDefault="00020E78" w:rsidP="00A6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78" w:rsidRDefault="00020E78" w:rsidP="00A61B09">
      <w:pPr>
        <w:spacing w:after="0" w:line="240" w:lineRule="auto"/>
      </w:pPr>
      <w:r>
        <w:separator/>
      </w:r>
    </w:p>
  </w:footnote>
  <w:footnote w:type="continuationSeparator" w:id="0">
    <w:p w:rsidR="00020E78" w:rsidRDefault="00020E78" w:rsidP="00A61B09">
      <w:pPr>
        <w:spacing w:after="0" w:line="240" w:lineRule="auto"/>
      </w:pPr>
      <w:r>
        <w:continuationSeparator/>
      </w:r>
    </w:p>
  </w:footnote>
  <w:footnote w:id="1">
    <w:p w:rsidR="00983D4B" w:rsidRPr="00A61B09" w:rsidRDefault="00983D4B">
      <w:pPr>
        <w:pStyle w:val="Textonotapie"/>
        <w:rPr>
          <w:lang w:val="es-CL"/>
        </w:rPr>
      </w:pPr>
      <w:r>
        <w:rPr>
          <w:rStyle w:val="Refdenotaalpie"/>
        </w:rPr>
        <w:footnoteRef/>
      </w:r>
      <w:r>
        <w:t xml:space="preserve"> EL CONSUMO DE ALCOHOL EN CHILE: SITUACIÓN EPIDEMIOLÓGICA. Documento SENCE / MIMSAL Disponible en </w:t>
      </w:r>
      <w:r w:rsidRPr="00A61B09">
        <w:t>http://www.senda.gob.cl/wp</w:t>
      </w:r>
      <w:r>
        <w:t>-</w:t>
      </w:r>
      <w:r w:rsidRPr="00A61B09">
        <w:t>content/uploads/media/estudios/otrosSENDA/2016_Consumo_Alcohol_Chile.pdf</w:t>
      </w:r>
      <w:r>
        <w:t xml:space="preserve"> </w:t>
      </w:r>
    </w:p>
  </w:footnote>
  <w:footnote w:id="2">
    <w:p w:rsidR="00983D4B" w:rsidRPr="00B7703B" w:rsidRDefault="00983D4B">
      <w:pPr>
        <w:pStyle w:val="Textonotapie"/>
        <w:rPr>
          <w:lang w:val="es-CL"/>
        </w:rPr>
      </w:pPr>
      <w:r>
        <w:rPr>
          <w:rStyle w:val="Refdenotaalpie"/>
        </w:rPr>
        <w:footnoteRef/>
      </w:r>
      <w:r>
        <w:t xml:space="preserve"> </w:t>
      </w:r>
      <w:hyperlink r:id="rId1" w:history="1">
        <w:r w:rsidRPr="00A96C45">
          <w:rPr>
            <w:rStyle w:val="Hipervnculo"/>
          </w:rPr>
          <w:t>http://www.senda.gob.cl/wp-content/uploads/2015/07/Informe-Ejecutivo-ENPG-2014.pdf</w:t>
        </w:r>
      </w:hyperlink>
      <w:r>
        <w:t xml:space="preserve"> </w:t>
      </w:r>
    </w:p>
  </w:footnote>
  <w:footnote w:id="3">
    <w:p w:rsidR="00983D4B" w:rsidRPr="00B7703B" w:rsidRDefault="00983D4B">
      <w:pPr>
        <w:pStyle w:val="Textonotapie"/>
        <w:rPr>
          <w:lang w:val="es-CL"/>
        </w:rPr>
      </w:pPr>
      <w:r>
        <w:rPr>
          <w:rStyle w:val="Refdenotaalpie"/>
        </w:rPr>
        <w:footnoteRef/>
      </w:r>
      <w:r>
        <w:t xml:space="preserve"> </w:t>
      </w:r>
      <w:hyperlink r:id="rId2" w:history="1">
        <w:r w:rsidRPr="00A96C45">
          <w:rPr>
            <w:rStyle w:val="Hipervnculo"/>
          </w:rPr>
          <w:t>http://www.senda.gob.cl/prevencion/prevencion-del-consumo-de-alcohol/patrones-de-consumo/</w:t>
        </w:r>
      </w:hyperlink>
      <w:r>
        <w:t xml:space="preserve"> </w:t>
      </w:r>
    </w:p>
  </w:footnote>
  <w:footnote w:id="4">
    <w:p w:rsidR="00983D4B" w:rsidRPr="00B7703B" w:rsidRDefault="00983D4B">
      <w:pPr>
        <w:pStyle w:val="Textonotapie"/>
        <w:rPr>
          <w:lang w:val="es-CL"/>
        </w:rPr>
      </w:pPr>
      <w:r>
        <w:rPr>
          <w:rStyle w:val="Refdenotaalpie"/>
        </w:rPr>
        <w:footnoteRef/>
      </w:r>
      <w:r>
        <w:t xml:space="preserve"> </w:t>
      </w:r>
      <w:r>
        <w:rPr>
          <w:rFonts w:cstheme="minorHAnsi"/>
        </w:rPr>
        <w:t xml:space="preserve">La relación Droga Delito: una estimación de  la Fracción atribuible, disponible en </w:t>
      </w:r>
      <w:r w:rsidRPr="00B7703B">
        <w:t xml:space="preserve"> https://www.cepchile.cl/cep/site/artic/20160304/asocfile/20160304095323/rev119_valenzuela_larroulet.pdf</w:t>
      </w:r>
    </w:p>
  </w:footnote>
  <w:footnote w:id="5">
    <w:p w:rsidR="00983D4B" w:rsidRPr="004F0F97" w:rsidRDefault="00983D4B">
      <w:pPr>
        <w:pStyle w:val="Textonotapie"/>
        <w:rPr>
          <w:lang w:val="es-CL"/>
        </w:rPr>
      </w:pPr>
      <w:r>
        <w:rPr>
          <w:rStyle w:val="Refdenotaalpie"/>
        </w:rPr>
        <w:footnoteRef/>
      </w:r>
      <w:r>
        <w:t xml:space="preserve"> </w:t>
      </w:r>
      <w:r w:rsidRPr="00B7703B">
        <w:rPr>
          <w:rFonts w:cstheme="minorHAnsi"/>
          <w:sz w:val="22"/>
          <w:szCs w:val="22"/>
        </w:rPr>
        <w:t>Castillo, 2014</w:t>
      </w:r>
      <w:r>
        <w:rPr>
          <w:rFonts w:cstheme="minorHAnsi"/>
          <w:sz w:val="22"/>
          <w:szCs w:val="22"/>
        </w:rPr>
        <w:t xml:space="preserve"> citado en </w:t>
      </w:r>
      <w:r>
        <w:t xml:space="preserve">EL CONSUMO DE ALCOHOL EN CHILE: SITUACIÓN EPIDEMIOLÓGICA. Documento SENCE / MIMSAL Disponible en </w:t>
      </w:r>
      <w:r w:rsidRPr="00A61B09">
        <w:t>http://www.senda.gob.cl/wp</w:t>
      </w:r>
      <w:r>
        <w:t>-</w:t>
      </w:r>
    </w:p>
  </w:footnote>
  <w:footnote w:id="6">
    <w:p w:rsidR="00983D4B" w:rsidRPr="004F0F97" w:rsidRDefault="00983D4B">
      <w:pPr>
        <w:pStyle w:val="Textonotapie"/>
        <w:rPr>
          <w:lang w:val="es-CL"/>
        </w:rPr>
      </w:pPr>
      <w:r>
        <w:rPr>
          <w:rStyle w:val="Refdenotaalpie"/>
        </w:rPr>
        <w:footnoteRef/>
      </w:r>
      <w:r>
        <w:t xml:space="preserve"> </w:t>
      </w:r>
      <w:hyperlink r:id="rId3" w:history="1">
        <w:r w:rsidRPr="00A96C45">
          <w:rPr>
            <w:rStyle w:val="Hipervnculo"/>
          </w:rPr>
          <w:t>https://www.conaset.cl/alcohol-y-conduccion/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6597"/>
    <w:multiLevelType w:val="hybridMultilevel"/>
    <w:tmpl w:val="5E988656"/>
    <w:lvl w:ilvl="0" w:tplc="458A2896">
      <w:start w:val="1"/>
      <w:numFmt w:val="lowerLetter"/>
      <w:lvlText w:val="%1."/>
      <w:lvlJc w:val="left"/>
      <w:pPr>
        <w:ind w:left="720" w:hanging="360"/>
      </w:pPr>
      <w:rPr>
        <w:rFonts w:asciiTheme="minorHAnsi" w:hAnsiTheme="minorHAnsi" w:cstheme="minorBidi" w:hint="default"/>
        <w:i w:val="0"/>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661311"/>
    <w:multiLevelType w:val="hybridMultilevel"/>
    <w:tmpl w:val="6A803F84"/>
    <w:lvl w:ilvl="0" w:tplc="F7A2C7B2">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794124C"/>
    <w:multiLevelType w:val="hybridMultilevel"/>
    <w:tmpl w:val="D6B0C0C0"/>
    <w:lvl w:ilvl="0" w:tplc="E4EE3F24">
      <w:start w:val="1"/>
      <w:numFmt w:val="lowerLetter"/>
      <w:lvlText w:val="%1."/>
      <w:lvlJc w:val="left"/>
      <w:pPr>
        <w:ind w:left="615" w:hanging="360"/>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3" w15:restartNumberingAfterBreak="0">
    <w:nsid w:val="31693EA5"/>
    <w:multiLevelType w:val="hybridMultilevel"/>
    <w:tmpl w:val="62B63D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09"/>
    <w:rsid w:val="00020E78"/>
    <w:rsid w:val="001F4455"/>
    <w:rsid w:val="003B52E1"/>
    <w:rsid w:val="003F3284"/>
    <w:rsid w:val="004071E5"/>
    <w:rsid w:val="00471A21"/>
    <w:rsid w:val="004C006A"/>
    <w:rsid w:val="004F0F97"/>
    <w:rsid w:val="0061204E"/>
    <w:rsid w:val="007A7F49"/>
    <w:rsid w:val="00852C50"/>
    <w:rsid w:val="00881E53"/>
    <w:rsid w:val="00912D17"/>
    <w:rsid w:val="00974D6D"/>
    <w:rsid w:val="00983D4B"/>
    <w:rsid w:val="00A073C2"/>
    <w:rsid w:val="00A61B09"/>
    <w:rsid w:val="00B7703B"/>
    <w:rsid w:val="00C82614"/>
    <w:rsid w:val="00F57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93CF3-180A-4517-B956-B3B83C58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B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A61B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1B09"/>
    <w:rPr>
      <w:sz w:val="20"/>
      <w:szCs w:val="20"/>
    </w:rPr>
  </w:style>
  <w:style w:type="character" w:styleId="Refdenotaalpie">
    <w:name w:val="footnote reference"/>
    <w:basedOn w:val="Fuentedeprrafopredeter"/>
    <w:uiPriority w:val="99"/>
    <w:semiHidden/>
    <w:unhideWhenUsed/>
    <w:rsid w:val="00A61B09"/>
    <w:rPr>
      <w:vertAlign w:val="superscript"/>
    </w:rPr>
  </w:style>
  <w:style w:type="character" w:customStyle="1" w:styleId="strg">
    <w:name w:val="strg"/>
    <w:basedOn w:val="Fuentedeprrafopredeter"/>
    <w:rsid w:val="00A61B09"/>
  </w:style>
  <w:style w:type="character" w:styleId="Hipervnculo">
    <w:name w:val="Hyperlink"/>
    <w:basedOn w:val="Fuentedeprrafopredeter"/>
    <w:uiPriority w:val="99"/>
    <w:unhideWhenUsed/>
    <w:rsid w:val="00B7703B"/>
    <w:rPr>
      <w:color w:val="0563C1" w:themeColor="hyperlink"/>
      <w:u w:val="single"/>
    </w:rPr>
  </w:style>
  <w:style w:type="character" w:customStyle="1" w:styleId="UnresolvedMention">
    <w:name w:val="Unresolved Mention"/>
    <w:basedOn w:val="Fuentedeprrafopredeter"/>
    <w:uiPriority w:val="99"/>
    <w:semiHidden/>
    <w:unhideWhenUsed/>
    <w:rsid w:val="00B7703B"/>
    <w:rPr>
      <w:color w:val="605E5C"/>
      <w:shd w:val="clear" w:color="auto" w:fill="E1DFDD"/>
    </w:rPr>
  </w:style>
  <w:style w:type="paragraph" w:styleId="Prrafodelista">
    <w:name w:val="List Paragraph"/>
    <w:basedOn w:val="Normal"/>
    <w:uiPriority w:val="34"/>
    <w:qFormat/>
    <w:rsid w:val="00B7703B"/>
    <w:pPr>
      <w:ind w:left="720"/>
      <w:contextualSpacing/>
    </w:pPr>
  </w:style>
  <w:style w:type="paragraph" w:styleId="HTMLconformatoprevio">
    <w:name w:val="HTML Preformatted"/>
    <w:basedOn w:val="Normal"/>
    <w:link w:val="HTMLconformatoprevioCar"/>
    <w:uiPriority w:val="99"/>
    <w:unhideWhenUsed/>
    <w:rsid w:val="004F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4F0F97"/>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355">
      <w:bodyDiv w:val="1"/>
      <w:marLeft w:val="0"/>
      <w:marRight w:val="0"/>
      <w:marTop w:val="0"/>
      <w:marBottom w:val="0"/>
      <w:divBdr>
        <w:top w:val="none" w:sz="0" w:space="0" w:color="auto"/>
        <w:left w:val="none" w:sz="0" w:space="0" w:color="auto"/>
        <w:bottom w:val="none" w:sz="0" w:space="0" w:color="auto"/>
        <w:right w:val="none" w:sz="0" w:space="0" w:color="auto"/>
      </w:divBdr>
    </w:div>
    <w:div w:id="804856253">
      <w:bodyDiv w:val="1"/>
      <w:marLeft w:val="0"/>
      <w:marRight w:val="0"/>
      <w:marTop w:val="0"/>
      <w:marBottom w:val="0"/>
      <w:divBdr>
        <w:top w:val="none" w:sz="0" w:space="0" w:color="auto"/>
        <w:left w:val="none" w:sz="0" w:space="0" w:color="auto"/>
        <w:bottom w:val="none" w:sz="0" w:space="0" w:color="auto"/>
        <w:right w:val="none" w:sz="0" w:space="0" w:color="auto"/>
      </w:divBdr>
    </w:div>
    <w:div w:id="1171333300">
      <w:bodyDiv w:val="1"/>
      <w:marLeft w:val="0"/>
      <w:marRight w:val="0"/>
      <w:marTop w:val="0"/>
      <w:marBottom w:val="0"/>
      <w:divBdr>
        <w:top w:val="none" w:sz="0" w:space="0" w:color="auto"/>
        <w:left w:val="none" w:sz="0" w:space="0" w:color="auto"/>
        <w:bottom w:val="none" w:sz="0" w:space="0" w:color="auto"/>
        <w:right w:val="none" w:sz="0" w:space="0" w:color="auto"/>
      </w:divBdr>
    </w:div>
    <w:div w:id="1617519415">
      <w:bodyDiv w:val="1"/>
      <w:marLeft w:val="0"/>
      <w:marRight w:val="0"/>
      <w:marTop w:val="0"/>
      <w:marBottom w:val="0"/>
      <w:divBdr>
        <w:top w:val="none" w:sz="0" w:space="0" w:color="auto"/>
        <w:left w:val="none" w:sz="0" w:space="0" w:color="auto"/>
        <w:bottom w:val="none" w:sz="0" w:space="0" w:color="auto"/>
        <w:right w:val="none" w:sz="0" w:space="0" w:color="auto"/>
      </w:divBdr>
    </w:div>
    <w:div w:id="1641184825">
      <w:bodyDiv w:val="1"/>
      <w:marLeft w:val="0"/>
      <w:marRight w:val="0"/>
      <w:marTop w:val="0"/>
      <w:marBottom w:val="0"/>
      <w:divBdr>
        <w:top w:val="none" w:sz="0" w:space="0" w:color="auto"/>
        <w:left w:val="none" w:sz="0" w:space="0" w:color="auto"/>
        <w:bottom w:val="none" w:sz="0" w:space="0" w:color="auto"/>
        <w:right w:val="none" w:sz="0" w:space="0" w:color="auto"/>
      </w:divBdr>
    </w:div>
    <w:div w:id="1835489534">
      <w:bodyDiv w:val="1"/>
      <w:marLeft w:val="0"/>
      <w:marRight w:val="0"/>
      <w:marTop w:val="0"/>
      <w:marBottom w:val="0"/>
      <w:divBdr>
        <w:top w:val="none" w:sz="0" w:space="0" w:color="auto"/>
        <w:left w:val="none" w:sz="0" w:space="0" w:color="auto"/>
        <w:bottom w:val="none" w:sz="0" w:space="0" w:color="auto"/>
        <w:right w:val="none" w:sz="0" w:space="0" w:color="auto"/>
      </w:divBdr>
    </w:div>
    <w:div w:id="19892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aset.cl/alcohol-y-conduccion/" TargetMode="External"/><Relationship Id="rId2" Type="http://schemas.openxmlformats.org/officeDocument/2006/relationships/hyperlink" Target="http://www.senda.gob.cl/prevencion/prevencion-del-consumo-de-alcohol/patrones-de-consumo/" TargetMode="External"/><Relationship Id="rId1" Type="http://schemas.openxmlformats.org/officeDocument/2006/relationships/hyperlink" Target="http://www.senda.gob.cl/wp-content/uploads/2015/07/Informe-Ejecutivo-ENPG-20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7109-9317-4C11-883F-FC8E4532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Espinoza</dc:creator>
  <cp:keywords/>
  <dc:description/>
  <cp:lastModifiedBy>Leonardo Lueiza Ureta</cp:lastModifiedBy>
  <cp:revision>4</cp:revision>
  <dcterms:created xsi:type="dcterms:W3CDTF">2018-06-19T13:04:00Z</dcterms:created>
  <dcterms:modified xsi:type="dcterms:W3CDTF">2018-06-21T00:19:00Z</dcterms:modified>
</cp:coreProperties>
</file>