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101" w:rsidRDefault="00FF7D36" w:rsidP="00FF7D36">
      <w:pPr>
        <w:spacing w:line="360" w:lineRule="auto"/>
        <w:jc w:val="center"/>
        <w:rPr>
          <w:rFonts w:ascii="Garamond" w:hAnsi="Garamond" w:cstheme="minorHAnsi"/>
          <w:b/>
          <w:sz w:val="28"/>
          <w:szCs w:val="28"/>
        </w:rPr>
      </w:pPr>
      <w:r w:rsidRPr="00FF7D36">
        <w:rPr>
          <w:rFonts w:ascii="Garamond" w:hAnsi="Garamond" w:cstheme="minorHAnsi"/>
          <w:b/>
          <w:sz w:val="28"/>
          <w:szCs w:val="28"/>
        </w:rPr>
        <w:t>Modifica el decreto ley N° 3.500, que Establece Nuevo Sistema de Pensiones, con el objeto de exigir a las Administradoras de Fondos de Pensiones que informen a sus afiliados la totalidad de los cobros que efectúan por concepto de comisiones</w:t>
      </w:r>
    </w:p>
    <w:p w:rsidR="00FF7D36" w:rsidRPr="00FF7D36" w:rsidRDefault="00FF7D36" w:rsidP="00FF7D36">
      <w:pPr>
        <w:spacing w:line="360" w:lineRule="auto"/>
        <w:jc w:val="center"/>
        <w:rPr>
          <w:rFonts w:ascii="Garamond" w:hAnsi="Garamond" w:cstheme="minorHAnsi"/>
          <w:b/>
          <w:sz w:val="28"/>
          <w:szCs w:val="28"/>
        </w:rPr>
      </w:pPr>
      <w:r>
        <w:rPr>
          <w:rFonts w:ascii="Garamond" w:hAnsi="Garamond" w:cstheme="minorHAnsi"/>
          <w:b/>
          <w:sz w:val="28"/>
          <w:szCs w:val="28"/>
        </w:rPr>
        <w:t>Boletín N°11881-13</w:t>
      </w:r>
    </w:p>
    <w:p w:rsidR="00DD1EEC" w:rsidRPr="00A53EC0" w:rsidRDefault="0083006F" w:rsidP="00A53EC0">
      <w:pPr>
        <w:spacing w:line="360" w:lineRule="auto"/>
        <w:jc w:val="both"/>
        <w:outlineLvl w:val="0"/>
        <w:rPr>
          <w:rFonts w:ascii="Garamond" w:hAnsi="Garamond" w:cstheme="minorHAnsi"/>
          <w:b/>
          <w:sz w:val="28"/>
          <w:szCs w:val="28"/>
          <w:u w:val="single"/>
        </w:rPr>
      </w:pPr>
      <w:r>
        <w:rPr>
          <w:rFonts w:ascii="Garamond" w:hAnsi="Garamond" w:cstheme="minorHAnsi"/>
          <w:b/>
          <w:sz w:val="28"/>
          <w:szCs w:val="28"/>
          <w:u w:val="single"/>
        </w:rPr>
        <w:t>Antecedentes generales</w:t>
      </w:r>
      <w:r w:rsidR="00BD7B03">
        <w:rPr>
          <w:rFonts w:ascii="Garamond" w:hAnsi="Garamond" w:cstheme="minorHAnsi"/>
          <w:sz w:val="28"/>
          <w:szCs w:val="28"/>
        </w:rPr>
        <w:t xml:space="preserve">, </w:t>
      </w:r>
    </w:p>
    <w:p w:rsidR="00B4423F" w:rsidRDefault="00B4423F" w:rsidP="00C46DC9">
      <w:pPr>
        <w:spacing w:line="360" w:lineRule="auto"/>
        <w:jc w:val="both"/>
        <w:rPr>
          <w:rFonts w:ascii="Garamond" w:hAnsi="Garamond" w:cs="Times New Roman"/>
          <w:sz w:val="28"/>
          <w:szCs w:val="28"/>
        </w:rPr>
      </w:pPr>
    </w:p>
    <w:p w:rsidR="00B4423F" w:rsidRDefault="00B4423F" w:rsidP="00C46DC9">
      <w:pPr>
        <w:spacing w:line="360" w:lineRule="auto"/>
        <w:jc w:val="both"/>
        <w:rPr>
          <w:rFonts w:ascii="Garamond" w:hAnsi="Garamond" w:cs="Times New Roman"/>
          <w:sz w:val="28"/>
          <w:szCs w:val="28"/>
        </w:rPr>
      </w:pPr>
      <w:r>
        <w:rPr>
          <w:rFonts w:ascii="Garamond" w:hAnsi="Garamond" w:cs="Times New Roman"/>
          <w:sz w:val="28"/>
          <w:szCs w:val="28"/>
        </w:rPr>
        <w:t>En plena dictadura militar c</w:t>
      </w:r>
      <w:r w:rsidR="00F26E52">
        <w:rPr>
          <w:rFonts w:ascii="Garamond" w:hAnsi="Garamond" w:cs="Times New Roman"/>
          <w:sz w:val="28"/>
          <w:szCs w:val="28"/>
        </w:rPr>
        <w:t>hilena, e</w:t>
      </w:r>
      <w:r>
        <w:rPr>
          <w:rFonts w:ascii="Garamond" w:hAnsi="Garamond" w:cs="Times New Roman"/>
          <w:sz w:val="28"/>
          <w:szCs w:val="28"/>
        </w:rPr>
        <w:t xml:space="preserve">l 4 de noviembre de 1980 se firmó el decreto que marcó el inicio </w:t>
      </w:r>
      <w:r w:rsidR="00F26E52">
        <w:rPr>
          <w:rFonts w:ascii="Garamond" w:hAnsi="Garamond" w:cs="Times New Roman"/>
          <w:sz w:val="28"/>
          <w:szCs w:val="28"/>
        </w:rPr>
        <w:t>de un nuevo sistema de pensiones, basado en la capitalización individual y que vino a reemplazar al régimen de reparto que existía hasta ese año en el país.</w:t>
      </w:r>
    </w:p>
    <w:p w:rsidR="00F26E52" w:rsidRDefault="00AE5BC8" w:rsidP="00C46DC9">
      <w:pPr>
        <w:spacing w:line="360" w:lineRule="auto"/>
        <w:jc w:val="both"/>
        <w:rPr>
          <w:rFonts w:ascii="Garamond" w:hAnsi="Garamond" w:cs="Times New Roman"/>
          <w:sz w:val="28"/>
          <w:szCs w:val="28"/>
        </w:rPr>
      </w:pPr>
      <w:r>
        <w:rPr>
          <w:rFonts w:ascii="Garamond" w:hAnsi="Garamond" w:cs="Times New Roman"/>
          <w:sz w:val="28"/>
          <w:szCs w:val="28"/>
        </w:rPr>
        <w:t>Según las autoridades de turno</w:t>
      </w:r>
      <w:r w:rsidR="00050FF5">
        <w:rPr>
          <w:rFonts w:ascii="Garamond" w:hAnsi="Garamond" w:cs="Times New Roman"/>
          <w:sz w:val="28"/>
          <w:szCs w:val="28"/>
        </w:rPr>
        <w:t>, este</w:t>
      </w:r>
      <w:r w:rsidR="000A7DF4">
        <w:rPr>
          <w:rFonts w:ascii="Garamond" w:hAnsi="Garamond" w:cs="Times New Roman"/>
          <w:sz w:val="28"/>
          <w:szCs w:val="28"/>
        </w:rPr>
        <w:t xml:space="preserve"> modelo </w:t>
      </w:r>
      <w:r w:rsidR="00050FF5">
        <w:rPr>
          <w:rFonts w:ascii="Garamond" w:hAnsi="Garamond" w:cs="Times New Roman"/>
          <w:sz w:val="28"/>
          <w:szCs w:val="28"/>
        </w:rPr>
        <w:t xml:space="preserve">único en el mundo </w:t>
      </w:r>
      <w:r w:rsidR="000A7DF4">
        <w:rPr>
          <w:rFonts w:ascii="Garamond" w:hAnsi="Garamond" w:cs="Times New Roman"/>
          <w:sz w:val="28"/>
          <w:szCs w:val="28"/>
        </w:rPr>
        <w:t>traería con</w:t>
      </w:r>
      <w:r w:rsidR="00050FF5">
        <w:rPr>
          <w:rFonts w:ascii="Garamond" w:hAnsi="Garamond" w:cs="Times New Roman"/>
          <w:sz w:val="28"/>
          <w:szCs w:val="28"/>
        </w:rPr>
        <w:t>s</w:t>
      </w:r>
      <w:r w:rsidR="000A7DF4">
        <w:rPr>
          <w:rFonts w:ascii="Garamond" w:hAnsi="Garamond" w:cs="Times New Roman"/>
          <w:sz w:val="28"/>
          <w:szCs w:val="28"/>
        </w:rPr>
        <w:t>igo una serie de beneficios para los trabajadores y tr</w:t>
      </w:r>
      <w:r w:rsidR="00540DC5">
        <w:rPr>
          <w:rFonts w:ascii="Garamond" w:hAnsi="Garamond" w:cs="Times New Roman"/>
          <w:sz w:val="28"/>
          <w:szCs w:val="28"/>
        </w:rPr>
        <w:t xml:space="preserve">abajadoras chilenas, siendo la principal la obtención de una pensión digna que </w:t>
      </w:r>
      <w:r w:rsidR="00FA0F34">
        <w:rPr>
          <w:rFonts w:ascii="Garamond" w:hAnsi="Garamond" w:cs="Times New Roman"/>
          <w:sz w:val="28"/>
          <w:szCs w:val="28"/>
        </w:rPr>
        <w:t>equivaldría al</w:t>
      </w:r>
      <w:r w:rsidR="00540DC5">
        <w:rPr>
          <w:rFonts w:ascii="Garamond" w:hAnsi="Garamond" w:cs="Times New Roman"/>
          <w:sz w:val="28"/>
          <w:szCs w:val="28"/>
        </w:rPr>
        <w:t xml:space="preserve"> 70% de las últimas remuneraciones recibidas.</w:t>
      </w:r>
      <w:r w:rsidR="00540DC5">
        <w:rPr>
          <w:rStyle w:val="Refdenotaalpie"/>
          <w:rFonts w:ascii="Garamond" w:hAnsi="Garamond" w:cs="Times New Roman"/>
          <w:sz w:val="28"/>
          <w:szCs w:val="28"/>
        </w:rPr>
        <w:footnoteReference w:id="1"/>
      </w:r>
    </w:p>
    <w:p w:rsidR="00D479A3" w:rsidRDefault="00A53A59" w:rsidP="00C46DC9">
      <w:pPr>
        <w:spacing w:line="360" w:lineRule="auto"/>
        <w:jc w:val="both"/>
        <w:rPr>
          <w:rFonts w:ascii="Garamond" w:hAnsi="Garamond" w:cs="Times New Roman"/>
          <w:sz w:val="28"/>
          <w:szCs w:val="28"/>
        </w:rPr>
      </w:pPr>
      <w:r>
        <w:rPr>
          <w:rFonts w:ascii="Garamond" w:hAnsi="Garamond" w:cs="Times New Roman"/>
          <w:sz w:val="28"/>
          <w:szCs w:val="28"/>
        </w:rPr>
        <w:t xml:space="preserve">A </w:t>
      </w:r>
      <w:r w:rsidR="00050FF5">
        <w:rPr>
          <w:rFonts w:ascii="Garamond" w:hAnsi="Garamond" w:cs="Times New Roman"/>
          <w:sz w:val="28"/>
          <w:szCs w:val="28"/>
        </w:rPr>
        <w:t>treinta y ocho años</w:t>
      </w:r>
      <w:r>
        <w:rPr>
          <w:rFonts w:ascii="Garamond" w:hAnsi="Garamond" w:cs="Times New Roman"/>
          <w:sz w:val="28"/>
          <w:szCs w:val="28"/>
        </w:rPr>
        <w:t xml:space="preserve"> de la puesta en marcha del sistema que hoy nos rige, ha quedado en evidencia </w:t>
      </w:r>
      <w:r w:rsidR="00FA0F34">
        <w:rPr>
          <w:rFonts w:ascii="Garamond" w:hAnsi="Garamond" w:cs="Times New Roman"/>
          <w:sz w:val="28"/>
          <w:szCs w:val="28"/>
        </w:rPr>
        <w:t>que sus bondades no eran tales. De hecho, según datos de la propia</w:t>
      </w:r>
      <w:r w:rsidR="00D479A3">
        <w:rPr>
          <w:rFonts w:ascii="Garamond" w:hAnsi="Garamond" w:cs="Times New Roman"/>
          <w:sz w:val="28"/>
          <w:szCs w:val="28"/>
        </w:rPr>
        <w:t xml:space="preserve"> Superin</w:t>
      </w:r>
      <w:r w:rsidR="00FA0F34">
        <w:rPr>
          <w:rFonts w:ascii="Garamond" w:hAnsi="Garamond" w:cs="Times New Roman"/>
          <w:sz w:val="28"/>
          <w:szCs w:val="28"/>
        </w:rPr>
        <w:t xml:space="preserve">tendencia de Pensiones, </w:t>
      </w:r>
      <w:r w:rsidR="00050FF5">
        <w:rPr>
          <w:rFonts w:ascii="Garamond" w:hAnsi="Garamond" w:cs="Times New Roman"/>
          <w:sz w:val="28"/>
          <w:szCs w:val="28"/>
        </w:rPr>
        <w:t xml:space="preserve">en promedio </w:t>
      </w:r>
      <w:r w:rsidR="00FA0F34">
        <w:rPr>
          <w:rFonts w:ascii="Garamond" w:hAnsi="Garamond" w:cs="Times New Roman"/>
          <w:sz w:val="28"/>
          <w:szCs w:val="28"/>
        </w:rPr>
        <w:t xml:space="preserve">la tasa de reemplazo </w:t>
      </w:r>
      <w:r w:rsidR="00050FF5">
        <w:rPr>
          <w:rFonts w:ascii="Garamond" w:hAnsi="Garamond" w:cs="Times New Roman"/>
          <w:sz w:val="28"/>
          <w:szCs w:val="28"/>
        </w:rPr>
        <w:t xml:space="preserve">actual no supera </w:t>
      </w:r>
      <w:r w:rsidR="00FA0F34">
        <w:rPr>
          <w:rFonts w:ascii="Garamond" w:hAnsi="Garamond" w:cs="Times New Roman"/>
          <w:sz w:val="28"/>
          <w:szCs w:val="28"/>
        </w:rPr>
        <w:t>el 40%.</w:t>
      </w:r>
      <w:r w:rsidR="00CC3406">
        <w:rPr>
          <w:rStyle w:val="Refdenotaalpie"/>
          <w:rFonts w:ascii="Garamond" w:hAnsi="Garamond" w:cs="Times New Roman"/>
          <w:sz w:val="28"/>
          <w:szCs w:val="28"/>
        </w:rPr>
        <w:footnoteReference w:id="2"/>
      </w:r>
      <w:r w:rsidR="00D479A3">
        <w:rPr>
          <w:rFonts w:ascii="Garamond" w:hAnsi="Garamond" w:cs="Times New Roman"/>
          <w:sz w:val="28"/>
          <w:szCs w:val="28"/>
        </w:rPr>
        <w:t xml:space="preserve"> </w:t>
      </w:r>
    </w:p>
    <w:p w:rsidR="00A53A59" w:rsidRDefault="00D479A3" w:rsidP="00C46DC9">
      <w:pPr>
        <w:spacing w:line="360" w:lineRule="auto"/>
        <w:jc w:val="both"/>
        <w:rPr>
          <w:rFonts w:ascii="Garamond" w:hAnsi="Garamond" w:cs="Times New Roman"/>
          <w:sz w:val="28"/>
          <w:szCs w:val="28"/>
        </w:rPr>
      </w:pPr>
      <w:r>
        <w:rPr>
          <w:rFonts w:ascii="Garamond" w:hAnsi="Garamond" w:cs="Times New Roman"/>
          <w:sz w:val="28"/>
          <w:szCs w:val="28"/>
        </w:rPr>
        <w:t>Es más, este régimen que tiene como</w:t>
      </w:r>
      <w:r w:rsidR="003C29B4">
        <w:rPr>
          <w:rFonts w:ascii="Garamond" w:hAnsi="Garamond" w:cs="Times New Roman"/>
          <w:sz w:val="28"/>
          <w:szCs w:val="28"/>
        </w:rPr>
        <w:t xml:space="preserve"> pilar</w:t>
      </w:r>
      <w:r>
        <w:rPr>
          <w:rFonts w:ascii="Garamond" w:hAnsi="Garamond" w:cs="Times New Roman"/>
          <w:sz w:val="28"/>
          <w:szCs w:val="28"/>
        </w:rPr>
        <w:t xml:space="preserve"> el ahorro individual </w:t>
      </w:r>
      <w:r w:rsidR="003C29B4">
        <w:rPr>
          <w:rFonts w:ascii="Garamond" w:hAnsi="Garamond" w:cs="Times New Roman"/>
          <w:sz w:val="28"/>
          <w:szCs w:val="28"/>
        </w:rPr>
        <w:t xml:space="preserve">y margina el principio de la solidaridad discrimina significativamente a las mujeres, pues </w:t>
      </w:r>
      <w:r w:rsidR="00F877CE">
        <w:rPr>
          <w:rFonts w:ascii="Garamond" w:hAnsi="Garamond" w:cs="Times New Roman"/>
          <w:sz w:val="28"/>
          <w:szCs w:val="28"/>
        </w:rPr>
        <w:t xml:space="preserve">al </w:t>
      </w:r>
      <w:r w:rsidR="003C29B4">
        <w:rPr>
          <w:rFonts w:ascii="Garamond" w:hAnsi="Garamond" w:cs="Times New Roman"/>
          <w:sz w:val="28"/>
          <w:szCs w:val="28"/>
        </w:rPr>
        <w:t>ganar menos que los hombres</w:t>
      </w:r>
      <w:r w:rsidR="003C29B4">
        <w:rPr>
          <w:rStyle w:val="Refdenotaalpie"/>
          <w:rFonts w:ascii="Garamond" w:hAnsi="Garamond" w:cs="Times New Roman"/>
          <w:sz w:val="28"/>
          <w:szCs w:val="28"/>
        </w:rPr>
        <w:footnoteReference w:id="3"/>
      </w:r>
      <w:r w:rsidR="00F877CE">
        <w:rPr>
          <w:rFonts w:ascii="Garamond" w:hAnsi="Garamond" w:cs="Times New Roman"/>
          <w:sz w:val="28"/>
          <w:szCs w:val="28"/>
        </w:rPr>
        <w:t>, sus cotizaciones son más bajas</w:t>
      </w:r>
      <w:r w:rsidR="00F877CE">
        <w:rPr>
          <w:rStyle w:val="Refdenotaalpie"/>
          <w:rFonts w:ascii="Garamond" w:hAnsi="Garamond" w:cs="Times New Roman"/>
          <w:sz w:val="28"/>
          <w:szCs w:val="28"/>
        </w:rPr>
        <w:footnoteReference w:id="4"/>
      </w:r>
      <w:r w:rsidR="00F877CE">
        <w:rPr>
          <w:rFonts w:ascii="Garamond" w:hAnsi="Garamond" w:cs="Times New Roman"/>
          <w:sz w:val="28"/>
          <w:szCs w:val="28"/>
        </w:rPr>
        <w:t xml:space="preserve">, lo mismo que sus tasas </w:t>
      </w:r>
      <w:r w:rsidR="00F877CE">
        <w:rPr>
          <w:rFonts w:ascii="Garamond" w:hAnsi="Garamond" w:cs="Times New Roman"/>
          <w:sz w:val="28"/>
          <w:szCs w:val="28"/>
        </w:rPr>
        <w:lastRenderedPageBreak/>
        <w:t>de reemplazo que promedian el 29%, muy lejos del 52% que obtienen los hombres.</w:t>
      </w:r>
      <w:r w:rsidR="00F877CE">
        <w:rPr>
          <w:rStyle w:val="Refdenotaalpie"/>
          <w:rFonts w:ascii="Garamond" w:hAnsi="Garamond" w:cs="Times New Roman"/>
          <w:sz w:val="28"/>
          <w:szCs w:val="28"/>
        </w:rPr>
        <w:footnoteReference w:id="5"/>
      </w:r>
    </w:p>
    <w:p w:rsidR="0083006F" w:rsidRDefault="0083006F" w:rsidP="0083006F">
      <w:pPr>
        <w:spacing w:line="360" w:lineRule="auto"/>
        <w:jc w:val="both"/>
        <w:rPr>
          <w:rFonts w:ascii="Garamond" w:hAnsi="Garamond" w:cs="Times New Roman"/>
          <w:sz w:val="28"/>
          <w:szCs w:val="28"/>
        </w:rPr>
      </w:pPr>
      <w:r>
        <w:rPr>
          <w:rFonts w:ascii="Garamond" w:hAnsi="Garamond" w:cs="Times New Roman"/>
          <w:sz w:val="28"/>
          <w:szCs w:val="28"/>
        </w:rPr>
        <w:t>Ahora bien, dejando en claro que lo mocionantes promovemos y respaldamos decididamente un cambio radical del si</w:t>
      </w:r>
      <w:r w:rsidR="00834B09">
        <w:rPr>
          <w:rFonts w:ascii="Garamond" w:hAnsi="Garamond" w:cs="Times New Roman"/>
          <w:sz w:val="28"/>
          <w:szCs w:val="28"/>
        </w:rPr>
        <w:t xml:space="preserve">stema de pensiones, creemos que, </w:t>
      </w:r>
      <w:r>
        <w:rPr>
          <w:rFonts w:ascii="Garamond" w:hAnsi="Garamond" w:cs="Times New Roman"/>
          <w:sz w:val="28"/>
          <w:szCs w:val="28"/>
        </w:rPr>
        <w:t xml:space="preserve">mientras se discute </w:t>
      </w:r>
      <w:r w:rsidR="00834B09">
        <w:rPr>
          <w:rFonts w:ascii="Garamond" w:hAnsi="Garamond" w:cs="Times New Roman"/>
          <w:sz w:val="28"/>
          <w:szCs w:val="28"/>
        </w:rPr>
        <w:t xml:space="preserve">sobre las profundas modificaciones que éste requiere, es necesario trasnperantar </w:t>
      </w:r>
      <w:r w:rsidR="00050FF5">
        <w:rPr>
          <w:rFonts w:ascii="Garamond" w:hAnsi="Garamond" w:cs="Times New Roman"/>
          <w:sz w:val="28"/>
          <w:szCs w:val="28"/>
        </w:rPr>
        <w:t>la totalidad de</w:t>
      </w:r>
      <w:r w:rsidR="00834B09">
        <w:rPr>
          <w:rFonts w:ascii="Garamond" w:hAnsi="Garamond" w:cs="Times New Roman"/>
          <w:sz w:val="28"/>
          <w:szCs w:val="28"/>
        </w:rPr>
        <w:t xml:space="preserve"> los cobros que las administradoras efectúan a los afiliados.</w:t>
      </w:r>
    </w:p>
    <w:p w:rsidR="00050FF5" w:rsidRDefault="00384098" w:rsidP="0083006F">
      <w:pPr>
        <w:spacing w:line="360" w:lineRule="auto"/>
        <w:jc w:val="both"/>
        <w:rPr>
          <w:rFonts w:ascii="Garamond" w:hAnsi="Garamond" w:cs="Times New Roman"/>
          <w:sz w:val="28"/>
          <w:szCs w:val="28"/>
        </w:rPr>
      </w:pPr>
      <w:r>
        <w:rPr>
          <w:rFonts w:ascii="Garamond" w:hAnsi="Garamond" w:cs="Times New Roman"/>
          <w:sz w:val="28"/>
          <w:szCs w:val="28"/>
        </w:rPr>
        <w:t>En términos generales, la opinión pública está</w:t>
      </w:r>
      <w:r w:rsidR="00A907CA">
        <w:rPr>
          <w:rFonts w:ascii="Garamond" w:hAnsi="Garamond" w:cs="Times New Roman"/>
          <w:sz w:val="28"/>
          <w:szCs w:val="28"/>
        </w:rPr>
        <w:t xml:space="preserve"> enterada de las comisiones que cobran las AFP por concepto de administración, sin embargo, a casi cuato décadas </w:t>
      </w:r>
      <w:r w:rsidR="00CD2FB9">
        <w:rPr>
          <w:rFonts w:ascii="Garamond" w:hAnsi="Garamond" w:cs="Times New Roman"/>
          <w:sz w:val="28"/>
          <w:szCs w:val="28"/>
        </w:rPr>
        <w:t xml:space="preserve">desde su creación, resulta profundamente cuestionable que las compañías </w:t>
      </w:r>
      <w:r w:rsidR="00433273">
        <w:rPr>
          <w:rFonts w:ascii="Garamond" w:hAnsi="Garamond" w:cs="Times New Roman"/>
          <w:sz w:val="28"/>
          <w:szCs w:val="28"/>
        </w:rPr>
        <w:t xml:space="preserve">no informen directamente a sus afiliados </w:t>
      </w:r>
      <w:r>
        <w:rPr>
          <w:rFonts w:ascii="Garamond" w:hAnsi="Garamond" w:cs="Times New Roman"/>
          <w:sz w:val="28"/>
          <w:szCs w:val="28"/>
        </w:rPr>
        <w:t xml:space="preserve">sobre </w:t>
      </w:r>
      <w:r w:rsidR="00CD2FB9">
        <w:rPr>
          <w:rFonts w:ascii="Garamond" w:hAnsi="Garamond" w:cs="Times New Roman"/>
          <w:sz w:val="28"/>
          <w:szCs w:val="28"/>
        </w:rPr>
        <w:t>los montos</w:t>
      </w:r>
      <w:r>
        <w:rPr>
          <w:rFonts w:ascii="Garamond" w:hAnsi="Garamond" w:cs="Times New Roman"/>
          <w:sz w:val="28"/>
          <w:szCs w:val="28"/>
        </w:rPr>
        <w:t xml:space="preserve"> que se extraen desde</w:t>
      </w:r>
      <w:r w:rsidR="00CD2FB9">
        <w:rPr>
          <w:rFonts w:ascii="Garamond" w:hAnsi="Garamond" w:cs="Times New Roman"/>
          <w:sz w:val="28"/>
          <w:szCs w:val="28"/>
        </w:rPr>
        <w:t xml:space="preserve"> sus ahorros previsionales con el propósito de </w:t>
      </w:r>
      <w:r w:rsidR="00FE65D2">
        <w:rPr>
          <w:rFonts w:ascii="Garamond" w:hAnsi="Garamond" w:cs="Times New Roman"/>
          <w:sz w:val="28"/>
          <w:szCs w:val="28"/>
        </w:rPr>
        <w:t xml:space="preserve">cancelar </w:t>
      </w:r>
      <w:r w:rsidR="00D229B8">
        <w:rPr>
          <w:rFonts w:ascii="Garamond" w:hAnsi="Garamond" w:cs="Times New Roman"/>
          <w:sz w:val="28"/>
          <w:szCs w:val="28"/>
        </w:rPr>
        <w:t>servicios de intermediaci</w:t>
      </w:r>
      <w:r w:rsidR="00B42EC7">
        <w:rPr>
          <w:rFonts w:ascii="Garamond" w:hAnsi="Garamond" w:cs="Times New Roman"/>
          <w:sz w:val="28"/>
          <w:szCs w:val="28"/>
        </w:rPr>
        <w:t>ón bursátil.</w:t>
      </w:r>
    </w:p>
    <w:p w:rsidR="0083006F" w:rsidRDefault="0083006F" w:rsidP="00FF7D36">
      <w:pPr>
        <w:spacing w:after="480" w:line="360" w:lineRule="auto"/>
        <w:jc w:val="both"/>
        <w:rPr>
          <w:rFonts w:ascii="Garamond" w:hAnsi="Garamond" w:cs="Times New Roman"/>
          <w:sz w:val="28"/>
          <w:szCs w:val="28"/>
        </w:rPr>
      </w:pPr>
      <w:bookmarkStart w:id="0" w:name="_GoBack"/>
      <w:bookmarkEnd w:id="0"/>
    </w:p>
    <w:p w:rsidR="0083006F" w:rsidRPr="00A53EC0" w:rsidRDefault="0083006F" w:rsidP="0083006F">
      <w:pPr>
        <w:spacing w:line="360" w:lineRule="auto"/>
        <w:jc w:val="both"/>
        <w:outlineLvl w:val="0"/>
        <w:rPr>
          <w:rFonts w:ascii="Garamond" w:hAnsi="Garamond" w:cstheme="minorHAnsi"/>
          <w:b/>
          <w:sz w:val="28"/>
          <w:szCs w:val="28"/>
          <w:u w:val="single"/>
        </w:rPr>
      </w:pPr>
      <w:r>
        <w:rPr>
          <w:rFonts w:ascii="Garamond" w:hAnsi="Garamond" w:cstheme="minorHAnsi"/>
          <w:b/>
          <w:sz w:val="28"/>
          <w:szCs w:val="28"/>
          <w:u w:val="single"/>
        </w:rPr>
        <w:t>Fundamentos de la iniciativa.</w:t>
      </w:r>
    </w:p>
    <w:p w:rsidR="00705E6A" w:rsidRDefault="006019EC" w:rsidP="00C46DC9">
      <w:pPr>
        <w:spacing w:line="360" w:lineRule="auto"/>
        <w:jc w:val="both"/>
        <w:rPr>
          <w:rFonts w:ascii="Garamond" w:hAnsi="Garamond" w:cs="Times New Roman"/>
          <w:sz w:val="28"/>
          <w:szCs w:val="28"/>
        </w:rPr>
      </w:pPr>
      <w:r>
        <w:rPr>
          <w:rFonts w:ascii="Garamond" w:hAnsi="Garamond" w:cs="Times New Roman"/>
          <w:sz w:val="28"/>
          <w:szCs w:val="28"/>
        </w:rPr>
        <w:t>L</w:t>
      </w:r>
      <w:r w:rsidR="00BD7B03">
        <w:rPr>
          <w:rFonts w:ascii="Garamond" w:hAnsi="Garamond" w:cs="Times New Roman"/>
          <w:sz w:val="28"/>
          <w:szCs w:val="28"/>
        </w:rPr>
        <w:t>a capitalización individual</w:t>
      </w:r>
      <w:r w:rsidR="00C46DC9" w:rsidRPr="00DA7FD9">
        <w:rPr>
          <w:rFonts w:ascii="Garamond" w:hAnsi="Garamond" w:cs="Times New Roman"/>
          <w:sz w:val="28"/>
          <w:szCs w:val="28"/>
        </w:rPr>
        <w:t xml:space="preserve"> es la base del sistema de </w:t>
      </w:r>
      <w:r w:rsidR="00BD7B03">
        <w:rPr>
          <w:rFonts w:ascii="Garamond" w:hAnsi="Garamond" w:cs="Times New Roman"/>
          <w:sz w:val="28"/>
          <w:szCs w:val="28"/>
        </w:rPr>
        <w:t>pensiones</w:t>
      </w:r>
      <w:r>
        <w:rPr>
          <w:rFonts w:ascii="Garamond" w:hAnsi="Garamond" w:cs="Times New Roman"/>
          <w:sz w:val="28"/>
          <w:szCs w:val="28"/>
        </w:rPr>
        <w:t xml:space="preserve"> en Chile y </w:t>
      </w:r>
      <w:r w:rsidR="00C46DC9" w:rsidRPr="00DA7FD9">
        <w:rPr>
          <w:rFonts w:ascii="Garamond" w:hAnsi="Garamond" w:cs="Times New Roman"/>
          <w:sz w:val="28"/>
          <w:szCs w:val="28"/>
        </w:rPr>
        <w:t xml:space="preserve">las </w:t>
      </w:r>
      <w:r w:rsidR="00454BC7">
        <w:rPr>
          <w:rFonts w:ascii="Garamond" w:hAnsi="Garamond" w:cs="Times New Roman"/>
          <w:sz w:val="28"/>
          <w:szCs w:val="28"/>
        </w:rPr>
        <w:t xml:space="preserve">seis </w:t>
      </w:r>
      <w:r w:rsidR="00C46DC9" w:rsidRPr="00DA7FD9">
        <w:rPr>
          <w:rFonts w:ascii="Garamond" w:hAnsi="Garamond" w:cs="Times New Roman"/>
          <w:sz w:val="28"/>
          <w:szCs w:val="28"/>
        </w:rPr>
        <w:t>administradoras de fondos de pensiones</w:t>
      </w:r>
      <w:r w:rsidR="00BD7B03">
        <w:rPr>
          <w:rFonts w:ascii="Garamond" w:hAnsi="Garamond" w:cs="Times New Roman"/>
          <w:sz w:val="28"/>
          <w:szCs w:val="28"/>
        </w:rPr>
        <w:t xml:space="preserve"> (AFP)</w:t>
      </w:r>
      <w:r w:rsidR="00C46DC9" w:rsidRPr="00DA7FD9">
        <w:rPr>
          <w:rFonts w:ascii="Garamond" w:hAnsi="Garamond" w:cs="Times New Roman"/>
          <w:sz w:val="28"/>
          <w:szCs w:val="28"/>
        </w:rPr>
        <w:t xml:space="preserve"> </w:t>
      </w:r>
      <w:r w:rsidR="00454BC7">
        <w:rPr>
          <w:rFonts w:ascii="Garamond" w:hAnsi="Garamond" w:cs="Times New Roman"/>
          <w:sz w:val="28"/>
          <w:szCs w:val="28"/>
        </w:rPr>
        <w:t xml:space="preserve">que operan en el país </w:t>
      </w:r>
      <w:r w:rsidR="00C46DC9" w:rsidRPr="00DA7FD9">
        <w:rPr>
          <w:rFonts w:ascii="Garamond" w:hAnsi="Garamond" w:cs="Times New Roman"/>
          <w:sz w:val="28"/>
          <w:szCs w:val="28"/>
        </w:rPr>
        <w:t xml:space="preserve">tienen </w:t>
      </w:r>
      <w:r w:rsidR="005C5B2A">
        <w:rPr>
          <w:rFonts w:ascii="Garamond" w:hAnsi="Garamond" w:cs="Times New Roman"/>
          <w:sz w:val="28"/>
          <w:szCs w:val="28"/>
        </w:rPr>
        <w:t xml:space="preserve">diez millones y medio de afiliados y </w:t>
      </w:r>
      <w:r w:rsidR="00C46DC9" w:rsidRPr="00DA7FD9">
        <w:rPr>
          <w:rFonts w:ascii="Garamond" w:hAnsi="Garamond" w:cs="Times New Roman"/>
          <w:sz w:val="28"/>
          <w:szCs w:val="28"/>
        </w:rPr>
        <w:t xml:space="preserve">en sus </w:t>
      </w:r>
      <w:r w:rsidR="00BD7B03">
        <w:rPr>
          <w:rFonts w:ascii="Garamond" w:hAnsi="Garamond" w:cs="Times New Roman"/>
          <w:sz w:val="28"/>
          <w:szCs w:val="28"/>
        </w:rPr>
        <w:t>arcas</w:t>
      </w:r>
      <w:r w:rsidR="00C46DC9" w:rsidRPr="00DA7FD9">
        <w:rPr>
          <w:rFonts w:ascii="Garamond" w:hAnsi="Garamond" w:cs="Times New Roman"/>
          <w:sz w:val="28"/>
          <w:szCs w:val="28"/>
        </w:rPr>
        <w:t xml:space="preserve"> </w:t>
      </w:r>
      <w:r w:rsidR="00050FF5">
        <w:rPr>
          <w:rFonts w:ascii="Garamond" w:hAnsi="Garamond" w:cs="Times New Roman"/>
          <w:sz w:val="28"/>
          <w:szCs w:val="28"/>
        </w:rPr>
        <w:t>-</w:t>
      </w:r>
      <w:r w:rsidR="00A53EC0">
        <w:rPr>
          <w:rFonts w:ascii="Garamond" w:hAnsi="Garamond" w:cs="Times New Roman"/>
          <w:sz w:val="28"/>
          <w:szCs w:val="28"/>
        </w:rPr>
        <w:t>a mayo de 2018</w:t>
      </w:r>
      <w:r w:rsidR="00050FF5">
        <w:rPr>
          <w:rFonts w:ascii="Garamond" w:hAnsi="Garamond" w:cs="Times New Roman"/>
          <w:sz w:val="28"/>
          <w:szCs w:val="28"/>
        </w:rPr>
        <w:t>-</w:t>
      </w:r>
      <w:r w:rsidR="00A53EC0">
        <w:rPr>
          <w:rFonts w:ascii="Garamond" w:hAnsi="Garamond" w:cs="Times New Roman"/>
          <w:sz w:val="28"/>
          <w:szCs w:val="28"/>
        </w:rPr>
        <w:t xml:space="preserve"> </w:t>
      </w:r>
      <w:r w:rsidR="005C5B2A">
        <w:rPr>
          <w:rFonts w:ascii="Garamond" w:hAnsi="Garamond" w:cs="Times New Roman"/>
          <w:sz w:val="28"/>
          <w:szCs w:val="28"/>
        </w:rPr>
        <w:t xml:space="preserve">contablizan cerca de </w:t>
      </w:r>
      <w:r w:rsidR="007931A8">
        <w:rPr>
          <w:rFonts w:ascii="Garamond" w:hAnsi="Garamond" w:cs="Times New Roman"/>
          <w:sz w:val="28"/>
          <w:szCs w:val="28"/>
        </w:rPr>
        <w:t>US$210.000 millones</w:t>
      </w:r>
      <w:r w:rsidR="008D0D57">
        <w:rPr>
          <w:rFonts w:ascii="Garamond" w:hAnsi="Garamond" w:cs="Times New Roman"/>
          <w:sz w:val="28"/>
          <w:szCs w:val="28"/>
        </w:rPr>
        <w:t xml:space="preserve">, de los cuales </w:t>
      </w:r>
      <w:r w:rsidR="008D0D57" w:rsidRPr="00DA7FD9">
        <w:rPr>
          <w:rFonts w:ascii="Garamond" w:hAnsi="Garamond" w:cs="Times New Roman"/>
          <w:sz w:val="28"/>
          <w:szCs w:val="28"/>
        </w:rPr>
        <w:t xml:space="preserve">un 44% </w:t>
      </w:r>
      <w:r w:rsidR="008D0D57">
        <w:rPr>
          <w:rFonts w:ascii="Garamond" w:hAnsi="Garamond" w:cs="Times New Roman"/>
          <w:sz w:val="28"/>
          <w:szCs w:val="28"/>
        </w:rPr>
        <w:t>son</w:t>
      </w:r>
      <w:r w:rsidR="008D0D57" w:rsidRPr="00DA7FD9">
        <w:rPr>
          <w:rFonts w:ascii="Garamond" w:hAnsi="Garamond" w:cs="Times New Roman"/>
          <w:sz w:val="28"/>
          <w:szCs w:val="28"/>
        </w:rPr>
        <w:t xml:space="preserve"> invertidos en diversos instrumentos que se transan en </w:t>
      </w:r>
      <w:r w:rsidR="008D0D57">
        <w:rPr>
          <w:rFonts w:ascii="Garamond" w:hAnsi="Garamond" w:cs="Times New Roman"/>
          <w:sz w:val="28"/>
          <w:szCs w:val="28"/>
        </w:rPr>
        <w:t>mercados externos.</w:t>
      </w:r>
      <w:r w:rsidR="00705E6A">
        <w:rPr>
          <w:rStyle w:val="Refdenotaalpie"/>
          <w:rFonts w:ascii="Garamond" w:hAnsi="Garamond" w:cs="Times New Roman"/>
          <w:sz w:val="28"/>
          <w:szCs w:val="28"/>
        </w:rPr>
        <w:footnoteReference w:id="6"/>
      </w:r>
    </w:p>
    <w:p w:rsidR="00426375" w:rsidRDefault="00426375" w:rsidP="00C46DC9">
      <w:pPr>
        <w:spacing w:line="360" w:lineRule="auto"/>
        <w:jc w:val="both"/>
        <w:rPr>
          <w:rFonts w:ascii="Garamond" w:hAnsi="Garamond" w:cs="Times New Roman"/>
          <w:sz w:val="28"/>
          <w:szCs w:val="28"/>
        </w:rPr>
      </w:pPr>
      <w:r>
        <w:rPr>
          <w:rFonts w:ascii="Garamond" w:hAnsi="Garamond" w:cs="Times New Roman"/>
          <w:sz w:val="28"/>
          <w:szCs w:val="28"/>
        </w:rPr>
        <w:t xml:space="preserve">Los trabajadores y trabajadoras traspasan mensualmente el 10% de sus sueldos imponibles a las AFP. A estos </w:t>
      </w:r>
      <w:r w:rsidR="0076786D">
        <w:rPr>
          <w:rFonts w:ascii="Garamond" w:hAnsi="Garamond" w:cs="Times New Roman"/>
          <w:sz w:val="28"/>
          <w:szCs w:val="28"/>
        </w:rPr>
        <w:t xml:space="preserve">montos se </w:t>
      </w:r>
      <w:r w:rsidR="007931A8">
        <w:rPr>
          <w:rFonts w:ascii="Garamond" w:hAnsi="Garamond" w:cs="Times New Roman"/>
          <w:sz w:val="28"/>
          <w:szCs w:val="28"/>
        </w:rPr>
        <w:t>suma</w:t>
      </w:r>
      <w:r w:rsidR="0076786D">
        <w:rPr>
          <w:rFonts w:ascii="Garamond" w:hAnsi="Garamond" w:cs="Times New Roman"/>
          <w:sz w:val="28"/>
          <w:szCs w:val="28"/>
        </w:rPr>
        <w:t xml:space="preserve"> la comisión que cobran estas </w:t>
      </w:r>
      <w:r w:rsidR="0076786D">
        <w:rPr>
          <w:rFonts w:ascii="Garamond" w:hAnsi="Garamond" w:cs="Times New Roman"/>
          <w:sz w:val="28"/>
          <w:szCs w:val="28"/>
        </w:rPr>
        <w:lastRenderedPageBreak/>
        <w:t>entidades con el prop</w:t>
      </w:r>
      <w:r w:rsidR="00113958">
        <w:rPr>
          <w:rFonts w:ascii="Garamond" w:hAnsi="Garamond" w:cs="Times New Roman"/>
          <w:sz w:val="28"/>
          <w:szCs w:val="28"/>
        </w:rPr>
        <w:t>ósito de administrar</w:t>
      </w:r>
      <w:r w:rsidR="0076786D">
        <w:rPr>
          <w:rFonts w:ascii="Garamond" w:hAnsi="Garamond" w:cs="Times New Roman"/>
          <w:sz w:val="28"/>
          <w:szCs w:val="28"/>
        </w:rPr>
        <w:t xml:space="preserve"> los ahorros previsionales. </w:t>
      </w:r>
      <w:r w:rsidR="00231FDD">
        <w:rPr>
          <w:rFonts w:ascii="Garamond" w:hAnsi="Garamond" w:cs="Times New Roman"/>
          <w:sz w:val="28"/>
          <w:szCs w:val="28"/>
        </w:rPr>
        <w:t xml:space="preserve">Según datos oficiales de la Superintencia de Pensiones, esta prima tiene un promedio </w:t>
      </w:r>
      <w:r w:rsidR="00B514A0">
        <w:rPr>
          <w:rFonts w:ascii="Garamond" w:hAnsi="Garamond" w:cs="Times New Roman"/>
          <w:sz w:val="28"/>
          <w:szCs w:val="28"/>
        </w:rPr>
        <w:t>de 1,16%.</w:t>
      </w:r>
      <w:r w:rsidR="00B514A0">
        <w:rPr>
          <w:rStyle w:val="Refdenotaalpie"/>
          <w:rFonts w:ascii="Garamond" w:hAnsi="Garamond" w:cs="Times New Roman"/>
          <w:sz w:val="28"/>
          <w:szCs w:val="28"/>
        </w:rPr>
        <w:footnoteReference w:id="7"/>
      </w:r>
      <w:r w:rsidR="00B514A0">
        <w:rPr>
          <w:rFonts w:ascii="Garamond" w:hAnsi="Garamond" w:cs="Times New Roman"/>
          <w:sz w:val="28"/>
          <w:szCs w:val="28"/>
        </w:rPr>
        <w:t xml:space="preserve"> En otras palabras, si una persona impone por </w:t>
      </w:r>
      <w:r w:rsidR="009C13FD">
        <w:rPr>
          <w:rFonts w:ascii="Garamond" w:hAnsi="Garamond" w:cs="Times New Roman"/>
          <w:sz w:val="28"/>
          <w:szCs w:val="28"/>
        </w:rPr>
        <w:t xml:space="preserve">$700.000, las </w:t>
      </w:r>
      <w:r w:rsidR="00113958">
        <w:rPr>
          <w:rFonts w:ascii="Garamond" w:hAnsi="Garamond" w:cs="Times New Roman"/>
          <w:sz w:val="28"/>
          <w:szCs w:val="28"/>
        </w:rPr>
        <w:t>gestoras</w:t>
      </w:r>
      <w:r w:rsidR="009C13FD">
        <w:rPr>
          <w:rFonts w:ascii="Garamond" w:hAnsi="Garamond" w:cs="Times New Roman"/>
          <w:sz w:val="28"/>
          <w:szCs w:val="28"/>
        </w:rPr>
        <w:t xml:space="preserve"> extraen de esa renta $70.000 por concepto de capitalización individual y $8.120 por servicios operacionales.</w:t>
      </w:r>
    </w:p>
    <w:p w:rsidR="00113958" w:rsidRDefault="009C13FD" w:rsidP="00C46DC9">
      <w:pPr>
        <w:spacing w:line="360" w:lineRule="auto"/>
        <w:jc w:val="both"/>
        <w:rPr>
          <w:rFonts w:ascii="Garamond" w:hAnsi="Garamond" w:cs="Times New Roman"/>
          <w:sz w:val="28"/>
          <w:szCs w:val="28"/>
        </w:rPr>
      </w:pPr>
      <w:r>
        <w:rPr>
          <w:rFonts w:ascii="Garamond" w:hAnsi="Garamond" w:cs="Times New Roman"/>
          <w:sz w:val="28"/>
          <w:szCs w:val="28"/>
        </w:rPr>
        <w:t xml:space="preserve">Sin embargo, </w:t>
      </w:r>
      <w:r w:rsidR="00113958">
        <w:rPr>
          <w:rFonts w:ascii="Garamond" w:hAnsi="Garamond" w:cs="Times New Roman"/>
          <w:sz w:val="28"/>
          <w:szCs w:val="28"/>
        </w:rPr>
        <w:t xml:space="preserve">existe </w:t>
      </w:r>
      <w:r>
        <w:rPr>
          <w:rFonts w:ascii="Garamond" w:hAnsi="Garamond" w:cs="Times New Roman"/>
          <w:sz w:val="28"/>
          <w:szCs w:val="28"/>
        </w:rPr>
        <w:t xml:space="preserve">una segunda comisión que </w:t>
      </w:r>
      <w:r w:rsidR="00113958">
        <w:rPr>
          <w:rFonts w:ascii="Garamond" w:hAnsi="Garamond" w:cs="Times New Roman"/>
          <w:sz w:val="28"/>
          <w:szCs w:val="28"/>
        </w:rPr>
        <w:t xml:space="preserve">aplican las administradoras, la cual no está </w:t>
      </w:r>
      <w:r w:rsidR="00E3580A">
        <w:rPr>
          <w:rFonts w:ascii="Garamond" w:hAnsi="Garamond" w:cs="Times New Roman"/>
          <w:sz w:val="28"/>
          <w:szCs w:val="28"/>
        </w:rPr>
        <w:t>detallada</w:t>
      </w:r>
      <w:r w:rsidR="00113958">
        <w:rPr>
          <w:rFonts w:ascii="Garamond" w:hAnsi="Garamond" w:cs="Times New Roman"/>
          <w:sz w:val="28"/>
          <w:szCs w:val="28"/>
        </w:rPr>
        <w:t xml:space="preserve"> en la cartola que reciben los afiliados trimestralmente. Se les </w:t>
      </w:r>
      <w:r w:rsidR="00E3580A">
        <w:rPr>
          <w:rFonts w:ascii="Garamond" w:hAnsi="Garamond" w:cs="Times New Roman"/>
          <w:sz w:val="28"/>
          <w:szCs w:val="28"/>
        </w:rPr>
        <w:t>conoce como</w:t>
      </w:r>
      <w:r w:rsidR="00113958">
        <w:rPr>
          <w:rFonts w:ascii="Garamond" w:hAnsi="Garamond" w:cs="Times New Roman"/>
          <w:sz w:val="28"/>
          <w:szCs w:val="28"/>
        </w:rPr>
        <w:t xml:space="preserve"> </w:t>
      </w:r>
      <w:r w:rsidR="005E776F">
        <w:rPr>
          <w:rFonts w:ascii="Garamond" w:hAnsi="Garamond" w:cs="Times New Roman"/>
          <w:sz w:val="28"/>
          <w:szCs w:val="28"/>
        </w:rPr>
        <w:t xml:space="preserve">“comisiones ocultas” o </w:t>
      </w:r>
      <w:r w:rsidR="00113958">
        <w:rPr>
          <w:rFonts w:ascii="Garamond" w:hAnsi="Garamond" w:cs="Times New Roman"/>
          <w:sz w:val="28"/>
          <w:szCs w:val="28"/>
        </w:rPr>
        <w:t>“comisiones fantasmas”</w:t>
      </w:r>
      <w:r w:rsidR="007931A8">
        <w:rPr>
          <w:rFonts w:ascii="Garamond" w:hAnsi="Garamond" w:cs="Times New Roman"/>
          <w:sz w:val="28"/>
          <w:szCs w:val="28"/>
        </w:rPr>
        <w:t xml:space="preserve"> y adquieren esta denominación</w:t>
      </w:r>
      <w:r w:rsidR="00113958">
        <w:rPr>
          <w:rFonts w:ascii="Garamond" w:hAnsi="Garamond" w:cs="Times New Roman"/>
          <w:sz w:val="28"/>
          <w:szCs w:val="28"/>
        </w:rPr>
        <w:t xml:space="preserve"> justamente </w:t>
      </w:r>
      <w:r w:rsidR="00E3580A">
        <w:rPr>
          <w:rFonts w:ascii="Garamond" w:hAnsi="Garamond" w:cs="Times New Roman"/>
          <w:sz w:val="28"/>
          <w:szCs w:val="28"/>
        </w:rPr>
        <w:t>por la escasa información que se tiene de ellas</w:t>
      </w:r>
      <w:r w:rsidR="005E776F">
        <w:rPr>
          <w:rFonts w:ascii="Garamond" w:hAnsi="Garamond" w:cs="Times New Roman"/>
          <w:sz w:val="28"/>
          <w:szCs w:val="28"/>
        </w:rPr>
        <w:t>.</w:t>
      </w:r>
    </w:p>
    <w:p w:rsidR="005E776F" w:rsidRDefault="00790703" w:rsidP="00C46DC9">
      <w:pPr>
        <w:spacing w:line="360" w:lineRule="auto"/>
        <w:jc w:val="both"/>
        <w:rPr>
          <w:rFonts w:ascii="Garamond" w:hAnsi="Garamond" w:cs="Times New Roman"/>
          <w:sz w:val="28"/>
          <w:szCs w:val="28"/>
        </w:rPr>
      </w:pPr>
      <w:r>
        <w:rPr>
          <w:rFonts w:ascii="Garamond" w:hAnsi="Garamond" w:cs="Times New Roman"/>
          <w:sz w:val="28"/>
          <w:szCs w:val="28"/>
        </w:rPr>
        <w:t>Ahora bien, a diferencia del cobro que se hace por administrar los ahorros de l</w:t>
      </w:r>
      <w:r w:rsidR="00EB0D7F">
        <w:rPr>
          <w:rFonts w:ascii="Garamond" w:hAnsi="Garamond" w:cs="Times New Roman"/>
          <w:sz w:val="28"/>
          <w:szCs w:val="28"/>
        </w:rPr>
        <w:t>os trabajadores, esta prima se carga a</w:t>
      </w:r>
      <w:r>
        <w:rPr>
          <w:rFonts w:ascii="Garamond" w:hAnsi="Garamond" w:cs="Times New Roman"/>
          <w:sz w:val="28"/>
          <w:szCs w:val="28"/>
        </w:rPr>
        <w:t xml:space="preserve"> los fondos de pensiones </w:t>
      </w:r>
      <w:r w:rsidR="005E776F">
        <w:rPr>
          <w:rFonts w:ascii="Garamond" w:hAnsi="Garamond" w:cs="Times New Roman"/>
          <w:sz w:val="28"/>
          <w:szCs w:val="28"/>
        </w:rPr>
        <w:t xml:space="preserve">y tienen como objetivo cancelar las </w:t>
      </w:r>
      <w:r w:rsidR="00C90927">
        <w:rPr>
          <w:rFonts w:ascii="Garamond" w:hAnsi="Garamond" w:cs="Times New Roman"/>
          <w:sz w:val="28"/>
          <w:szCs w:val="28"/>
        </w:rPr>
        <w:t>operaciones en materia de inversión que realizan los brokers o intermediarios financieros, tanto en Chile como en el extranjero.</w:t>
      </w:r>
    </w:p>
    <w:p w:rsidR="00B0538F" w:rsidRDefault="00790703" w:rsidP="00C46DC9">
      <w:pPr>
        <w:spacing w:line="360" w:lineRule="auto"/>
        <w:jc w:val="both"/>
        <w:rPr>
          <w:rFonts w:ascii="Garamond" w:hAnsi="Garamond" w:cs="Times New Roman"/>
          <w:sz w:val="28"/>
          <w:szCs w:val="28"/>
        </w:rPr>
      </w:pPr>
      <w:r>
        <w:rPr>
          <w:rFonts w:ascii="Garamond" w:hAnsi="Garamond" w:cs="Times New Roman"/>
          <w:sz w:val="28"/>
          <w:szCs w:val="28"/>
        </w:rPr>
        <w:t xml:space="preserve">De acuerdo a </w:t>
      </w:r>
      <w:r w:rsidR="00EC6178">
        <w:rPr>
          <w:rFonts w:ascii="Garamond" w:hAnsi="Garamond" w:cs="Times New Roman"/>
          <w:sz w:val="28"/>
          <w:szCs w:val="28"/>
        </w:rPr>
        <w:t xml:space="preserve">datos proporcionados por </w:t>
      </w:r>
      <w:r w:rsidR="00ED6757">
        <w:rPr>
          <w:rFonts w:ascii="Garamond" w:hAnsi="Garamond" w:cs="Times New Roman"/>
          <w:sz w:val="28"/>
          <w:szCs w:val="28"/>
        </w:rPr>
        <w:t>la superintendencia,</w:t>
      </w:r>
      <w:r>
        <w:rPr>
          <w:rFonts w:ascii="Garamond" w:hAnsi="Garamond" w:cs="Times New Roman"/>
          <w:sz w:val="28"/>
          <w:szCs w:val="28"/>
        </w:rPr>
        <w:t xml:space="preserve"> </w:t>
      </w:r>
      <w:r w:rsidR="00EC6178">
        <w:rPr>
          <w:rFonts w:ascii="Garamond" w:hAnsi="Garamond" w:cs="Times New Roman"/>
          <w:sz w:val="28"/>
          <w:szCs w:val="28"/>
        </w:rPr>
        <w:t xml:space="preserve">los montos extraidos durante el </w:t>
      </w:r>
      <w:r w:rsidR="005E776F">
        <w:rPr>
          <w:rFonts w:ascii="Garamond" w:hAnsi="Garamond" w:cs="Times New Roman"/>
          <w:sz w:val="28"/>
          <w:szCs w:val="28"/>
        </w:rPr>
        <w:t xml:space="preserve">tercer </w:t>
      </w:r>
      <w:r w:rsidR="00ED6757">
        <w:rPr>
          <w:rFonts w:ascii="Garamond" w:hAnsi="Garamond" w:cs="Times New Roman"/>
          <w:sz w:val="28"/>
          <w:szCs w:val="28"/>
        </w:rPr>
        <w:t xml:space="preserve">trimestre de 2017 para el pago de </w:t>
      </w:r>
      <w:r w:rsidR="00ED6757" w:rsidRPr="00ED6757">
        <w:rPr>
          <w:rFonts w:ascii="Garamond" w:hAnsi="Garamond" w:cs="Times New Roman"/>
          <w:i/>
          <w:sz w:val="28"/>
          <w:szCs w:val="28"/>
        </w:rPr>
        <w:t>brokers</w:t>
      </w:r>
      <w:r w:rsidR="00ED6757">
        <w:rPr>
          <w:rFonts w:ascii="Garamond" w:hAnsi="Garamond" w:cs="Times New Roman"/>
          <w:sz w:val="28"/>
          <w:szCs w:val="28"/>
        </w:rPr>
        <w:t xml:space="preserve"> </w:t>
      </w:r>
      <w:r w:rsidR="00BB6133">
        <w:rPr>
          <w:rFonts w:ascii="Garamond" w:hAnsi="Garamond" w:cs="Times New Roman"/>
          <w:sz w:val="28"/>
          <w:szCs w:val="28"/>
        </w:rPr>
        <w:t>superaron levemente los US$130 millones (82.871 millones de pesos</w:t>
      </w:r>
      <w:r w:rsidR="00A74829">
        <w:rPr>
          <w:rFonts w:ascii="Garamond" w:hAnsi="Garamond" w:cs="Times New Roman"/>
          <w:sz w:val="28"/>
          <w:szCs w:val="28"/>
        </w:rPr>
        <w:t>), equivante a un 0,7</w:t>
      </w:r>
      <w:r w:rsidR="00ED6757">
        <w:rPr>
          <w:rFonts w:ascii="Garamond" w:hAnsi="Garamond" w:cs="Times New Roman"/>
          <w:sz w:val="28"/>
          <w:szCs w:val="28"/>
        </w:rPr>
        <w:t xml:space="preserve">% de los fondos </w:t>
      </w:r>
      <w:r w:rsidR="00EB0D7F">
        <w:rPr>
          <w:rFonts w:ascii="Garamond" w:hAnsi="Garamond" w:cs="Times New Roman"/>
          <w:sz w:val="28"/>
          <w:szCs w:val="28"/>
        </w:rPr>
        <w:t xml:space="preserve">acumulados a la fecha. En términos más globales, la Fundación Sol estima que entre los años 2014 y 2017, las AFP </w:t>
      </w:r>
      <w:r w:rsidR="00BB6133">
        <w:rPr>
          <w:rFonts w:ascii="Garamond" w:hAnsi="Garamond" w:cs="Times New Roman"/>
          <w:sz w:val="28"/>
          <w:szCs w:val="28"/>
        </w:rPr>
        <w:t xml:space="preserve">gastaton en este ítem </w:t>
      </w:r>
      <w:r w:rsidR="00EB0D7F">
        <w:rPr>
          <w:rFonts w:ascii="Garamond" w:hAnsi="Garamond" w:cs="Times New Roman"/>
          <w:sz w:val="28"/>
          <w:szCs w:val="28"/>
        </w:rPr>
        <w:t xml:space="preserve">cerca de </w:t>
      </w:r>
      <w:r w:rsidR="00BB6133">
        <w:rPr>
          <w:rFonts w:ascii="Garamond" w:hAnsi="Garamond" w:cs="Times New Roman"/>
          <w:sz w:val="28"/>
          <w:szCs w:val="28"/>
        </w:rPr>
        <w:t>US$5.500 (3.3 billones de pesos).</w:t>
      </w:r>
    </w:p>
    <w:p w:rsidR="00BB6133" w:rsidRDefault="00BB6133" w:rsidP="00C46DC9">
      <w:pPr>
        <w:spacing w:line="360" w:lineRule="auto"/>
        <w:jc w:val="both"/>
        <w:rPr>
          <w:rFonts w:ascii="Garamond" w:hAnsi="Garamond" w:cs="Times New Roman"/>
          <w:sz w:val="28"/>
          <w:szCs w:val="28"/>
        </w:rPr>
      </w:pPr>
      <w:r>
        <w:rPr>
          <w:rFonts w:ascii="Garamond" w:hAnsi="Garamond" w:cs="Times New Roman"/>
          <w:sz w:val="28"/>
          <w:szCs w:val="28"/>
        </w:rPr>
        <w:t xml:space="preserve">Considerando los montos involucrados y la opacidad </w:t>
      </w:r>
      <w:r w:rsidR="00296BDB">
        <w:rPr>
          <w:rFonts w:ascii="Garamond" w:hAnsi="Garamond" w:cs="Times New Roman"/>
          <w:sz w:val="28"/>
          <w:szCs w:val="28"/>
        </w:rPr>
        <w:t>con que opera el sistema en esta materia, se hace relevante exigir a las administradoras que informen a cada afiliado en detalle cada uno de los cobros que se efectúan tanto a sus rentas como a sus ahorros previsionales.</w:t>
      </w:r>
    </w:p>
    <w:p w:rsidR="00A26B86" w:rsidRDefault="00A26B86" w:rsidP="000778EE">
      <w:pPr>
        <w:spacing w:after="0" w:line="240" w:lineRule="auto"/>
        <w:rPr>
          <w:rFonts w:cstheme="minorHAnsi"/>
        </w:rPr>
      </w:pPr>
    </w:p>
    <w:p w:rsidR="00F938E7" w:rsidRPr="004B59C2" w:rsidRDefault="00F938E7" w:rsidP="000778EE">
      <w:pPr>
        <w:spacing w:after="0" w:line="240" w:lineRule="auto"/>
        <w:rPr>
          <w:rFonts w:cstheme="minorHAnsi"/>
        </w:rPr>
      </w:pPr>
    </w:p>
    <w:p w:rsidR="004B59C2" w:rsidRDefault="004B59C2" w:rsidP="002549F5">
      <w:pPr>
        <w:spacing w:after="0" w:line="240" w:lineRule="auto"/>
        <w:rPr>
          <w:rFonts w:ascii="Arial" w:eastAsia="Times New Roman" w:hAnsi="Arial" w:cs="Arial"/>
          <w:color w:val="666666"/>
          <w:sz w:val="21"/>
          <w:szCs w:val="21"/>
          <w:shd w:val="clear" w:color="auto" w:fill="F5F5F5"/>
          <w:lang w:eastAsia="es-ES_tradnl"/>
        </w:rPr>
      </w:pPr>
    </w:p>
    <w:p w:rsidR="006A4F14" w:rsidRPr="002549F5" w:rsidRDefault="006A4F14" w:rsidP="002549F5">
      <w:pPr>
        <w:spacing w:after="0" w:line="240" w:lineRule="auto"/>
        <w:rPr>
          <w:rFonts w:ascii="Times New Roman" w:eastAsia="Times New Roman" w:hAnsi="Times New Roman" w:cs="Times New Roman"/>
          <w:sz w:val="24"/>
          <w:szCs w:val="24"/>
          <w:lang w:eastAsia="es-ES_tradnl"/>
        </w:rPr>
      </w:pPr>
    </w:p>
    <w:p w:rsidR="000F50EE" w:rsidRPr="00921650" w:rsidRDefault="000F50EE" w:rsidP="000F50EE">
      <w:pPr>
        <w:spacing w:after="0" w:line="360" w:lineRule="auto"/>
        <w:jc w:val="both"/>
        <w:rPr>
          <w:rFonts w:ascii="Garamond" w:eastAsia="Times New Roman" w:hAnsi="Garamond" w:cs="Arial"/>
          <w:sz w:val="28"/>
          <w:szCs w:val="28"/>
          <w:lang w:val="es-ES" w:eastAsia="es-ES"/>
        </w:rPr>
      </w:pPr>
      <w:r w:rsidRPr="00921650">
        <w:rPr>
          <w:rFonts w:ascii="Garamond" w:eastAsia="Times New Roman" w:hAnsi="Garamond" w:cs="Arial"/>
          <w:sz w:val="28"/>
          <w:szCs w:val="28"/>
          <w:lang w:val="es-ES" w:eastAsia="es-ES"/>
        </w:rPr>
        <w:lastRenderedPageBreak/>
        <w:t>Por lo anteriormente señalado, y</w:t>
      </w:r>
      <w:r>
        <w:rPr>
          <w:rFonts w:ascii="Garamond" w:eastAsia="Times New Roman" w:hAnsi="Garamond" w:cs="Arial"/>
          <w:sz w:val="28"/>
          <w:szCs w:val="28"/>
          <w:lang w:val="es-ES" w:eastAsia="es-ES"/>
        </w:rPr>
        <w:t xml:space="preserve"> en atención a lo previsto en la </w:t>
      </w:r>
      <w:r w:rsidRPr="00921650">
        <w:rPr>
          <w:rFonts w:ascii="Garamond" w:eastAsia="Times New Roman" w:hAnsi="Garamond" w:cs="Arial"/>
          <w:sz w:val="28"/>
          <w:szCs w:val="28"/>
          <w:lang w:val="es-ES" w:eastAsia="es-ES"/>
        </w:rPr>
        <w:t xml:space="preserve">Constitución Política de la República, </w:t>
      </w:r>
      <w:r>
        <w:rPr>
          <w:rFonts w:ascii="Garamond" w:eastAsia="Times New Roman" w:hAnsi="Garamond" w:cs="Arial"/>
          <w:sz w:val="28"/>
          <w:szCs w:val="28"/>
          <w:lang w:val="es-ES" w:eastAsia="es-ES"/>
        </w:rPr>
        <w:t>los</w:t>
      </w:r>
      <w:r w:rsidRPr="00921650">
        <w:rPr>
          <w:rFonts w:ascii="Garamond" w:eastAsia="Times New Roman" w:hAnsi="Garamond" w:cs="Arial"/>
          <w:sz w:val="28"/>
          <w:szCs w:val="28"/>
          <w:lang w:val="es-ES" w:eastAsia="es-ES"/>
        </w:rPr>
        <w:t xml:space="preserve"> </w:t>
      </w:r>
      <w:r w:rsidR="000F4F26">
        <w:rPr>
          <w:rFonts w:ascii="Garamond" w:eastAsia="Times New Roman" w:hAnsi="Garamond" w:cs="Arial"/>
          <w:sz w:val="28"/>
          <w:szCs w:val="28"/>
          <w:lang w:val="es-ES" w:eastAsia="es-ES"/>
        </w:rPr>
        <w:t>diputados</w:t>
      </w:r>
      <w:r w:rsidRPr="00921650">
        <w:rPr>
          <w:rFonts w:ascii="Garamond" w:eastAsia="Times New Roman" w:hAnsi="Garamond" w:cs="Arial"/>
          <w:sz w:val="28"/>
          <w:szCs w:val="28"/>
          <w:lang w:val="es-ES" w:eastAsia="es-ES"/>
        </w:rPr>
        <w:t xml:space="preserve"> que suscribe</w:t>
      </w:r>
      <w:r>
        <w:rPr>
          <w:rFonts w:ascii="Garamond" w:eastAsia="Times New Roman" w:hAnsi="Garamond" w:cs="Arial"/>
          <w:sz w:val="28"/>
          <w:szCs w:val="28"/>
          <w:lang w:val="es-ES" w:eastAsia="es-ES"/>
        </w:rPr>
        <w:t>n</w:t>
      </w:r>
      <w:r w:rsidRPr="00921650">
        <w:rPr>
          <w:rFonts w:ascii="Garamond" w:eastAsia="Times New Roman" w:hAnsi="Garamond" w:cs="Arial"/>
          <w:sz w:val="28"/>
          <w:szCs w:val="28"/>
          <w:lang w:val="es-ES" w:eastAsia="es-ES"/>
        </w:rPr>
        <w:t xml:space="preserve"> </w:t>
      </w:r>
      <w:r w:rsidR="000F4F26">
        <w:rPr>
          <w:rFonts w:ascii="Garamond" w:eastAsia="Times New Roman" w:hAnsi="Garamond" w:cs="Arial"/>
          <w:sz w:val="28"/>
          <w:szCs w:val="28"/>
          <w:lang w:val="es-ES" w:eastAsia="es-ES"/>
        </w:rPr>
        <w:t>proponemos</w:t>
      </w:r>
      <w:r w:rsidRPr="00921650">
        <w:rPr>
          <w:rFonts w:ascii="Garamond" w:eastAsia="Times New Roman" w:hAnsi="Garamond" w:cs="Arial"/>
          <w:sz w:val="28"/>
          <w:szCs w:val="28"/>
          <w:lang w:val="es-ES" w:eastAsia="es-ES"/>
        </w:rPr>
        <w:t xml:space="preserve"> </w:t>
      </w:r>
      <w:r w:rsidR="000F4F26">
        <w:rPr>
          <w:rFonts w:ascii="Garamond" w:eastAsia="Times New Roman" w:hAnsi="Garamond" w:cs="Arial"/>
          <w:sz w:val="28"/>
          <w:szCs w:val="28"/>
          <w:lang w:val="es-ES" w:eastAsia="es-ES"/>
        </w:rPr>
        <w:t xml:space="preserve">lo </w:t>
      </w:r>
      <w:r w:rsidRPr="00921650">
        <w:rPr>
          <w:rFonts w:ascii="Garamond" w:eastAsia="Times New Roman" w:hAnsi="Garamond" w:cs="Arial"/>
          <w:sz w:val="28"/>
          <w:szCs w:val="28"/>
          <w:lang w:val="es-ES" w:eastAsia="es-ES"/>
        </w:rPr>
        <w:t>siguiente:</w:t>
      </w:r>
    </w:p>
    <w:p w:rsidR="000F50EE" w:rsidRPr="00921650" w:rsidRDefault="000F50EE" w:rsidP="000F50EE">
      <w:pPr>
        <w:spacing w:after="0" w:line="360" w:lineRule="auto"/>
        <w:jc w:val="both"/>
        <w:rPr>
          <w:rFonts w:ascii="Garamond" w:eastAsia="Times New Roman" w:hAnsi="Garamond" w:cs="Arial"/>
          <w:sz w:val="28"/>
          <w:szCs w:val="28"/>
          <w:lang w:val="es-ES" w:eastAsia="es-ES"/>
        </w:rPr>
      </w:pPr>
    </w:p>
    <w:p w:rsidR="000F50EE" w:rsidRPr="00921650" w:rsidRDefault="000F50EE" w:rsidP="000F50EE">
      <w:pPr>
        <w:spacing w:after="0" w:line="360" w:lineRule="auto"/>
        <w:jc w:val="both"/>
        <w:rPr>
          <w:rFonts w:ascii="Garamond" w:eastAsia="Times New Roman" w:hAnsi="Garamond" w:cs="Arial"/>
          <w:sz w:val="28"/>
          <w:szCs w:val="28"/>
          <w:lang w:val="es-ES" w:eastAsia="es-ES"/>
        </w:rPr>
      </w:pPr>
    </w:p>
    <w:p w:rsidR="000F50EE" w:rsidRPr="000F50EE" w:rsidRDefault="000F50EE" w:rsidP="000F50EE">
      <w:pPr>
        <w:spacing w:after="0" w:line="360" w:lineRule="auto"/>
        <w:jc w:val="both"/>
        <w:rPr>
          <w:rFonts w:ascii="Garamond" w:eastAsia="Times New Roman" w:hAnsi="Garamond" w:cs="Arial"/>
          <w:sz w:val="28"/>
          <w:szCs w:val="28"/>
          <w:lang w:val="es-ES" w:eastAsia="es-ES"/>
        </w:rPr>
      </w:pPr>
    </w:p>
    <w:p w:rsidR="000F50EE" w:rsidRPr="000F50EE" w:rsidRDefault="000F50EE" w:rsidP="000F50EE">
      <w:pPr>
        <w:spacing w:after="0" w:line="360" w:lineRule="auto"/>
        <w:jc w:val="center"/>
        <w:outlineLvl w:val="0"/>
        <w:rPr>
          <w:rFonts w:ascii="Garamond" w:eastAsia="Times New Roman" w:hAnsi="Garamond" w:cs="Arial"/>
          <w:b/>
          <w:bCs/>
          <w:sz w:val="28"/>
          <w:szCs w:val="28"/>
          <w:u w:val="single"/>
          <w:lang w:val="es-ES" w:eastAsia="es-ES"/>
        </w:rPr>
      </w:pPr>
      <w:r w:rsidRPr="000F50EE">
        <w:rPr>
          <w:rFonts w:ascii="Garamond" w:eastAsia="Times New Roman" w:hAnsi="Garamond" w:cs="Arial"/>
          <w:b/>
          <w:bCs/>
          <w:sz w:val="28"/>
          <w:szCs w:val="28"/>
          <w:u w:val="single"/>
          <w:lang w:val="es-ES" w:eastAsia="es-ES"/>
        </w:rPr>
        <w:t>PROYECTO DE LEY:</w:t>
      </w:r>
    </w:p>
    <w:p w:rsidR="000F50EE" w:rsidRPr="000F50EE" w:rsidRDefault="000F50EE" w:rsidP="000F50EE">
      <w:pPr>
        <w:spacing w:line="360" w:lineRule="auto"/>
        <w:jc w:val="both"/>
        <w:rPr>
          <w:rFonts w:ascii="Garamond" w:hAnsi="Garamond"/>
          <w:sz w:val="28"/>
          <w:szCs w:val="28"/>
        </w:rPr>
      </w:pPr>
    </w:p>
    <w:p w:rsidR="000F50EE" w:rsidRPr="000F50EE" w:rsidRDefault="000F50EE" w:rsidP="000F50EE">
      <w:pPr>
        <w:spacing w:line="360" w:lineRule="auto"/>
        <w:jc w:val="both"/>
        <w:rPr>
          <w:rFonts w:ascii="Garamond" w:hAnsi="Garamond"/>
          <w:sz w:val="28"/>
          <w:szCs w:val="28"/>
        </w:rPr>
      </w:pPr>
      <w:r w:rsidRPr="000F50EE">
        <w:rPr>
          <w:rFonts w:ascii="Garamond" w:hAnsi="Garamond"/>
          <w:sz w:val="28"/>
          <w:szCs w:val="28"/>
        </w:rPr>
        <w:t>- Agréguese al artículo 45 bis del Decreto Ley n° 3.500, el siguiente inciso final:</w:t>
      </w:r>
    </w:p>
    <w:p w:rsidR="000F50EE" w:rsidRPr="000F50EE" w:rsidRDefault="000F50EE" w:rsidP="000F50EE">
      <w:pPr>
        <w:spacing w:line="360" w:lineRule="auto"/>
        <w:jc w:val="both"/>
        <w:rPr>
          <w:rFonts w:ascii="Garamond" w:hAnsi="Garamond" w:cstheme="minorHAnsi"/>
          <w:i/>
          <w:sz w:val="28"/>
          <w:szCs w:val="28"/>
        </w:rPr>
      </w:pPr>
      <w:r w:rsidRPr="000F50EE">
        <w:rPr>
          <w:rFonts w:ascii="Garamond" w:hAnsi="Garamond" w:cstheme="minorHAnsi"/>
          <w:i/>
          <w:sz w:val="28"/>
          <w:szCs w:val="28"/>
        </w:rPr>
        <w:t xml:space="preserve">    </w:t>
      </w:r>
    </w:p>
    <w:p w:rsidR="000F50EE" w:rsidRPr="000F50EE" w:rsidRDefault="000F50EE" w:rsidP="000F50EE">
      <w:pPr>
        <w:spacing w:line="360" w:lineRule="auto"/>
        <w:jc w:val="both"/>
        <w:rPr>
          <w:rFonts w:ascii="Garamond" w:hAnsi="Garamond" w:cstheme="minorHAnsi"/>
          <w:i/>
          <w:sz w:val="28"/>
          <w:szCs w:val="28"/>
        </w:rPr>
      </w:pPr>
      <w:r w:rsidRPr="000F50EE">
        <w:rPr>
          <w:rFonts w:ascii="Garamond" w:hAnsi="Garamond" w:cstheme="minorHAnsi"/>
          <w:i/>
          <w:sz w:val="28"/>
          <w:szCs w:val="28"/>
        </w:rPr>
        <w:t xml:space="preserve"> De igual manera, y conjuntamente con la publicación señalada, las Administradoras tendrán la obligación de informar </w:t>
      </w:r>
      <w:r>
        <w:rPr>
          <w:rFonts w:ascii="Garamond" w:hAnsi="Garamond" w:cstheme="minorHAnsi"/>
          <w:i/>
          <w:sz w:val="28"/>
          <w:szCs w:val="28"/>
        </w:rPr>
        <w:t xml:space="preserve">trimestralmente a cada afiliado </w:t>
      </w:r>
      <w:r w:rsidR="009905C0">
        <w:rPr>
          <w:rFonts w:ascii="Garamond" w:hAnsi="Garamond" w:cstheme="minorHAnsi"/>
          <w:i/>
          <w:sz w:val="28"/>
          <w:szCs w:val="28"/>
        </w:rPr>
        <w:t>el detalle de</w:t>
      </w:r>
      <w:r w:rsidRPr="000F50EE">
        <w:rPr>
          <w:rFonts w:ascii="Garamond" w:hAnsi="Garamond" w:cstheme="minorHAnsi"/>
          <w:i/>
          <w:sz w:val="28"/>
          <w:szCs w:val="28"/>
        </w:rPr>
        <w:t xml:space="preserve"> los montos específicos pagados a las entidades mandatarias señaladas en los dos incisos anteriores, como el monto específico que se le cobra al afiliado por dichas comisiones. Esta obligación de información comprenderá, además, un desglose de los pagos realizados a las entidades mandatarias de manera mensual y con señalamiento del porcentaje que representan dichos pagos en la remuneración del afiliado.</w:t>
      </w:r>
    </w:p>
    <w:p w:rsidR="000F50EE" w:rsidRPr="000F50EE" w:rsidRDefault="000F50EE" w:rsidP="000F50EE">
      <w:pPr>
        <w:spacing w:line="360" w:lineRule="auto"/>
        <w:jc w:val="both"/>
        <w:rPr>
          <w:rFonts w:ascii="Garamond" w:hAnsi="Garamond" w:cstheme="minorHAnsi"/>
          <w:i/>
          <w:sz w:val="28"/>
          <w:szCs w:val="28"/>
        </w:rPr>
      </w:pPr>
      <w:r w:rsidRPr="000F50EE">
        <w:rPr>
          <w:rFonts w:ascii="Garamond" w:hAnsi="Garamond" w:cstheme="minorHAnsi"/>
          <w:i/>
          <w:sz w:val="28"/>
          <w:szCs w:val="28"/>
        </w:rPr>
        <w:t xml:space="preserve">Adicionalmente, la información que se proporcione también deberá incluir los montos totales que cada AFP destine mensualmente </w:t>
      </w:r>
      <w:r w:rsidR="009905C0">
        <w:rPr>
          <w:rFonts w:ascii="Garamond" w:hAnsi="Garamond" w:cstheme="minorHAnsi"/>
          <w:i/>
          <w:sz w:val="28"/>
          <w:szCs w:val="28"/>
        </w:rPr>
        <w:t>por concepto de intermediación financiera.</w:t>
      </w:r>
    </w:p>
    <w:p w:rsidR="002549F5" w:rsidRDefault="002549F5" w:rsidP="006A0101">
      <w:pPr>
        <w:spacing w:after="0" w:line="360" w:lineRule="auto"/>
        <w:jc w:val="both"/>
        <w:rPr>
          <w:rFonts w:cstheme="minorHAnsi"/>
          <w:sz w:val="24"/>
          <w:szCs w:val="24"/>
        </w:rPr>
      </w:pPr>
    </w:p>
    <w:p w:rsidR="000F4F26" w:rsidRDefault="000F4F26" w:rsidP="006A0101">
      <w:pPr>
        <w:spacing w:after="0" w:line="360" w:lineRule="auto"/>
        <w:jc w:val="both"/>
        <w:rPr>
          <w:rFonts w:cstheme="minorHAnsi"/>
          <w:sz w:val="24"/>
          <w:szCs w:val="24"/>
        </w:rPr>
      </w:pPr>
    </w:p>
    <w:p w:rsidR="000F4F26" w:rsidRDefault="000F4F26" w:rsidP="006A0101">
      <w:pPr>
        <w:spacing w:after="0" w:line="360" w:lineRule="auto"/>
        <w:jc w:val="both"/>
        <w:rPr>
          <w:rFonts w:cstheme="minorHAnsi"/>
          <w:sz w:val="24"/>
          <w:szCs w:val="24"/>
        </w:rPr>
      </w:pPr>
    </w:p>
    <w:p w:rsidR="000F4F26" w:rsidRDefault="000F4F26" w:rsidP="006A0101">
      <w:pPr>
        <w:spacing w:after="0" w:line="360" w:lineRule="auto"/>
        <w:jc w:val="both"/>
        <w:rPr>
          <w:rFonts w:cstheme="minorHAnsi"/>
          <w:sz w:val="24"/>
          <w:szCs w:val="24"/>
        </w:rPr>
      </w:pPr>
    </w:p>
    <w:p w:rsidR="000F4F26" w:rsidRDefault="000F4F26" w:rsidP="006A0101">
      <w:pPr>
        <w:spacing w:after="0" w:line="360" w:lineRule="auto"/>
        <w:jc w:val="both"/>
        <w:rPr>
          <w:rFonts w:cstheme="minorHAnsi"/>
          <w:sz w:val="24"/>
          <w:szCs w:val="24"/>
        </w:rPr>
      </w:pPr>
    </w:p>
    <w:p w:rsidR="000F4F26" w:rsidRPr="000F4F26" w:rsidRDefault="000F4F26" w:rsidP="000F4F26">
      <w:pPr>
        <w:spacing w:after="0" w:line="240" w:lineRule="auto"/>
        <w:jc w:val="center"/>
        <w:rPr>
          <w:rFonts w:cstheme="minorHAnsi"/>
          <w:b/>
          <w:color w:val="000000" w:themeColor="text1"/>
          <w:sz w:val="28"/>
          <w:szCs w:val="28"/>
        </w:rPr>
      </w:pPr>
      <w:r w:rsidRPr="000F4F26">
        <w:rPr>
          <w:rFonts w:cstheme="minorHAnsi"/>
          <w:b/>
          <w:color w:val="000000" w:themeColor="text1"/>
          <w:sz w:val="28"/>
          <w:szCs w:val="28"/>
        </w:rPr>
        <w:t>ANDREA PARRA SAUTEREL</w:t>
      </w:r>
    </w:p>
    <w:p w:rsidR="000F4F26" w:rsidRPr="000F4F26" w:rsidRDefault="000F4F26" w:rsidP="000F4F26">
      <w:pPr>
        <w:spacing w:after="0" w:line="240" w:lineRule="auto"/>
        <w:jc w:val="center"/>
        <w:rPr>
          <w:rFonts w:cstheme="minorHAnsi"/>
          <w:b/>
          <w:color w:val="000000" w:themeColor="text1"/>
          <w:sz w:val="28"/>
          <w:szCs w:val="28"/>
        </w:rPr>
      </w:pPr>
      <w:r w:rsidRPr="000F4F26">
        <w:rPr>
          <w:rFonts w:cstheme="minorHAnsi"/>
          <w:b/>
          <w:color w:val="000000" w:themeColor="text1"/>
          <w:sz w:val="28"/>
          <w:szCs w:val="28"/>
        </w:rPr>
        <w:t>DIPUTADA DE LA REPÚBLICA</w:t>
      </w:r>
    </w:p>
    <w:sectPr w:rsidR="000F4F26" w:rsidRPr="000F4F26" w:rsidSect="00FF7D36">
      <w:pgSz w:w="12240" w:h="15840"/>
      <w:pgMar w:top="1276" w:right="1701"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D6B" w:rsidRDefault="00215D6B" w:rsidP="00705E6A">
      <w:pPr>
        <w:spacing w:after="0" w:line="240" w:lineRule="auto"/>
      </w:pPr>
      <w:r>
        <w:separator/>
      </w:r>
    </w:p>
  </w:endnote>
  <w:endnote w:type="continuationSeparator" w:id="0">
    <w:p w:rsidR="00215D6B" w:rsidRDefault="00215D6B" w:rsidP="00705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D6B" w:rsidRDefault="00215D6B" w:rsidP="00705E6A">
      <w:pPr>
        <w:spacing w:after="0" w:line="240" w:lineRule="auto"/>
      </w:pPr>
      <w:r>
        <w:separator/>
      </w:r>
    </w:p>
  </w:footnote>
  <w:footnote w:type="continuationSeparator" w:id="0">
    <w:p w:rsidR="00215D6B" w:rsidRDefault="00215D6B" w:rsidP="00705E6A">
      <w:pPr>
        <w:spacing w:after="0" w:line="240" w:lineRule="auto"/>
      </w:pPr>
      <w:r>
        <w:continuationSeparator/>
      </w:r>
    </w:p>
  </w:footnote>
  <w:footnote w:id="1">
    <w:p w:rsidR="00540DC5" w:rsidRPr="00540DC5" w:rsidRDefault="00540DC5">
      <w:pPr>
        <w:pStyle w:val="Textonotapie"/>
        <w:rPr>
          <w:lang w:val="es-ES"/>
        </w:rPr>
      </w:pPr>
      <w:r>
        <w:rPr>
          <w:rStyle w:val="Refdenotaalpie"/>
        </w:rPr>
        <w:footnoteRef/>
      </w:r>
      <w:r>
        <w:t xml:space="preserve"> </w:t>
      </w:r>
      <w:r>
        <w:rPr>
          <w:lang w:val="es-ES"/>
        </w:rPr>
        <w:t xml:space="preserve">Matus, Alejandra. </w:t>
      </w:r>
      <w:r w:rsidRPr="003713E0">
        <w:rPr>
          <w:i/>
          <w:lang w:val="es-ES"/>
        </w:rPr>
        <w:t>Mitos y verdades de las AFP</w:t>
      </w:r>
      <w:r>
        <w:rPr>
          <w:lang w:val="es-ES"/>
        </w:rPr>
        <w:t xml:space="preserve">. </w:t>
      </w:r>
      <w:proofErr w:type="spellStart"/>
      <w:r>
        <w:rPr>
          <w:lang w:val="es-ES"/>
        </w:rPr>
        <w:t>Penguin</w:t>
      </w:r>
      <w:proofErr w:type="spellEnd"/>
      <w:r>
        <w:rPr>
          <w:lang w:val="es-ES"/>
        </w:rPr>
        <w:t xml:space="preserve"> </w:t>
      </w:r>
      <w:proofErr w:type="spellStart"/>
      <w:r>
        <w:rPr>
          <w:lang w:val="es-ES"/>
        </w:rPr>
        <w:t>Random</w:t>
      </w:r>
      <w:proofErr w:type="spellEnd"/>
      <w:r>
        <w:rPr>
          <w:lang w:val="es-ES"/>
        </w:rPr>
        <w:t xml:space="preserve"> </w:t>
      </w:r>
      <w:proofErr w:type="spellStart"/>
      <w:r>
        <w:rPr>
          <w:lang w:val="es-ES"/>
        </w:rPr>
        <w:t>House</w:t>
      </w:r>
      <w:proofErr w:type="spellEnd"/>
      <w:r>
        <w:rPr>
          <w:lang w:val="es-ES"/>
        </w:rPr>
        <w:t>, Santiago: 2017, pp.102.</w:t>
      </w:r>
    </w:p>
  </w:footnote>
  <w:footnote w:id="2">
    <w:p w:rsidR="00CC3406" w:rsidRPr="00CC3406" w:rsidRDefault="00CC3406">
      <w:pPr>
        <w:pStyle w:val="Textonotapie"/>
        <w:rPr>
          <w:lang w:val="es-ES"/>
        </w:rPr>
      </w:pPr>
      <w:r>
        <w:rPr>
          <w:rStyle w:val="Refdenotaalpie"/>
        </w:rPr>
        <w:footnoteRef/>
      </w:r>
      <w:r>
        <w:t xml:space="preserve"> Superintendencia de Pensiones. </w:t>
      </w:r>
      <w:r w:rsidR="00D479A3" w:rsidRPr="003C29B4">
        <w:rPr>
          <w:i/>
        </w:rPr>
        <w:t>Sistema de pensiones: pilares y cambios</w:t>
      </w:r>
      <w:r w:rsidR="00D479A3">
        <w:t xml:space="preserve">, enero de 2017. Disponible en  </w:t>
      </w:r>
      <w:hyperlink r:id="rId1" w:history="1">
        <w:r w:rsidR="00D479A3" w:rsidRPr="00103C20">
          <w:rPr>
            <w:rStyle w:val="Hipervnculo"/>
            <w:rFonts w:cstheme="minorHAnsi"/>
          </w:rPr>
          <w:t>https://www.spensiones.cl/portal/institucional/594/articles-11164_recurso_1.pdf</w:t>
        </w:r>
      </w:hyperlink>
    </w:p>
  </w:footnote>
  <w:footnote w:id="3">
    <w:p w:rsidR="003C29B4" w:rsidRPr="003C29B4" w:rsidRDefault="003C29B4">
      <w:pPr>
        <w:pStyle w:val="Textonotapie"/>
        <w:rPr>
          <w:lang w:val="es-ES"/>
        </w:rPr>
      </w:pPr>
      <w:r>
        <w:rPr>
          <w:rStyle w:val="Refdenotaalpie"/>
        </w:rPr>
        <w:footnoteRef/>
      </w:r>
      <w:r>
        <w:t xml:space="preserve"> </w:t>
      </w:r>
      <w:r>
        <w:rPr>
          <w:lang w:val="es-ES"/>
        </w:rPr>
        <w:t xml:space="preserve">Comunidad Mujer. </w:t>
      </w:r>
      <w:r w:rsidRPr="003C29B4">
        <w:rPr>
          <w:i/>
          <w:lang w:val="es-ES"/>
        </w:rPr>
        <w:t>Las niñas pueden</w:t>
      </w:r>
      <w:r>
        <w:rPr>
          <w:lang w:val="es-ES"/>
        </w:rPr>
        <w:t xml:space="preserve">. </w:t>
      </w:r>
      <w:proofErr w:type="spellStart"/>
      <w:r>
        <w:rPr>
          <w:lang w:val="es-ES"/>
        </w:rPr>
        <w:t>Penguin</w:t>
      </w:r>
      <w:proofErr w:type="spellEnd"/>
      <w:r>
        <w:rPr>
          <w:lang w:val="es-ES"/>
        </w:rPr>
        <w:t xml:space="preserve"> </w:t>
      </w:r>
      <w:proofErr w:type="spellStart"/>
      <w:r>
        <w:rPr>
          <w:lang w:val="es-ES"/>
        </w:rPr>
        <w:t>Random</w:t>
      </w:r>
      <w:proofErr w:type="spellEnd"/>
      <w:r>
        <w:rPr>
          <w:lang w:val="es-ES"/>
        </w:rPr>
        <w:t xml:space="preserve"> </w:t>
      </w:r>
      <w:proofErr w:type="spellStart"/>
      <w:r>
        <w:rPr>
          <w:lang w:val="es-ES"/>
        </w:rPr>
        <w:t>House</w:t>
      </w:r>
      <w:proofErr w:type="spellEnd"/>
      <w:r>
        <w:rPr>
          <w:lang w:val="es-ES"/>
        </w:rPr>
        <w:t>, Santiago: 2017, pp.139.</w:t>
      </w:r>
    </w:p>
  </w:footnote>
  <w:footnote w:id="4">
    <w:p w:rsidR="00F877CE" w:rsidRPr="00F877CE" w:rsidRDefault="00F877CE" w:rsidP="00F877CE">
      <w:pPr>
        <w:spacing w:after="0" w:line="240" w:lineRule="auto"/>
        <w:rPr>
          <w:rFonts w:cstheme="minorHAnsi"/>
        </w:rPr>
      </w:pPr>
      <w:r>
        <w:rPr>
          <w:rStyle w:val="Refdenotaalpie"/>
        </w:rPr>
        <w:footnoteRef/>
      </w:r>
      <w:r>
        <w:t xml:space="preserve"> </w:t>
      </w:r>
      <w:r>
        <w:rPr>
          <w:lang w:val="es-ES"/>
        </w:rPr>
        <w:t xml:space="preserve">Superintendencia de pensiones. </w:t>
      </w:r>
      <w:r w:rsidRPr="00F877CE">
        <w:rPr>
          <w:i/>
        </w:rPr>
        <w:t>Ficha de Estadística Previsional Nº 67</w:t>
      </w:r>
      <w:r>
        <w:t xml:space="preserve">, junio de 2018. Disponible en </w:t>
      </w:r>
      <w:hyperlink r:id="rId2" w:history="1">
        <w:r w:rsidRPr="00103C20">
          <w:rPr>
            <w:rStyle w:val="Hipervnculo"/>
            <w:rFonts w:cstheme="minorHAnsi"/>
          </w:rPr>
          <w:t>https://www.spensiones.cl/portal/institucional/594/articles-13305_recurso_1.pdf</w:t>
        </w:r>
      </w:hyperlink>
    </w:p>
  </w:footnote>
  <w:footnote w:id="5">
    <w:p w:rsidR="00F877CE" w:rsidRPr="00F877CE" w:rsidRDefault="00F877CE">
      <w:pPr>
        <w:pStyle w:val="Textonotapie"/>
        <w:rPr>
          <w:lang w:val="es-ES"/>
        </w:rPr>
      </w:pPr>
      <w:r>
        <w:rPr>
          <w:rStyle w:val="Refdenotaalpie"/>
        </w:rPr>
        <w:footnoteRef/>
      </w:r>
      <w:r>
        <w:t xml:space="preserve"> Superintendencia de Pensiones. </w:t>
      </w:r>
      <w:r w:rsidRPr="003C29B4">
        <w:rPr>
          <w:i/>
        </w:rPr>
        <w:t>Sistema de pensiones: pilares y cambios</w:t>
      </w:r>
      <w:r>
        <w:t xml:space="preserve">, enero de 2017. Disponible en  </w:t>
      </w:r>
      <w:hyperlink r:id="rId3" w:history="1">
        <w:r w:rsidRPr="00103C20">
          <w:rPr>
            <w:rStyle w:val="Hipervnculo"/>
            <w:rFonts w:cstheme="minorHAnsi"/>
          </w:rPr>
          <w:t>https://www.spensiones.cl/portal/institucional/594/articles-11164_recurso_1.pdf</w:t>
        </w:r>
      </w:hyperlink>
    </w:p>
  </w:footnote>
  <w:footnote w:id="6">
    <w:p w:rsidR="00705E6A" w:rsidRDefault="00705E6A" w:rsidP="00705E6A">
      <w:pPr>
        <w:spacing w:after="0" w:line="240" w:lineRule="auto"/>
        <w:rPr>
          <w:rFonts w:cstheme="minorHAnsi"/>
        </w:rPr>
      </w:pPr>
      <w:r>
        <w:rPr>
          <w:rStyle w:val="Refdenotaalpie"/>
        </w:rPr>
        <w:footnoteRef/>
      </w:r>
      <w:r>
        <w:t xml:space="preserve"> Superintendencia de Pensiones. </w:t>
      </w:r>
      <w:r w:rsidRPr="00F877CE">
        <w:rPr>
          <w:i/>
        </w:rPr>
        <w:t>Ficha de Estadística Previsional</w:t>
      </w:r>
      <w:r>
        <w:t xml:space="preserve"> Nº 67, junio de 2018. Disponible en </w:t>
      </w:r>
      <w:hyperlink r:id="rId4" w:history="1">
        <w:r w:rsidRPr="00103C20">
          <w:rPr>
            <w:rStyle w:val="Hipervnculo"/>
            <w:rFonts w:cstheme="minorHAnsi"/>
          </w:rPr>
          <w:t>https://www.spensiones.cl/portal/institucional/594/articles-13305_recurso_1.pdf</w:t>
        </w:r>
      </w:hyperlink>
    </w:p>
    <w:p w:rsidR="00705E6A" w:rsidRPr="00705E6A" w:rsidRDefault="00705E6A">
      <w:pPr>
        <w:pStyle w:val="Textonotapie"/>
        <w:rPr>
          <w:lang w:val="es-ES"/>
        </w:rPr>
      </w:pPr>
    </w:p>
  </w:footnote>
  <w:footnote w:id="7">
    <w:p w:rsidR="00B514A0" w:rsidRPr="00B514A0" w:rsidRDefault="00B514A0">
      <w:pPr>
        <w:pStyle w:val="Textonotapie"/>
        <w:rPr>
          <w:lang w:val="es-ES"/>
        </w:rPr>
      </w:pPr>
      <w:r>
        <w:rPr>
          <w:rStyle w:val="Refdenotaalpie"/>
        </w:rPr>
        <w:footnoteRef/>
      </w:r>
      <w:r>
        <w:t xml:space="preserve"> </w:t>
      </w:r>
      <w:proofErr w:type="spellStart"/>
      <w:r>
        <w:rPr>
          <w:lang w:val="es-ES"/>
        </w:rPr>
        <w:t>Ibid</w:t>
      </w:r>
      <w:proofErr w:type="spellEnd"/>
      <w:r>
        <w:rPr>
          <w:lang w:val="es-E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D34D4"/>
    <w:multiLevelType w:val="multilevel"/>
    <w:tmpl w:val="EBDC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101"/>
    <w:rsid w:val="00050FF5"/>
    <w:rsid w:val="00056F46"/>
    <w:rsid w:val="000778EE"/>
    <w:rsid w:val="000A7DF4"/>
    <w:rsid w:val="000F4F26"/>
    <w:rsid w:val="000F50EE"/>
    <w:rsid w:val="00113958"/>
    <w:rsid w:val="00152622"/>
    <w:rsid w:val="001B7765"/>
    <w:rsid w:val="00215D6B"/>
    <w:rsid w:val="00231FDD"/>
    <w:rsid w:val="002348A4"/>
    <w:rsid w:val="002549F5"/>
    <w:rsid w:val="0028457E"/>
    <w:rsid w:val="00296BDB"/>
    <w:rsid w:val="003713E0"/>
    <w:rsid w:val="00384098"/>
    <w:rsid w:val="003C29B4"/>
    <w:rsid w:val="00426375"/>
    <w:rsid w:val="00433273"/>
    <w:rsid w:val="00454BC7"/>
    <w:rsid w:val="004B59C2"/>
    <w:rsid w:val="004C21A3"/>
    <w:rsid w:val="00503576"/>
    <w:rsid w:val="00540DC5"/>
    <w:rsid w:val="0055520D"/>
    <w:rsid w:val="005C5B2A"/>
    <w:rsid w:val="005E776F"/>
    <w:rsid w:val="006019EC"/>
    <w:rsid w:val="00645A61"/>
    <w:rsid w:val="006A0101"/>
    <w:rsid w:val="006A4F14"/>
    <w:rsid w:val="0070168A"/>
    <w:rsid w:val="00705E6A"/>
    <w:rsid w:val="0076786D"/>
    <w:rsid w:val="00790703"/>
    <w:rsid w:val="007931A8"/>
    <w:rsid w:val="0083006F"/>
    <w:rsid w:val="00834B09"/>
    <w:rsid w:val="00871DCA"/>
    <w:rsid w:val="00875385"/>
    <w:rsid w:val="008D0D57"/>
    <w:rsid w:val="00927EC7"/>
    <w:rsid w:val="00970D9F"/>
    <w:rsid w:val="009905C0"/>
    <w:rsid w:val="009C13FD"/>
    <w:rsid w:val="00A26B86"/>
    <w:rsid w:val="00A53A59"/>
    <w:rsid w:val="00A53EC0"/>
    <w:rsid w:val="00A7410D"/>
    <w:rsid w:val="00A74829"/>
    <w:rsid w:val="00A907CA"/>
    <w:rsid w:val="00AE5BC8"/>
    <w:rsid w:val="00B0538F"/>
    <w:rsid w:val="00B42EC7"/>
    <w:rsid w:val="00B4423F"/>
    <w:rsid w:val="00B514A0"/>
    <w:rsid w:val="00B863A5"/>
    <w:rsid w:val="00BB3620"/>
    <w:rsid w:val="00BB6133"/>
    <w:rsid w:val="00BD7B03"/>
    <w:rsid w:val="00C169C8"/>
    <w:rsid w:val="00C46DC9"/>
    <w:rsid w:val="00C90927"/>
    <w:rsid w:val="00C93100"/>
    <w:rsid w:val="00CC3406"/>
    <w:rsid w:val="00CD2FB9"/>
    <w:rsid w:val="00D07D48"/>
    <w:rsid w:val="00D229B8"/>
    <w:rsid w:val="00D238C9"/>
    <w:rsid w:val="00D47494"/>
    <w:rsid w:val="00D479A3"/>
    <w:rsid w:val="00D510EA"/>
    <w:rsid w:val="00DA7FD9"/>
    <w:rsid w:val="00DE5B53"/>
    <w:rsid w:val="00E11A3D"/>
    <w:rsid w:val="00E3580A"/>
    <w:rsid w:val="00E654E1"/>
    <w:rsid w:val="00EB0D7F"/>
    <w:rsid w:val="00EC6178"/>
    <w:rsid w:val="00ED6757"/>
    <w:rsid w:val="00F23719"/>
    <w:rsid w:val="00F26E52"/>
    <w:rsid w:val="00F768D5"/>
    <w:rsid w:val="00F877CE"/>
    <w:rsid w:val="00F938E7"/>
    <w:rsid w:val="00FA0F34"/>
    <w:rsid w:val="00FD53D3"/>
    <w:rsid w:val="00FE65D2"/>
    <w:rsid w:val="00FF7D3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B07CB-338C-DB4F-AE07-890043F4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101"/>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B59C2"/>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Hipervnculo">
    <w:name w:val="Hyperlink"/>
    <w:basedOn w:val="Fuentedeprrafopredeter"/>
    <w:uiPriority w:val="99"/>
    <w:unhideWhenUsed/>
    <w:rsid w:val="00F938E7"/>
    <w:rPr>
      <w:color w:val="0563C1" w:themeColor="hyperlink"/>
      <w:u w:val="single"/>
    </w:rPr>
  </w:style>
  <w:style w:type="character" w:customStyle="1" w:styleId="UnresolvedMention">
    <w:name w:val="Unresolved Mention"/>
    <w:basedOn w:val="Fuentedeprrafopredeter"/>
    <w:uiPriority w:val="99"/>
    <w:semiHidden/>
    <w:unhideWhenUsed/>
    <w:rsid w:val="00F938E7"/>
    <w:rPr>
      <w:color w:val="605E5C"/>
      <w:shd w:val="clear" w:color="auto" w:fill="E1DFDD"/>
    </w:rPr>
  </w:style>
  <w:style w:type="paragraph" w:styleId="Textonotapie">
    <w:name w:val="footnote text"/>
    <w:basedOn w:val="Normal"/>
    <w:link w:val="TextonotapieCar"/>
    <w:uiPriority w:val="99"/>
    <w:semiHidden/>
    <w:unhideWhenUsed/>
    <w:rsid w:val="00705E6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05E6A"/>
    <w:rPr>
      <w:sz w:val="20"/>
      <w:szCs w:val="20"/>
    </w:rPr>
  </w:style>
  <w:style w:type="character" w:styleId="Refdenotaalpie">
    <w:name w:val="footnote reference"/>
    <w:basedOn w:val="Fuentedeprrafopredeter"/>
    <w:uiPriority w:val="99"/>
    <w:semiHidden/>
    <w:unhideWhenUsed/>
    <w:rsid w:val="00705E6A"/>
    <w:rPr>
      <w:vertAlign w:val="superscript"/>
    </w:rPr>
  </w:style>
  <w:style w:type="paragraph" w:styleId="Textonotaalfinal">
    <w:name w:val="endnote text"/>
    <w:basedOn w:val="Normal"/>
    <w:link w:val="TextonotaalfinalCar"/>
    <w:uiPriority w:val="99"/>
    <w:semiHidden/>
    <w:unhideWhenUsed/>
    <w:rsid w:val="00CC340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C3406"/>
    <w:rPr>
      <w:sz w:val="20"/>
      <w:szCs w:val="20"/>
    </w:rPr>
  </w:style>
  <w:style w:type="character" w:styleId="Refdenotaalfinal">
    <w:name w:val="endnote reference"/>
    <w:basedOn w:val="Fuentedeprrafopredeter"/>
    <w:uiPriority w:val="99"/>
    <w:semiHidden/>
    <w:unhideWhenUsed/>
    <w:rsid w:val="00CC3406"/>
    <w:rPr>
      <w:vertAlign w:val="superscript"/>
    </w:rPr>
  </w:style>
  <w:style w:type="character" w:styleId="Hipervnculovisitado">
    <w:name w:val="FollowedHyperlink"/>
    <w:basedOn w:val="Fuentedeprrafopredeter"/>
    <w:uiPriority w:val="99"/>
    <w:semiHidden/>
    <w:unhideWhenUsed/>
    <w:rsid w:val="003C29B4"/>
    <w:rPr>
      <w:color w:val="954F72" w:themeColor="followedHyperlink"/>
      <w:u w:val="single"/>
    </w:rPr>
  </w:style>
  <w:style w:type="character" w:styleId="Refdecomentario">
    <w:name w:val="annotation reference"/>
    <w:basedOn w:val="Fuentedeprrafopredeter"/>
    <w:uiPriority w:val="99"/>
    <w:semiHidden/>
    <w:unhideWhenUsed/>
    <w:rsid w:val="000F50EE"/>
    <w:rPr>
      <w:sz w:val="16"/>
      <w:szCs w:val="16"/>
    </w:rPr>
  </w:style>
  <w:style w:type="paragraph" w:styleId="Textocomentario">
    <w:name w:val="annotation text"/>
    <w:basedOn w:val="Normal"/>
    <w:link w:val="TextocomentarioCar"/>
    <w:uiPriority w:val="99"/>
    <w:semiHidden/>
    <w:unhideWhenUsed/>
    <w:rsid w:val="000F50E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F50EE"/>
    <w:rPr>
      <w:sz w:val="20"/>
      <w:szCs w:val="20"/>
    </w:rPr>
  </w:style>
  <w:style w:type="paragraph" w:styleId="Textodeglobo">
    <w:name w:val="Balloon Text"/>
    <w:basedOn w:val="Normal"/>
    <w:link w:val="TextodegloboCar"/>
    <w:uiPriority w:val="99"/>
    <w:semiHidden/>
    <w:unhideWhenUsed/>
    <w:rsid w:val="000F50EE"/>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0F50E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279947">
      <w:bodyDiv w:val="1"/>
      <w:marLeft w:val="0"/>
      <w:marRight w:val="0"/>
      <w:marTop w:val="0"/>
      <w:marBottom w:val="0"/>
      <w:divBdr>
        <w:top w:val="none" w:sz="0" w:space="0" w:color="auto"/>
        <w:left w:val="none" w:sz="0" w:space="0" w:color="auto"/>
        <w:bottom w:val="none" w:sz="0" w:space="0" w:color="auto"/>
        <w:right w:val="none" w:sz="0" w:space="0" w:color="auto"/>
      </w:divBdr>
    </w:div>
    <w:div w:id="1786196704">
      <w:bodyDiv w:val="1"/>
      <w:marLeft w:val="0"/>
      <w:marRight w:val="0"/>
      <w:marTop w:val="0"/>
      <w:marBottom w:val="0"/>
      <w:divBdr>
        <w:top w:val="none" w:sz="0" w:space="0" w:color="auto"/>
        <w:left w:val="none" w:sz="0" w:space="0" w:color="auto"/>
        <w:bottom w:val="none" w:sz="0" w:space="0" w:color="auto"/>
        <w:right w:val="none" w:sz="0" w:space="0" w:color="auto"/>
      </w:divBdr>
      <w:divsChild>
        <w:div w:id="754014220">
          <w:marLeft w:val="0"/>
          <w:marRight w:val="0"/>
          <w:marTop w:val="0"/>
          <w:marBottom w:val="0"/>
          <w:divBdr>
            <w:top w:val="none" w:sz="0" w:space="0" w:color="auto"/>
            <w:left w:val="none" w:sz="0" w:space="0" w:color="auto"/>
            <w:bottom w:val="none" w:sz="0" w:space="0" w:color="auto"/>
            <w:right w:val="none" w:sz="0" w:space="0" w:color="auto"/>
          </w:divBdr>
          <w:divsChild>
            <w:div w:id="1358039382">
              <w:marLeft w:val="0"/>
              <w:marRight w:val="0"/>
              <w:marTop w:val="0"/>
              <w:marBottom w:val="0"/>
              <w:divBdr>
                <w:top w:val="none" w:sz="0" w:space="0" w:color="auto"/>
                <w:left w:val="none" w:sz="0" w:space="0" w:color="auto"/>
                <w:bottom w:val="none" w:sz="0" w:space="0" w:color="auto"/>
                <w:right w:val="none" w:sz="0" w:space="0" w:color="auto"/>
              </w:divBdr>
              <w:divsChild>
                <w:div w:id="149752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pensiones.cl/portal/institucional/594/articles-11164_recurso_1.pdf" TargetMode="External"/><Relationship Id="rId2" Type="http://schemas.openxmlformats.org/officeDocument/2006/relationships/hyperlink" Target="https://www.spensiones.cl/portal/institucional/594/articles-13305_recurso_1.pdf" TargetMode="External"/><Relationship Id="rId1" Type="http://schemas.openxmlformats.org/officeDocument/2006/relationships/hyperlink" Target="https://www.spensiones.cl/portal/institucional/594/articles-11164_recurso_1.pdf" TargetMode="External"/><Relationship Id="rId4" Type="http://schemas.openxmlformats.org/officeDocument/2006/relationships/hyperlink" Target="https://www.spensiones.cl/portal/institucional/594/articles-13305_recurso_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86E12-B07E-463A-AE8C-A2B7C7923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827</Words>
  <Characters>4554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Leonardo Lueiza Ureta</cp:lastModifiedBy>
  <cp:revision>3</cp:revision>
  <dcterms:created xsi:type="dcterms:W3CDTF">2018-07-02T22:49:00Z</dcterms:created>
  <dcterms:modified xsi:type="dcterms:W3CDTF">2018-07-09T22:28:00Z</dcterms:modified>
</cp:coreProperties>
</file>