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35281" w14:textId="449871CA" w:rsidR="003A59EA" w:rsidRDefault="00CA6ECE" w:rsidP="00577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333"/>
        <w:jc w:val="center"/>
        <w:rPr>
          <w:rFonts w:ascii="Times New Roman" w:hAnsi="Times New Roman" w:cs="Times New Roman"/>
          <w:b/>
          <w:sz w:val="22"/>
          <w:szCs w:val="18"/>
        </w:rPr>
      </w:pPr>
      <w:r w:rsidRPr="00CA6ECE">
        <w:rPr>
          <w:rFonts w:ascii="Times New Roman" w:hAnsi="Times New Roman" w:cs="Times New Roman"/>
          <w:b/>
          <w:sz w:val="22"/>
          <w:szCs w:val="18"/>
        </w:rPr>
        <w:t>Modifica la ley General de Urbanismo y Construcciones, en lo relativo al cómputo del plazo de prescripción de las acciones para hacer efectivas las responsabilidades por fallas de construcción</w:t>
      </w:r>
    </w:p>
    <w:p w14:paraId="27522BD9" w14:textId="77777777" w:rsidR="00CA6ECE" w:rsidRDefault="00CA6ECE" w:rsidP="00577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333"/>
        <w:jc w:val="center"/>
        <w:rPr>
          <w:rFonts w:ascii="Times New Roman" w:hAnsi="Times New Roman" w:cs="Times New Roman"/>
          <w:b/>
          <w:sz w:val="22"/>
          <w:szCs w:val="18"/>
        </w:rPr>
      </w:pPr>
    </w:p>
    <w:p w14:paraId="120100A6" w14:textId="5BD20FB3" w:rsidR="003A59EA" w:rsidRDefault="00CA6ECE" w:rsidP="00577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333"/>
        <w:jc w:val="center"/>
        <w:rPr>
          <w:rFonts w:ascii="Times New Roman" w:hAnsi="Times New Roman" w:cs="Times New Roman"/>
          <w:b/>
          <w:sz w:val="22"/>
          <w:szCs w:val="18"/>
        </w:rPr>
      </w:pPr>
      <w:r>
        <w:rPr>
          <w:rFonts w:ascii="Times New Roman" w:hAnsi="Times New Roman" w:cs="Times New Roman"/>
          <w:b/>
          <w:sz w:val="22"/>
          <w:szCs w:val="18"/>
        </w:rPr>
        <w:t>Boletín N°11998-14</w:t>
      </w:r>
    </w:p>
    <w:p w14:paraId="1668F907" w14:textId="77777777" w:rsidR="00CA6ECE" w:rsidRDefault="00CA6ECE" w:rsidP="00CA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18"/>
        </w:rPr>
      </w:pPr>
    </w:p>
    <w:p w14:paraId="4B82955B" w14:textId="77777777" w:rsidR="003A59EA" w:rsidRPr="003A59EA" w:rsidRDefault="003A59EA" w:rsidP="002F70FD">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2"/>
          <w:szCs w:val="18"/>
        </w:rPr>
      </w:pPr>
      <w:r w:rsidRPr="003A59EA">
        <w:rPr>
          <w:rFonts w:ascii="Times New Roman" w:hAnsi="Times New Roman" w:cs="Times New Roman"/>
          <w:b/>
          <w:sz w:val="22"/>
          <w:szCs w:val="18"/>
        </w:rPr>
        <w:t>FUNDAMENTOS DEL PROYECTO</w:t>
      </w:r>
      <w:bookmarkStart w:id="0" w:name="_GoBack"/>
      <w:bookmarkEnd w:id="0"/>
    </w:p>
    <w:p w14:paraId="6BA88E9C" w14:textId="77777777" w:rsidR="003A59EA" w:rsidRDefault="003A59EA" w:rsidP="002F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2"/>
          <w:szCs w:val="18"/>
        </w:rPr>
      </w:pPr>
    </w:p>
    <w:p w14:paraId="3C73EC9C" w14:textId="24F965E0" w:rsidR="00F844D8" w:rsidRDefault="003A59EA" w:rsidP="002F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r w:rsidRPr="003B1BD6">
        <w:rPr>
          <w:rFonts w:ascii="Times New Roman" w:hAnsi="Times New Roman" w:cs="Times New Roman"/>
          <w:szCs w:val="18"/>
        </w:rPr>
        <w:t xml:space="preserve">La Ley </w:t>
      </w:r>
      <w:r w:rsidR="008B3D17" w:rsidRPr="003B1BD6">
        <w:rPr>
          <w:rFonts w:ascii="Times New Roman" w:hAnsi="Times New Roman" w:cs="Times New Roman"/>
          <w:szCs w:val="18"/>
        </w:rPr>
        <w:t xml:space="preserve">General de Urbanismo y Construcciones contempla en su artículo 18 </w:t>
      </w:r>
      <w:r w:rsidR="00A96EF3" w:rsidRPr="003B1BD6">
        <w:rPr>
          <w:rFonts w:ascii="Times New Roman" w:hAnsi="Times New Roman" w:cs="Times New Roman"/>
          <w:szCs w:val="18"/>
        </w:rPr>
        <w:t>un régimen de responsabilidad</w:t>
      </w:r>
      <w:r w:rsidR="00E348EA">
        <w:rPr>
          <w:rFonts w:ascii="Times New Roman" w:hAnsi="Times New Roman" w:cs="Times New Roman"/>
          <w:szCs w:val="18"/>
        </w:rPr>
        <w:t xml:space="preserve"> civil</w:t>
      </w:r>
      <w:r w:rsidR="00E34443">
        <w:rPr>
          <w:rFonts w:ascii="Times New Roman" w:hAnsi="Times New Roman" w:cs="Times New Roman"/>
          <w:szCs w:val="18"/>
        </w:rPr>
        <w:t xml:space="preserve"> objetiva, en cuanto eximen al demandante de la necesidad de probar el dolo o culpa en la conducta del demandado, esto es,</w:t>
      </w:r>
      <w:r w:rsidR="008176EC" w:rsidRPr="003B1BD6">
        <w:rPr>
          <w:rFonts w:ascii="Times New Roman" w:hAnsi="Times New Roman" w:cs="Times New Roman"/>
          <w:szCs w:val="18"/>
        </w:rPr>
        <w:t xml:space="preserve"> respecto al primer vendedor</w:t>
      </w:r>
      <w:r w:rsidR="00F844D8">
        <w:rPr>
          <w:rStyle w:val="Refdenotaalpie"/>
          <w:rFonts w:ascii="Times New Roman" w:hAnsi="Times New Roman" w:cs="Times New Roman"/>
          <w:szCs w:val="18"/>
        </w:rPr>
        <w:footnoteReference w:id="1"/>
      </w:r>
      <w:r w:rsidR="008176EC" w:rsidRPr="003B1BD6">
        <w:rPr>
          <w:rFonts w:ascii="Times New Roman" w:hAnsi="Times New Roman" w:cs="Times New Roman"/>
          <w:szCs w:val="18"/>
        </w:rPr>
        <w:t xml:space="preserve"> de una cons</w:t>
      </w:r>
      <w:r w:rsidR="00F742EA">
        <w:rPr>
          <w:rFonts w:ascii="Times New Roman" w:hAnsi="Times New Roman" w:cs="Times New Roman"/>
          <w:szCs w:val="18"/>
        </w:rPr>
        <w:t>trucción</w:t>
      </w:r>
      <w:r w:rsidR="00E348EA">
        <w:rPr>
          <w:rFonts w:ascii="Times New Roman" w:hAnsi="Times New Roman" w:cs="Times New Roman"/>
          <w:szCs w:val="18"/>
        </w:rPr>
        <w:t>,</w:t>
      </w:r>
      <w:r w:rsidR="00F742EA">
        <w:rPr>
          <w:rFonts w:ascii="Times New Roman" w:hAnsi="Times New Roman" w:cs="Times New Roman"/>
          <w:szCs w:val="18"/>
        </w:rPr>
        <w:t xml:space="preserve"> en relación con los daño</w:t>
      </w:r>
      <w:r w:rsidR="008176EC" w:rsidRPr="003B1BD6">
        <w:rPr>
          <w:rFonts w:ascii="Times New Roman" w:hAnsi="Times New Roman" w:cs="Times New Roman"/>
          <w:szCs w:val="18"/>
        </w:rPr>
        <w:t>s y perjuicios que</w:t>
      </w:r>
      <w:r w:rsidR="00E348EA">
        <w:rPr>
          <w:rFonts w:ascii="Times New Roman" w:hAnsi="Times New Roman" w:cs="Times New Roman"/>
          <w:szCs w:val="18"/>
        </w:rPr>
        <w:t xml:space="preserve"> provengan de fallas o defecto</w:t>
      </w:r>
      <w:r w:rsidR="008176EC" w:rsidRPr="003B1BD6">
        <w:rPr>
          <w:rFonts w:ascii="Times New Roman" w:hAnsi="Times New Roman" w:cs="Times New Roman"/>
          <w:szCs w:val="18"/>
        </w:rPr>
        <w:t xml:space="preserve"> que hayan tenido lugar durante la ejecución o bien después de terminada.</w:t>
      </w:r>
      <w:r w:rsidR="00F742EA">
        <w:rPr>
          <w:rFonts w:ascii="Times New Roman" w:hAnsi="Times New Roman" w:cs="Times New Roman"/>
          <w:szCs w:val="18"/>
        </w:rPr>
        <w:t xml:space="preserve"> </w:t>
      </w:r>
      <w:r w:rsidR="00F844D8">
        <w:rPr>
          <w:rFonts w:ascii="Times New Roman" w:hAnsi="Times New Roman" w:cs="Times New Roman"/>
          <w:szCs w:val="18"/>
        </w:rPr>
        <w:t>No es un régimen de responsabilidad objetiva absoluta</w:t>
      </w:r>
      <w:r w:rsidR="00F844D8">
        <w:rPr>
          <w:rStyle w:val="Refdenotaalpie"/>
          <w:rFonts w:ascii="Times New Roman" w:hAnsi="Times New Roman" w:cs="Times New Roman"/>
          <w:szCs w:val="18"/>
        </w:rPr>
        <w:footnoteReference w:id="2"/>
      </w:r>
      <w:r w:rsidR="00F844D8">
        <w:rPr>
          <w:rFonts w:ascii="Times New Roman" w:hAnsi="Times New Roman" w:cs="Times New Roman"/>
          <w:szCs w:val="18"/>
        </w:rPr>
        <w:t>, en cuanto el demandante propietario de la vivienda deberá probar que los perjuicios provienen</w:t>
      </w:r>
      <w:r w:rsidR="00E348EA">
        <w:rPr>
          <w:rFonts w:ascii="Times New Roman" w:hAnsi="Times New Roman" w:cs="Times New Roman"/>
          <w:szCs w:val="18"/>
        </w:rPr>
        <w:t xml:space="preserve"> directamente</w:t>
      </w:r>
      <w:r w:rsidR="00F844D8">
        <w:rPr>
          <w:rFonts w:ascii="Times New Roman" w:hAnsi="Times New Roman" w:cs="Times New Roman"/>
          <w:szCs w:val="18"/>
        </w:rPr>
        <w:t xml:space="preserve"> de una “falla o defecto” en la construcción, ya sea en su ejecución o una vez terminada la misma.</w:t>
      </w:r>
      <w:r w:rsidR="00FB3592">
        <w:rPr>
          <w:rFonts w:ascii="Times New Roman" w:hAnsi="Times New Roman" w:cs="Times New Roman"/>
          <w:szCs w:val="18"/>
        </w:rPr>
        <w:t xml:space="preserve"> </w:t>
      </w:r>
      <w:r w:rsidR="00E348EA">
        <w:rPr>
          <w:rFonts w:ascii="Times New Roman" w:hAnsi="Times New Roman" w:cs="Times New Roman"/>
          <w:szCs w:val="18"/>
        </w:rPr>
        <w:t xml:space="preserve">Además, es una </w:t>
      </w:r>
      <w:r w:rsidR="00FB3592" w:rsidRPr="00971FD5">
        <w:rPr>
          <w:rFonts w:ascii="Times New Roman" w:hAnsi="Times New Roman" w:cs="Times New Roman"/>
          <w:szCs w:val="18"/>
        </w:rPr>
        <w:t xml:space="preserve">responsabilidad </w:t>
      </w:r>
      <w:r w:rsidR="00E348EA">
        <w:rPr>
          <w:rFonts w:ascii="Times New Roman" w:hAnsi="Times New Roman" w:cs="Times New Roman"/>
          <w:szCs w:val="18"/>
        </w:rPr>
        <w:t xml:space="preserve">civil </w:t>
      </w:r>
      <w:r w:rsidR="00FB3592" w:rsidRPr="00971FD5">
        <w:rPr>
          <w:rFonts w:ascii="Times New Roman" w:hAnsi="Times New Roman" w:cs="Times New Roman"/>
          <w:szCs w:val="18"/>
        </w:rPr>
        <w:t>es amplia</w:t>
      </w:r>
      <w:proofErr w:type="gramStart"/>
      <w:r w:rsidR="00E348EA">
        <w:rPr>
          <w:rFonts w:ascii="Times New Roman" w:hAnsi="Times New Roman" w:cs="Times New Roman"/>
          <w:szCs w:val="18"/>
        </w:rPr>
        <w:t>,  en</w:t>
      </w:r>
      <w:proofErr w:type="gramEnd"/>
      <w:r w:rsidR="00E348EA">
        <w:rPr>
          <w:rFonts w:ascii="Times New Roman" w:hAnsi="Times New Roman" w:cs="Times New Roman"/>
          <w:szCs w:val="18"/>
        </w:rPr>
        <w:t xml:space="preserve"> cuanto son indemnizables todos los daños y perjuicios, </w:t>
      </w:r>
      <w:r w:rsidR="00FB3592" w:rsidRPr="00971FD5">
        <w:rPr>
          <w:rFonts w:ascii="Times New Roman" w:hAnsi="Times New Roman" w:cs="Times New Roman"/>
          <w:szCs w:val="18"/>
        </w:rPr>
        <w:t xml:space="preserve">por lo </w:t>
      </w:r>
      <w:r w:rsidR="00E348EA">
        <w:rPr>
          <w:rFonts w:ascii="Times New Roman" w:hAnsi="Times New Roman" w:cs="Times New Roman"/>
          <w:szCs w:val="18"/>
        </w:rPr>
        <w:t>que no</w:t>
      </w:r>
      <w:r w:rsidR="00FB3592" w:rsidRPr="00971FD5">
        <w:rPr>
          <w:rFonts w:ascii="Times New Roman" w:hAnsi="Times New Roman" w:cs="Times New Roman"/>
          <w:szCs w:val="18"/>
        </w:rPr>
        <w:t xml:space="preserve"> cabe duda que </w:t>
      </w:r>
      <w:r w:rsidR="00E348EA">
        <w:rPr>
          <w:rFonts w:ascii="Times New Roman" w:hAnsi="Times New Roman" w:cs="Times New Roman"/>
          <w:szCs w:val="18"/>
        </w:rPr>
        <w:t xml:space="preserve">también </w:t>
      </w:r>
      <w:r w:rsidR="00FB3592" w:rsidRPr="00971FD5">
        <w:rPr>
          <w:rFonts w:ascii="Times New Roman" w:hAnsi="Times New Roman" w:cs="Times New Roman"/>
          <w:szCs w:val="18"/>
        </w:rPr>
        <w:t>se indemniza el daño moral</w:t>
      </w:r>
      <w:r w:rsidR="006423A2">
        <w:rPr>
          <w:rStyle w:val="Refdenotaalpie"/>
          <w:rFonts w:ascii="Times New Roman" w:hAnsi="Times New Roman" w:cs="Times New Roman"/>
          <w:szCs w:val="18"/>
        </w:rPr>
        <w:footnoteReference w:id="3"/>
      </w:r>
      <w:r w:rsidR="00FB3592" w:rsidRPr="00971FD5">
        <w:rPr>
          <w:rFonts w:ascii="Times New Roman" w:hAnsi="Times New Roman" w:cs="Times New Roman"/>
          <w:szCs w:val="18"/>
        </w:rPr>
        <w:t>.</w:t>
      </w:r>
    </w:p>
    <w:p w14:paraId="4648F2EA" w14:textId="77777777" w:rsidR="00FB3592" w:rsidRDefault="00FB3592" w:rsidP="002F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p>
    <w:p w14:paraId="779BD777" w14:textId="48BBDABD" w:rsidR="008176EC" w:rsidRDefault="00F742EA" w:rsidP="002F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r>
        <w:rPr>
          <w:rFonts w:ascii="Times New Roman" w:hAnsi="Times New Roman" w:cs="Times New Roman"/>
          <w:szCs w:val="18"/>
        </w:rPr>
        <w:t>En té</w:t>
      </w:r>
      <w:r w:rsidR="008176EC" w:rsidRPr="003B1BD6">
        <w:rPr>
          <w:rFonts w:ascii="Times New Roman" w:hAnsi="Times New Roman" w:cs="Times New Roman"/>
          <w:szCs w:val="18"/>
        </w:rPr>
        <w:t xml:space="preserve">rminos generales, este régimen de responsabilidad se estructura en supuestos en los </w:t>
      </w:r>
      <w:r w:rsidR="00E15BCC">
        <w:rPr>
          <w:rFonts w:ascii="Times New Roman" w:hAnsi="Times New Roman" w:cs="Times New Roman"/>
          <w:szCs w:val="18"/>
        </w:rPr>
        <w:t>cuales responde el primer vendedor, supu</w:t>
      </w:r>
      <w:r w:rsidR="008176EC" w:rsidRPr="003B1BD6">
        <w:rPr>
          <w:rFonts w:ascii="Times New Roman" w:hAnsi="Times New Roman" w:cs="Times New Roman"/>
          <w:szCs w:val="18"/>
        </w:rPr>
        <w:t>estos</w:t>
      </w:r>
      <w:r w:rsidR="00E15BCC">
        <w:rPr>
          <w:rFonts w:ascii="Times New Roman" w:hAnsi="Times New Roman" w:cs="Times New Roman"/>
          <w:szCs w:val="18"/>
        </w:rPr>
        <w:t xml:space="preserve"> en que responde el arquitecto </w:t>
      </w:r>
      <w:r w:rsidR="008176EC" w:rsidRPr="003B1BD6">
        <w:rPr>
          <w:rFonts w:ascii="Times New Roman" w:hAnsi="Times New Roman" w:cs="Times New Roman"/>
          <w:szCs w:val="18"/>
        </w:rPr>
        <w:t xml:space="preserve">responsable del </w:t>
      </w:r>
      <w:proofErr w:type="gramStart"/>
      <w:r w:rsidR="008176EC" w:rsidRPr="003B1BD6">
        <w:rPr>
          <w:rFonts w:ascii="Times New Roman" w:hAnsi="Times New Roman" w:cs="Times New Roman"/>
          <w:szCs w:val="18"/>
        </w:rPr>
        <w:lastRenderedPageBreak/>
        <w:t>proyecto</w:t>
      </w:r>
      <w:proofErr w:type="gramEnd"/>
      <w:r w:rsidR="008176EC" w:rsidRPr="003B1BD6">
        <w:rPr>
          <w:rFonts w:ascii="Times New Roman" w:hAnsi="Times New Roman" w:cs="Times New Roman"/>
          <w:szCs w:val="18"/>
        </w:rPr>
        <w:t>, el ingeniero calculista o profesional que realice el cálculo estructural</w:t>
      </w:r>
      <w:r w:rsidR="00820C3A">
        <w:rPr>
          <w:rFonts w:ascii="Times New Roman" w:hAnsi="Times New Roman" w:cs="Times New Roman"/>
          <w:szCs w:val="18"/>
        </w:rPr>
        <w:t>, la empresa constructor</w:t>
      </w:r>
      <w:r w:rsidR="00E348EA">
        <w:rPr>
          <w:rFonts w:ascii="Times New Roman" w:hAnsi="Times New Roman" w:cs="Times New Roman"/>
          <w:szCs w:val="18"/>
        </w:rPr>
        <w:t>a</w:t>
      </w:r>
      <w:r w:rsidR="00820C3A">
        <w:rPr>
          <w:rFonts w:ascii="Times New Roman" w:hAnsi="Times New Roman" w:cs="Times New Roman"/>
          <w:szCs w:val="18"/>
        </w:rPr>
        <w:t>, el inspector técnico de obra</w:t>
      </w:r>
      <w:r w:rsidR="00952BC0">
        <w:rPr>
          <w:rFonts w:ascii="Times New Roman" w:hAnsi="Times New Roman" w:cs="Times New Roman"/>
          <w:szCs w:val="18"/>
        </w:rPr>
        <w:t xml:space="preserve"> y el revisor independiente subsidiariamente. </w:t>
      </w:r>
    </w:p>
    <w:p w14:paraId="71CEB237" w14:textId="77777777" w:rsidR="009E543D" w:rsidRDefault="009E543D" w:rsidP="002F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p>
    <w:p w14:paraId="5552AB83" w14:textId="6DABFDF4" w:rsidR="002E22FB" w:rsidRPr="002E22FB" w:rsidRDefault="002E22FB" w:rsidP="002E22FB">
      <w:pPr>
        <w:spacing w:line="360" w:lineRule="auto"/>
        <w:jc w:val="both"/>
        <w:rPr>
          <w:rFonts w:ascii="Times New Roman" w:eastAsia="Times New Roman" w:hAnsi="Times New Roman" w:cs="Times New Roman"/>
        </w:rPr>
      </w:pPr>
      <w:r w:rsidRPr="002E22FB">
        <w:rPr>
          <w:rFonts w:ascii="Times New Roman" w:hAnsi="Times New Roman" w:cs="Times New Roman"/>
        </w:rPr>
        <w:t xml:space="preserve">Cabe hacer presente que este régimen de responsabilidad </w:t>
      </w:r>
      <w:r w:rsidRPr="002E22FB">
        <w:rPr>
          <w:rFonts w:ascii="Times New Roman" w:eastAsia="Times New Roman" w:hAnsi="Times New Roman" w:cs="Times New Roman"/>
          <w:color w:val="000000"/>
          <w:shd w:val="clear" w:color="auto" w:fill="FFFFFF"/>
        </w:rPr>
        <w:t>facilita el ejercicio de las acciones judiciales</w:t>
      </w:r>
      <w:r>
        <w:rPr>
          <w:rFonts w:ascii="Times New Roman" w:eastAsia="Times New Roman" w:hAnsi="Times New Roman" w:cs="Times New Roman"/>
          <w:color w:val="000000"/>
          <w:shd w:val="clear" w:color="auto" w:fill="FFFFFF"/>
        </w:rPr>
        <w:t xml:space="preserve"> </w:t>
      </w:r>
      <w:r w:rsidRPr="002E22FB">
        <w:rPr>
          <w:rFonts w:ascii="Times New Roman" w:eastAsia="Times New Roman" w:hAnsi="Times New Roman" w:cs="Times New Roman"/>
          <w:color w:val="000000"/>
          <w:shd w:val="clear" w:color="auto" w:fill="FFFFFF"/>
        </w:rPr>
        <w:t xml:space="preserve">de los primeros adquirentes de inmuebles nuevos frente a la </w:t>
      </w:r>
      <w:r>
        <w:rPr>
          <w:rFonts w:ascii="Times New Roman" w:eastAsia="Times New Roman" w:hAnsi="Times New Roman" w:cs="Times New Roman"/>
          <w:color w:val="000000"/>
          <w:shd w:val="clear" w:color="auto" w:fill="FFFFFF"/>
        </w:rPr>
        <w:t>presencia</w:t>
      </w:r>
      <w:r w:rsidR="00E348EA">
        <w:rPr>
          <w:rFonts w:ascii="Times New Roman" w:eastAsia="Times New Roman" w:hAnsi="Times New Roman" w:cs="Times New Roman"/>
          <w:color w:val="000000"/>
          <w:shd w:val="clear" w:color="auto" w:fill="FFFFFF"/>
        </w:rPr>
        <w:t xml:space="preserve"> de vicios o defectos</w:t>
      </w:r>
      <w:r w:rsidRPr="002E22FB">
        <w:rPr>
          <w:rFonts w:ascii="Times New Roman" w:eastAsia="Times New Roman" w:hAnsi="Times New Roman" w:cs="Times New Roman"/>
          <w:color w:val="000000"/>
          <w:shd w:val="clear" w:color="auto" w:fill="FFFFFF"/>
        </w:rPr>
        <w:t>, c</w:t>
      </w:r>
      <w:r>
        <w:rPr>
          <w:rFonts w:ascii="Times New Roman" w:eastAsia="Times New Roman" w:hAnsi="Times New Roman" w:cs="Times New Roman"/>
          <w:color w:val="000000"/>
          <w:shd w:val="clear" w:color="auto" w:fill="FFFFFF"/>
        </w:rPr>
        <w:t>oncentrándose</w:t>
      </w:r>
      <w:r w:rsidRPr="002E22FB">
        <w:rPr>
          <w:rFonts w:ascii="Times New Roman" w:eastAsia="Times New Roman" w:hAnsi="Times New Roman" w:cs="Times New Roman"/>
          <w:color w:val="000000"/>
          <w:shd w:val="clear" w:color="auto" w:fill="FFFFFF"/>
        </w:rPr>
        <w:t xml:space="preserve"> la responsabilidad en el denominado “</w:t>
      </w:r>
      <w:r w:rsidRPr="002E22FB">
        <w:rPr>
          <w:rFonts w:ascii="Times New Roman" w:eastAsia="Times New Roman" w:hAnsi="Times New Roman" w:cs="Times New Roman"/>
          <w:iCs/>
          <w:color w:val="000000"/>
        </w:rPr>
        <w:t>propietario primer vendedor de una construcción</w:t>
      </w:r>
      <w:r w:rsidR="00E348EA">
        <w:rPr>
          <w:rFonts w:ascii="Times New Roman" w:eastAsia="Times New Roman" w:hAnsi="Times New Roman" w:cs="Times New Roman"/>
          <w:color w:val="000000"/>
          <w:shd w:val="clear" w:color="auto" w:fill="FFFFFF"/>
        </w:rPr>
        <w:t>”</w:t>
      </w:r>
      <w:r w:rsidR="009E543D">
        <w:rPr>
          <w:rFonts w:ascii="Times New Roman" w:eastAsia="Times New Roman" w:hAnsi="Times New Roman" w:cs="Times New Roman"/>
          <w:color w:val="000000"/>
          <w:shd w:val="clear" w:color="auto" w:fill="FFFFFF"/>
        </w:rPr>
        <w:t xml:space="preserve"> y liberando a los afectados de la necesidad de identificar al preciso responsable de la falla o defecto dentro del conjunto de intervinientes en el </w:t>
      </w:r>
      <w:r w:rsidR="00E348EA">
        <w:rPr>
          <w:rFonts w:ascii="Times New Roman" w:eastAsia="Times New Roman" w:hAnsi="Times New Roman" w:cs="Times New Roman"/>
          <w:color w:val="000000"/>
          <w:shd w:val="clear" w:color="auto" w:fill="FFFFFF"/>
        </w:rPr>
        <w:t>proceso</w:t>
      </w:r>
      <w:r w:rsidR="009E543D">
        <w:rPr>
          <w:rFonts w:ascii="Times New Roman" w:eastAsia="Times New Roman" w:hAnsi="Times New Roman" w:cs="Times New Roman"/>
          <w:color w:val="000000"/>
          <w:shd w:val="clear" w:color="auto" w:fill="FFFFFF"/>
        </w:rPr>
        <w:t xml:space="preserve"> de construcción.</w:t>
      </w:r>
    </w:p>
    <w:p w14:paraId="30A5F5FB" w14:textId="77777777" w:rsidR="00F844D8" w:rsidRPr="003B1BD6" w:rsidRDefault="00F844D8" w:rsidP="002F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p>
    <w:p w14:paraId="22380BD5" w14:textId="7A3A7D49" w:rsidR="002E22FB" w:rsidRPr="003B1BD6" w:rsidRDefault="008176EC" w:rsidP="002F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r w:rsidRPr="003B1BD6">
        <w:rPr>
          <w:rFonts w:ascii="Times New Roman" w:hAnsi="Times New Roman" w:cs="Times New Roman"/>
          <w:szCs w:val="18"/>
        </w:rPr>
        <w:t xml:space="preserve">Todas dichas responsabilidades son </w:t>
      </w:r>
      <w:r w:rsidR="00F742EA">
        <w:rPr>
          <w:rFonts w:ascii="Times New Roman" w:hAnsi="Times New Roman" w:cs="Times New Roman"/>
          <w:szCs w:val="18"/>
        </w:rPr>
        <w:t>exigibles</w:t>
      </w:r>
      <w:r w:rsidRPr="003B1BD6">
        <w:rPr>
          <w:rFonts w:ascii="Times New Roman" w:hAnsi="Times New Roman" w:cs="Times New Roman"/>
          <w:szCs w:val="18"/>
        </w:rPr>
        <w:t xml:space="preserve"> en cuanto no hayan prescrito </w:t>
      </w:r>
      <w:r w:rsidR="00F742EA">
        <w:rPr>
          <w:rFonts w:ascii="Times New Roman" w:hAnsi="Times New Roman" w:cs="Times New Roman"/>
          <w:szCs w:val="18"/>
        </w:rPr>
        <w:t>las acciones que este mismo artí</w:t>
      </w:r>
      <w:r w:rsidRPr="003B1BD6">
        <w:rPr>
          <w:rFonts w:ascii="Times New Roman" w:hAnsi="Times New Roman" w:cs="Times New Roman"/>
          <w:szCs w:val="18"/>
        </w:rPr>
        <w:t>culo contempla, las cuales prescriben en distintos plazos de acuerdo a la natu</w:t>
      </w:r>
      <w:r w:rsidR="00E348EA">
        <w:rPr>
          <w:rFonts w:ascii="Times New Roman" w:hAnsi="Times New Roman" w:cs="Times New Roman"/>
          <w:szCs w:val="18"/>
        </w:rPr>
        <w:t>ra</w:t>
      </w:r>
      <w:r w:rsidRPr="003B1BD6">
        <w:rPr>
          <w:rFonts w:ascii="Times New Roman" w:hAnsi="Times New Roman" w:cs="Times New Roman"/>
          <w:szCs w:val="18"/>
        </w:rPr>
        <w:t>leza de la falla o defecto al cual se refieran</w:t>
      </w:r>
      <w:r w:rsidR="002E22FB">
        <w:rPr>
          <w:rStyle w:val="Refdenotaalpie"/>
          <w:rFonts w:ascii="Times New Roman" w:hAnsi="Times New Roman" w:cs="Times New Roman"/>
          <w:szCs w:val="18"/>
        </w:rPr>
        <w:footnoteReference w:id="4"/>
      </w:r>
      <w:r w:rsidRPr="003B1BD6">
        <w:rPr>
          <w:rFonts w:ascii="Times New Roman" w:hAnsi="Times New Roman" w:cs="Times New Roman"/>
          <w:szCs w:val="18"/>
        </w:rPr>
        <w:t>:</w:t>
      </w:r>
    </w:p>
    <w:p w14:paraId="78CEC2CE" w14:textId="77777777" w:rsidR="008176EC" w:rsidRPr="00243F48" w:rsidRDefault="008176EC" w:rsidP="002F70FD">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r w:rsidRPr="00D355AE">
        <w:rPr>
          <w:rFonts w:ascii="Times New Roman" w:hAnsi="Times New Roman" w:cs="Times New Roman"/>
          <w:szCs w:val="18"/>
        </w:rPr>
        <w:t>10 años</w:t>
      </w:r>
      <w:r w:rsidR="003B1BD6" w:rsidRPr="00D355AE">
        <w:rPr>
          <w:rFonts w:ascii="Times New Roman" w:hAnsi="Times New Roman" w:cs="Times New Roman"/>
          <w:szCs w:val="18"/>
        </w:rPr>
        <w:t>, en el caso de fallas o defectos que afecten a la estructura</w:t>
      </w:r>
      <w:r w:rsidR="00952BC0">
        <w:rPr>
          <w:rStyle w:val="Refdenotaalpie"/>
          <w:rFonts w:ascii="Times New Roman" w:hAnsi="Times New Roman" w:cs="Times New Roman"/>
          <w:szCs w:val="18"/>
        </w:rPr>
        <w:footnoteReference w:id="5"/>
      </w:r>
      <w:r w:rsidR="003B1BD6" w:rsidRPr="00D355AE">
        <w:rPr>
          <w:rFonts w:ascii="Times New Roman" w:hAnsi="Times New Roman" w:cs="Times New Roman"/>
          <w:szCs w:val="18"/>
        </w:rPr>
        <w:t xml:space="preserve"> soportante del inmueble, lo que comúnmente se ha denominado como “daño estructural”.</w:t>
      </w:r>
    </w:p>
    <w:p w14:paraId="2F143EAA" w14:textId="6A849662" w:rsidR="008176EC" w:rsidRPr="00243F48" w:rsidRDefault="008176EC" w:rsidP="002F70FD">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r w:rsidRPr="00D355AE">
        <w:rPr>
          <w:rFonts w:ascii="Times New Roman" w:hAnsi="Times New Roman" w:cs="Times New Roman"/>
          <w:szCs w:val="18"/>
        </w:rPr>
        <w:t>5 años</w:t>
      </w:r>
      <w:r w:rsidR="003B1BD6" w:rsidRPr="00D355AE">
        <w:rPr>
          <w:rFonts w:ascii="Times New Roman" w:hAnsi="Times New Roman" w:cs="Times New Roman"/>
          <w:szCs w:val="18"/>
        </w:rPr>
        <w:t>, en el caso de que se tratare de fallas o defectos que afecten a elementos constructivos o de las instalaciones del inmueble.</w:t>
      </w:r>
      <w:r w:rsidR="00952BC0">
        <w:rPr>
          <w:rFonts w:ascii="Times New Roman" w:hAnsi="Times New Roman" w:cs="Times New Roman"/>
          <w:szCs w:val="18"/>
        </w:rPr>
        <w:t xml:space="preserve"> Si bien</w:t>
      </w:r>
      <w:r w:rsidR="00CD26A9">
        <w:rPr>
          <w:rFonts w:ascii="Times New Roman" w:hAnsi="Times New Roman" w:cs="Times New Roman"/>
          <w:szCs w:val="18"/>
        </w:rPr>
        <w:t xml:space="preserve"> la ley no defina expresamente qué se considera como elementos constructivos o instalaciones, podemos considerar que se excluyen de tal categoría a aquellos elementos que se refieran a la </w:t>
      </w:r>
      <w:r w:rsidR="00E348EA">
        <w:rPr>
          <w:rFonts w:ascii="Times New Roman" w:hAnsi="Times New Roman" w:cs="Times New Roman"/>
          <w:szCs w:val="18"/>
        </w:rPr>
        <w:t>estructura</w:t>
      </w:r>
      <w:r w:rsidR="00CD26A9">
        <w:rPr>
          <w:rFonts w:ascii="Times New Roman" w:hAnsi="Times New Roman" w:cs="Times New Roman"/>
          <w:szCs w:val="18"/>
        </w:rPr>
        <w:t xml:space="preserve"> soportante.</w:t>
      </w:r>
      <w:r w:rsidR="003B1BD6" w:rsidRPr="00D355AE">
        <w:rPr>
          <w:rFonts w:ascii="Times New Roman" w:hAnsi="Times New Roman" w:cs="Times New Roman"/>
          <w:szCs w:val="18"/>
        </w:rPr>
        <w:t xml:space="preserve"> En este supuesto se consideran las inst</w:t>
      </w:r>
      <w:r w:rsidR="002E22FB">
        <w:rPr>
          <w:rFonts w:ascii="Times New Roman" w:hAnsi="Times New Roman" w:cs="Times New Roman"/>
          <w:szCs w:val="18"/>
        </w:rPr>
        <w:t>alaciones de servicios básicos, tales como agua potable, luz eléctrica, gas, etc.</w:t>
      </w:r>
    </w:p>
    <w:p w14:paraId="36B4D3E7" w14:textId="511EAA9A" w:rsidR="008176EC" w:rsidRPr="002E22FB" w:rsidRDefault="008176EC" w:rsidP="002E22FB">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r w:rsidRPr="00D355AE">
        <w:rPr>
          <w:rFonts w:ascii="Times New Roman" w:hAnsi="Times New Roman" w:cs="Times New Roman"/>
          <w:szCs w:val="18"/>
        </w:rPr>
        <w:t>3 años</w:t>
      </w:r>
      <w:r w:rsidR="003B1BD6" w:rsidRPr="00D355AE">
        <w:rPr>
          <w:rFonts w:ascii="Times New Roman" w:hAnsi="Times New Roman" w:cs="Times New Roman"/>
          <w:szCs w:val="18"/>
        </w:rPr>
        <w:t>, en el caso de fallas o defectos que afecten a elementos de las terminaciones o acabado de las obras</w:t>
      </w:r>
      <w:r w:rsidR="00CD26A9">
        <w:rPr>
          <w:rFonts w:ascii="Times New Roman" w:hAnsi="Times New Roman" w:cs="Times New Roman"/>
          <w:szCs w:val="18"/>
        </w:rPr>
        <w:t>. En este supuesto se considera</w:t>
      </w:r>
      <w:r w:rsidR="00971FD5">
        <w:rPr>
          <w:rFonts w:ascii="Times New Roman" w:hAnsi="Times New Roman" w:cs="Times New Roman"/>
          <w:szCs w:val="18"/>
        </w:rPr>
        <w:t>n est</w:t>
      </w:r>
      <w:r w:rsidR="00B55780">
        <w:rPr>
          <w:rFonts w:ascii="Times New Roman" w:hAnsi="Times New Roman" w:cs="Times New Roman"/>
          <w:szCs w:val="18"/>
        </w:rPr>
        <w:t xml:space="preserve">ucos, pinturas, cerrajería, </w:t>
      </w:r>
      <w:r w:rsidR="00B55780" w:rsidRPr="00B55780">
        <w:rPr>
          <w:rFonts w:ascii="Times New Roman" w:hAnsi="Times New Roman" w:cs="Times New Roman"/>
          <w:szCs w:val="18"/>
        </w:rPr>
        <w:t>papel mural, guardapolvos</w:t>
      </w:r>
      <w:r w:rsidR="00B55780">
        <w:rPr>
          <w:rFonts w:ascii="Times New Roman" w:hAnsi="Times New Roman" w:cs="Times New Roman"/>
          <w:szCs w:val="18"/>
        </w:rPr>
        <w:t>, vidrios, etc.</w:t>
      </w:r>
    </w:p>
    <w:p w14:paraId="52321E15" w14:textId="77777777" w:rsidR="008176EC" w:rsidRPr="003B1BD6" w:rsidRDefault="008176EC" w:rsidP="002F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p>
    <w:p w14:paraId="67B8EB4F" w14:textId="77777777" w:rsidR="003D226C" w:rsidRDefault="008176EC" w:rsidP="002F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r w:rsidRPr="003B1BD6">
        <w:rPr>
          <w:rFonts w:ascii="Times New Roman" w:hAnsi="Times New Roman" w:cs="Times New Roman"/>
          <w:szCs w:val="18"/>
        </w:rPr>
        <w:lastRenderedPageBreak/>
        <w:t xml:space="preserve">Para efecto del cómputo de los plazos, el mismo artículo contempla que </w:t>
      </w:r>
      <w:r w:rsidR="00F57940" w:rsidRPr="003B1BD6">
        <w:rPr>
          <w:rFonts w:ascii="Times New Roman" w:hAnsi="Times New Roman" w:cs="Times New Roman"/>
          <w:szCs w:val="18"/>
        </w:rPr>
        <w:t>los primeros dos plazos (10 y 5 años) se con</w:t>
      </w:r>
      <w:r w:rsidR="003B1BD6" w:rsidRPr="003B1BD6">
        <w:rPr>
          <w:rFonts w:ascii="Times New Roman" w:hAnsi="Times New Roman" w:cs="Times New Roman"/>
          <w:szCs w:val="18"/>
        </w:rPr>
        <w:t>tabilizan desde la fecha de la recepción definitiva de la obra por parte de la Dirección de Obras Municipales respectiva. Respecto del plazo de 3 años, este se cuenta desde la fecha de la inscripción del inmueble a nombre del comprador en el Conservador de Bienes Raíces respectivo, vale decir, desde la transferencia del inmueble.</w:t>
      </w:r>
    </w:p>
    <w:p w14:paraId="3C28342E" w14:textId="77777777" w:rsidR="00FB3592" w:rsidRDefault="00FB3592" w:rsidP="002F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p>
    <w:p w14:paraId="1337E6C3" w14:textId="7A911D1B" w:rsidR="003D226C" w:rsidRDefault="002F70FD" w:rsidP="002F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r>
        <w:rPr>
          <w:rFonts w:ascii="Times New Roman" w:hAnsi="Times New Roman" w:cs="Times New Roman"/>
          <w:szCs w:val="18"/>
        </w:rPr>
        <w:t>En el l</w:t>
      </w:r>
      <w:r w:rsidR="003D226C">
        <w:rPr>
          <w:rFonts w:ascii="Times New Roman" w:hAnsi="Times New Roman" w:cs="Times New Roman"/>
          <w:szCs w:val="18"/>
        </w:rPr>
        <w:t xml:space="preserve">apso entre la recepción definitiva de las obras y la </w:t>
      </w:r>
      <w:r w:rsidR="00471840">
        <w:rPr>
          <w:rFonts w:ascii="Times New Roman" w:hAnsi="Times New Roman" w:cs="Times New Roman"/>
          <w:szCs w:val="18"/>
        </w:rPr>
        <w:t>entrega del inmueble</w:t>
      </w:r>
      <w:r w:rsidR="003D226C">
        <w:rPr>
          <w:rFonts w:ascii="Times New Roman" w:hAnsi="Times New Roman" w:cs="Times New Roman"/>
          <w:szCs w:val="18"/>
        </w:rPr>
        <w:t>, pueden pasan varios años, transcurso de tiempo</w:t>
      </w:r>
      <w:r>
        <w:rPr>
          <w:rFonts w:ascii="Times New Roman" w:hAnsi="Times New Roman" w:cs="Times New Roman"/>
          <w:szCs w:val="18"/>
        </w:rPr>
        <w:t xml:space="preserve"> considerable</w:t>
      </w:r>
      <w:r w:rsidR="003D226C">
        <w:rPr>
          <w:rFonts w:ascii="Times New Roman" w:hAnsi="Times New Roman" w:cs="Times New Roman"/>
          <w:szCs w:val="18"/>
        </w:rPr>
        <w:t xml:space="preserve"> que reduce sustancialmente </w:t>
      </w:r>
      <w:r w:rsidR="006423A2">
        <w:rPr>
          <w:rFonts w:ascii="Times New Roman" w:hAnsi="Times New Roman" w:cs="Times New Roman"/>
          <w:szCs w:val="18"/>
        </w:rPr>
        <w:t>la</w:t>
      </w:r>
      <w:r w:rsidR="003D226C">
        <w:rPr>
          <w:rFonts w:ascii="Times New Roman" w:hAnsi="Times New Roman" w:cs="Times New Roman"/>
          <w:szCs w:val="18"/>
        </w:rPr>
        <w:t xml:space="preserve"> garantía que tienen los propietarios respecto a fallas o defectos que pueda tener el inmueble, particularmente respecto del plazo de 5 años por fallas o defectos que afecten elementos constructivos o instalaciones. Esta reducción real en el plazo de garantía puede afectar las posibilidad de obtener una reparación o indemnización por fallas o defectos que provengan de la construcción </w:t>
      </w:r>
      <w:r>
        <w:rPr>
          <w:rFonts w:ascii="Times New Roman" w:hAnsi="Times New Roman" w:cs="Times New Roman"/>
          <w:szCs w:val="18"/>
        </w:rPr>
        <w:t>e instalación de esos elementos por parte de la empresa constructora, lo que incluso puede no contemplarse dentro del servicio de post</w:t>
      </w:r>
      <w:r w:rsidR="006423A2">
        <w:rPr>
          <w:rFonts w:ascii="Times New Roman" w:hAnsi="Times New Roman" w:cs="Times New Roman"/>
          <w:szCs w:val="18"/>
        </w:rPr>
        <w:t>-</w:t>
      </w:r>
      <w:r>
        <w:rPr>
          <w:rFonts w:ascii="Times New Roman" w:hAnsi="Times New Roman" w:cs="Times New Roman"/>
          <w:szCs w:val="18"/>
        </w:rPr>
        <w:t xml:space="preserve">venta que </w:t>
      </w:r>
      <w:r w:rsidR="00E348EA">
        <w:rPr>
          <w:rFonts w:ascii="Times New Roman" w:hAnsi="Times New Roman" w:cs="Times New Roman"/>
          <w:szCs w:val="18"/>
        </w:rPr>
        <w:t>prácticamente</w:t>
      </w:r>
      <w:r>
        <w:rPr>
          <w:rFonts w:ascii="Times New Roman" w:hAnsi="Times New Roman" w:cs="Times New Roman"/>
          <w:szCs w:val="18"/>
        </w:rPr>
        <w:t xml:space="preserve"> todo proyecto inmobiliaria contempla.</w:t>
      </w:r>
    </w:p>
    <w:p w14:paraId="6FA764AC" w14:textId="77777777" w:rsidR="006423A2" w:rsidRDefault="006423A2" w:rsidP="002F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p>
    <w:p w14:paraId="629C8C99" w14:textId="1EEB3369" w:rsidR="003D226C" w:rsidRDefault="003D226C" w:rsidP="002F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r>
        <w:rPr>
          <w:rFonts w:ascii="Times New Roman" w:hAnsi="Times New Roman" w:cs="Times New Roman"/>
          <w:szCs w:val="18"/>
        </w:rPr>
        <w:t xml:space="preserve">Por otra parte, cabe tener presente que en el caso de elementos constructivos e instalaciones, tales como los servicios básicos alcantarillado, agua potable, luz, gas, </w:t>
      </w:r>
      <w:r w:rsidR="00E348EA">
        <w:rPr>
          <w:rFonts w:ascii="Times New Roman" w:hAnsi="Times New Roman" w:cs="Times New Roman"/>
          <w:szCs w:val="18"/>
        </w:rPr>
        <w:t>etc.</w:t>
      </w:r>
      <w:r>
        <w:rPr>
          <w:rFonts w:ascii="Times New Roman" w:hAnsi="Times New Roman" w:cs="Times New Roman"/>
          <w:szCs w:val="18"/>
        </w:rPr>
        <w:t>; sólo puede evidenciarse la falla o defecto cuando han sido efectivamente utilizados con la frecuencia que implica habitar el inmueble</w:t>
      </w:r>
      <w:r w:rsidR="00FB068A">
        <w:rPr>
          <w:rFonts w:ascii="Times New Roman" w:hAnsi="Times New Roman" w:cs="Times New Roman"/>
          <w:szCs w:val="18"/>
        </w:rPr>
        <w:t xml:space="preserve">, lo cual sólo podrá suceder desde la </w:t>
      </w:r>
      <w:r w:rsidR="00CD113F">
        <w:rPr>
          <w:rFonts w:ascii="Times New Roman" w:hAnsi="Times New Roman" w:cs="Times New Roman"/>
          <w:szCs w:val="18"/>
        </w:rPr>
        <w:t>entrega material del inmueble.</w:t>
      </w:r>
      <w:r w:rsidR="00FB068A">
        <w:rPr>
          <w:rFonts w:ascii="Times New Roman" w:hAnsi="Times New Roman" w:cs="Times New Roman"/>
          <w:szCs w:val="18"/>
        </w:rPr>
        <w:t xml:space="preserve"> </w:t>
      </w:r>
    </w:p>
    <w:p w14:paraId="2ACAA78B" w14:textId="77777777" w:rsidR="00FB068A" w:rsidRDefault="00FB068A" w:rsidP="003B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Cs w:val="18"/>
        </w:rPr>
      </w:pPr>
    </w:p>
    <w:p w14:paraId="3B8A50CB" w14:textId="75525457" w:rsidR="002F70FD" w:rsidRDefault="00FB068A" w:rsidP="002F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r>
        <w:rPr>
          <w:rFonts w:ascii="Times New Roman" w:hAnsi="Times New Roman" w:cs="Times New Roman"/>
          <w:szCs w:val="18"/>
        </w:rPr>
        <w:t>Dado todo lo anterior, es posible apreciar que existen fracciones en los plazos de garantía -o de prescripción de la acción para perseguir la responsabilidad de estas fallas o defectos- que pueden considerar como “perdidos” para los propietarios y que aumentan las posibilidad</w:t>
      </w:r>
      <w:r w:rsidR="00471840">
        <w:rPr>
          <w:rFonts w:ascii="Times New Roman" w:hAnsi="Times New Roman" w:cs="Times New Roman"/>
          <w:szCs w:val="18"/>
        </w:rPr>
        <w:t>es</w:t>
      </w:r>
      <w:r>
        <w:rPr>
          <w:rFonts w:ascii="Times New Roman" w:hAnsi="Times New Roman" w:cs="Times New Roman"/>
          <w:szCs w:val="18"/>
        </w:rPr>
        <w:t xml:space="preserve"> de</w:t>
      </w:r>
      <w:r w:rsidR="002F70FD">
        <w:rPr>
          <w:rFonts w:ascii="Times New Roman" w:hAnsi="Times New Roman" w:cs="Times New Roman"/>
          <w:szCs w:val="18"/>
        </w:rPr>
        <w:t xml:space="preserve"> generar una situación de desprotección ante fallas o defecto que pueda tener el inmueble, y que pueden incidir directamente en el valor del mismo</w:t>
      </w:r>
      <w:r w:rsidR="00E15BCC">
        <w:rPr>
          <w:rFonts w:ascii="Times New Roman" w:hAnsi="Times New Roman" w:cs="Times New Roman"/>
          <w:szCs w:val="18"/>
        </w:rPr>
        <w:t>.</w:t>
      </w:r>
    </w:p>
    <w:p w14:paraId="444A58A8" w14:textId="77777777" w:rsidR="00E15BCC" w:rsidRDefault="00E15BCC" w:rsidP="002F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p>
    <w:p w14:paraId="733807DC" w14:textId="338DEB0B" w:rsidR="00957255" w:rsidRDefault="00E15BCC" w:rsidP="00F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r>
        <w:rPr>
          <w:rFonts w:ascii="Times New Roman" w:hAnsi="Times New Roman" w:cs="Times New Roman"/>
          <w:szCs w:val="18"/>
        </w:rPr>
        <w:t xml:space="preserve">Es por ello que el objetivo de este proyecto de ley es precisamente modificar el hito a partir de cual se cuenta el plazo de prescripción </w:t>
      </w:r>
      <w:r w:rsidR="00E34443">
        <w:rPr>
          <w:rFonts w:ascii="Times New Roman" w:hAnsi="Times New Roman" w:cs="Times New Roman"/>
          <w:szCs w:val="18"/>
        </w:rPr>
        <w:t xml:space="preserve">de estas acciones, </w:t>
      </w:r>
      <w:r w:rsidR="000342E1">
        <w:rPr>
          <w:rFonts w:ascii="Times New Roman" w:hAnsi="Times New Roman" w:cs="Times New Roman"/>
          <w:szCs w:val="18"/>
        </w:rPr>
        <w:t xml:space="preserve">el </w:t>
      </w:r>
      <w:r w:rsidR="00E34443">
        <w:rPr>
          <w:rFonts w:ascii="Times New Roman" w:hAnsi="Times New Roman" w:cs="Times New Roman"/>
          <w:szCs w:val="18"/>
        </w:rPr>
        <w:t xml:space="preserve">que </w:t>
      </w:r>
      <w:r>
        <w:rPr>
          <w:rFonts w:ascii="Times New Roman" w:hAnsi="Times New Roman" w:cs="Times New Roman"/>
          <w:szCs w:val="18"/>
        </w:rPr>
        <w:t xml:space="preserve">principiará desde la </w:t>
      </w:r>
      <w:r w:rsidR="000342E1">
        <w:rPr>
          <w:rFonts w:ascii="Times New Roman" w:hAnsi="Times New Roman" w:cs="Times New Roman"/>
          <w:szCs w:val="18"/>
        </w:rPr>
        <w:lastRenderedPageBreak/>
        <w:t xml:space="preserve">entrega del </w:t>
      </w:r>
      <w:r w:rsidR="00E348EA">
        <w:rPr>
          <w:rFonts w:ascii="Times New Roman" w:hAnsi="Times New Roman" w:cs="Times New Roman"/>
          <w:szCs w:val="18"/>
        </w:rPr>
        <w:t>inmueble</w:t>
      </w:r>
      <w:r w:rsidR="000342E1">
        <w:rPr>
          <w:rFonts w:ascii="Times New Roman" w:hAnsi="Times New Roman" w:cs="Times New Roman"/>
          <w:szCs w:val="18"/>
        </w:rPr>
        <w:t xml:space="preserve">, fecha que constará en el acta de entrega que deberá </w:t>
      </w:r>
      <w:r w:rsidR="000342E1" w:rsidRPr="000342E1">
        <w:rPr>
          <w:rFonts w:ascii="Times New Roman" w:hAnsi="Times New Roman" w:cs="Times New Roman"/>
          <w:szCs w:val="18"/>
        </w:rPr>
        <w:t>dar</w:t>
      </w:r>
      <w:r w:rsidR="000342E1">
        <w:rPr>
          <w:rFonts w:ascii="Times New Roman" w:hAnsi="Times New Roman" w:cs="Times New Roman"/>
          <w:szCs w:val="18"/>
        </w:rPr>
        <w:t xml:space="preserve"> el primer vendedor en el mismo acto.</w:t>
      </w:r>
      <w:r>
        <w:rPr>
          <w:rFonts w:ascii="Times New Roman" w:hAnsi="Times New Roman" w:cs="Times New Roman"/>
          <w:szCs w:val="18"/>
        </w:rPr>
        <w:t xml:space="preserve"> </w:t>
      </w:r>
    </w:p>
    <w:p w14:paraId="2035B45F" w14:textId="77777777" w:rsidR="00CD113F" w:rsidRDefault="00CD113F" w:rsidP="00F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p>
    <w:p w14:paraId="475572DC" w14:textId="5B45911D" w:rsidR="00CD113F" w:rsidRPr="00F742EA" w:rsidRDefault="00CD113F" w:rsidP="00F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Cs w:val="18"/>
        </w:rPr>
      </w:pPr>
      <w:r>
        <w:rPr>
          <w:rFonts w:ascii="Times New Roman" w:hAnsi="Times New Roman" w:cs="Times New Roman"/>
          <w:szCs w:val="18"/>
        </w:rPr>
        <w:t xml:space="preserve">Cabe hacer presente la importancia de que se le proporcione </w:t>
      </w:r>
      <w:r w:rsidR="00E348EA">
        <w:rPr>
          <w:rFonts w:ascii="Times New Roman" w:hAnsi="Times New Roman" w:cs="Times New Roman"/>
          <w:szCs w:val="18"/>
        </w:rPr>
        <w:t>un</w:t>
      </w:r>
      <w:r>
        <w:rPr>
          <w:rFonts w:ascii="Times New Roman" w:hAnsi="Times New Roman" w:cs="Times New Roman"/>
          <w:szCs w:val="18"/>
        </w:rPr>
        <w:t xml:space="preserve"> acta de entrega pormenorizada al comprador –propietario- en el momento de la entrega material del inmueble por parte del primer vendedor, pues en ella constará el estado en el cual se entrega y pone a disposición del propietario el inmueble, </w:t>
      </w:r>
      <w:r w:rsidR="00D03A18">
        <w:rPr>
          <w:rFonts w:ascii="Times New Roman" w:hAnsi="Times New Roman" w:cs="Times New Roman"/>
          <w:szCs w:val="18"/>
        </w:rPr>
        <w:t>identificando en el acto posibles fallas o defectos visibles.</w:t>
      </w:r>
    </w:p>
    <w:p w14:paraId="4792732A" w14:textId="77777777" w:rsidR="007C633F" w:rsidRPr="009D7296" w:rsidRDefault="007C633F"/>
    <w:p w14:paraId="5858EFFE" w14:textId="77777777" w:rsidR="007C633F" w:rsidRPr="009D7296" w:rsidRDefault="007C633F"/>
    <w:p w14:paraId="66FBC607" w14:textId="77777777" w:rsidR="007C633F" w:rsidRPr="003A59EA" w:rsidRDefault="003A59EA" w:rsidP="003A59EA">
      <w:pPr>
        <w:jc w:val="both"/>
        <w:rPr>
          <w:rFonts w:ascii="Times New Roman" w:hAnsi="Times New Roman" w:cs="Times New Roman"/>
          <w:b/>
        </w:rPr>
      </w:pPr>
      <w:r w:rsidRPr="003A59EA">
        <w:rPr>
          <w:rFonts w:ascii="Times New Roman" w:hAnsi="Times New Roman" w:cs="Times New Roman"/>
          <w:b/>
        </w:rPr>
        <w:t xml:space="preserve">II. </w:t>
      </w:r>
      <w:r w:rsidR="007C633F" w:rsidRPr="003A59EA">
        <w:rPr>
          <w:rFonts w:ascii="Times New Roman" w:hAnsi="Times New Roman" w:cs="Times New Roman"/>
          <w:b/>
        </w:rPr>
        <w:t>PROYECTO DE LEY</w:t>
      </w:r>
    </w:p>
    <w:p w14:paraId="63E8E3D1" w14:textId="77777777" w:rsidR="007C633F" w:rsidRPr="003A59EA" w:rsidRDefault="007C633F" w:rsidP="003A59EA">
      <w:pPr>
        <w:jc w:val="both"/>
        <w:rPr>
          <w:rFonts w:ascii="Times New Roman" w:hAnsi="Times New Roman" w:cs="Times New Roman"/>
        </w:rPr>
      </w:pPr>
    </w:p>
    <w:p w14:paraId="7878AAA1" w14:textId="77777777" w:rsidR="003A59EA" w:rsidRDefault="003A59EA" w:rsidP="003A59EA">
      <w:pPr>
        <w:jc w:val="both"/>
        <w:rPr>
          <w:rFonts w:ascii="Times New Roman" w:hAnsi="Times New Roman" w:cs="Times New Roman"/>
        </w:rPr>
      </w:pPr>
      <w:r>
        <w:rPr>
          <w:rFonts w:ascii="Times New Roman" w:hAnsi="Times New Roman" w:cs="Times New Roman"/>
        </w:rPr>
        <w:t xml:space="preserve">ARTÍCULO ÚNICO: </w:t>
      </w:r>
    </w:p>
    <w:p w14:paraId="4836DD4C" w14:textId="77777777" w:rsidR="003A59EA" w:rsidRDefault="003A59EA" w:rsidP="003A59EA">
      <w:pPr>
        <w:jc w:val="both"/>
        <w:rPr>
          <w:rFonts w:ascii="Times New Roman" w:hAnsi="Times New Roman" w:cs="Times New Roman"/>
        </w:rPr>
      </w:pPr>
    </w:p>
    <w:p w14:paraId="7BD47B5B" w14:textId="2BF56C64" w:rsidR="007C633F" w:rsidRDefault="00E348EA" w:rsidP="003A59EA">
      <w:pPr>
        <w:jc w:val="both"/>
        <w:rPr>
          <w:rFonts w:ascii="Times New Roman" w:hAnsi="Times New Roman" w:cs="Times New Roman"/>
        </w:rPr>
      </w:pPr>
      <w:r>
        <w:rPr>
          <w:rFonts w:ascii="Times New Roman" w:hAnsi="Times New Roman" w:cs="Times New Roman"/>
        </w:rPr>
        <w:t>Reemplazase</w:t>
      </w:r>
      <w:r w:rsidR="003A59EA">
        <w:rPr>
          <w:rFonts w:ascii="Times New Roman" w:hAnsi="Times New Roman" w:cs="Times New Roman"/>
        </w:rPr>
        <w:t xml:space="preserve"> el </w:t>
      </w:r>
      <w:r w:rsidR="00D03A18">
        <w:rPr>
          <w:rFonts w:ascii="Times New Roman" w:hAnsi="Times New Roman" w:cs="Times New Roman"/>
        </w:rPr>
        <w:t>inciso final del artículo 18 del Decreto con Fuerza de Ley Nº 458,</w:t>
      </w:r>
      <w:r w:rsidR="003A59EA">
        <w:rPr>
          <w:rFonts w:ascii="Times New Roman" w:hAnsi="Times New Roman" w:cs="Times New Roman"/>
        </w:rPr>
        <w:t xml:space="preserve"> Ley General de Urbanismo y Construcciones</w:t>
      </w:r>
      <w:r w:rsidR="00D03A18">
        <w:rPr>
          <w:rFonts w:ascii="Times New Roman" w:hAnsi="Times New Roman" w:cs="Times New Roman"/>
        </w:rPr>
        <w:t>,</w:t>
      </w:r>
      <w:r w:rsidR="003A59EA">
        <w:rPr>
          <w:rFonts w:ascii="Times New Roman" w:hAnsi="Times New Roman" w:cs="Times New Roman"/>
        </w:rPr>
        <w:t xml:space="preserve"> por el siguiente: </w:t>
      </w:r>
    </w:p>
    <w:p w14:paraId="170E1595" w14:textId="77777777" w:rsidR="007C633F" w:rsidRPr="003A59EA" w:rsidRDefault="007C633F" w:rsidP="003A59EA">
      <w:pPr>
        <w:jc w:val="both"/>
        <w:rPr>
          <w:rFonts w:ascii="Times New Roman" w:hAnsi="Times New Roman" w:cs="Times New Roman"/>
        </w:rPr>
      </w:pPr>
    </w:p>
    <w:p w14:paraId="125EA8C2" w14:textId="1992EB3F" w:rsidR="007C633F" w:rsidRPr="00E348EA" w:rsidRDefault="00D03A18" w:rsidP="00B55780">
      <w:pPr>
        <w:jc w:val="both"/>
        <w:rPr>
          <w:rFonts w:ascii="Times New Roman" w:hAnsi="Times New Roman" w:cs="Times New Roman"/>
          <w:i/>
          <w:color w:val="000000" w:themeColor="text1"/>
        </w:rPr>
      </w:pPr>
      <w:r w:rsidRPr="00E348EA">
        <w:rPr>
          <w:rFonts w:ascii="Times New Roman" w:hAnsi="Times New Roman" w:cs="Times New Roman"/>
          <w:i/>
          <w:color w:val="000000" w:themeColor="text1"/>
        </w:rPr>
        <w:t>“</w:t>
      </w:r>
      <w:r w:rsidR="00CD113F" w:rsidRPr="00E348EA">
        <w:rPr>
          <w:rFonts w:ascii="Times New Roman" w:hAnsi="Times New Roman" w:cs="Times New Roman"/>
          <w:i/>
          <w:color w:val="000000" w:themeColor="text1"/>
        </w:rPr>
        <w:t>Los plazos de prescripción a los que se refiere este artícu</w:t>
      </w:r>
      <w:r w:rsidR="00C86D21">
        <w:rPr>
          <w:rFonts w:ascii="Times New Roman" w:hAnsi="Times New Roman" w:cs="Times New Roman"/>
          <w:i/>
          <w:color w:val="000000" w:themeColor="text1"/>
        </w:rPr>
        <w:t xml:space="preserve">lo se contarán desde la fecha en que se firme el acta de </w:t>
      </w:r>
      <w:r w:rsidR="00CD113F" w:rsidRPr="00E348EA">
        <w:rPr>
          <w:rFonts w:ascii="Times New Roman" w:hAnsi="Times New Roman" w:cs="Times New Roman"/>
          <w:i/>
          <w:color w:val="000000" w:themeColor="text1"/>
        </w:rPr>
        <w:t>entrega material de inmueble al comprador, debiendo el pr</w:t>
      </w:r>
      <w:r w:rsidR="00B55780" w:rsidRPr="00E348EA">
        <w:rPr>
          <w:rFonts w:ascii="Times New Roman" w:hAnsi="Times New Roman" w:cs="Times New Roman"/>
          <w:i/>
          <w:color w:val="000000" w:themeColor="text1"/>
        </w:rPr>
        <w:t>imer vendedor entregar, en el mismo acto, una copia del acta que se levante al efecto.</w:t>
      </w:r>
      <w:r w:rsidRPr="00E348EA">
        <w:rPr>
          <w:rFonts w:ascii="Times New Roman" w:hAnsi="Times New Roman" w:cs="Times New Roman"/>
          <w:i/>
          <w:color w:val="000000" w:themeColor="text1"/>
        </w:rPr>
        <w:t>”</w:t>
      </w:r>
    </w:p>
    <w:p w14:paraId="547CD3B9" w14:textId="77777777" w:rsidR="00F742EA" w:rsidRPr="009D7296" w:rsidRDefault="00F742EA"/>
    <w:p w14:paraId="53D3315A" w14:textId="77777777" w:rsidR="00F742EA" w:rsidRPr="009D7296" w:rsidRDefault="00F742EA"/>
    <w:p w14:paraId="68193F08" w14:textId="77777777" w:rsidR="00F742EA" w:rsidRPr="009D7296" w:rsidRDefault="00F742EA"/>
    <w:p w14:paraId="13FC9D5B" w14:textId="77777777" w:rsidR="00D03A18" w:rsidRPr="009D7296" w:rsidRDefault="00D03A18"/>
    <w:p w14:paraId="5D2D73FD" w14:textId="77777777" w:rsidR="00D03A18" w:rsidRDefault="00D03A18">
      <w:pPr>
        <w:rPr>
          <w:rFonts w:ascii="Times New Roman" w:hAnsi="Times New Roman" w:cs="Times New Roman"/>
        </w:rPr>
      </w:pPr>
    </w:p>
    <w:p w14:paraId="33C7A4A3" w14:textId="77777777" w:rsidR="00D03A18" w:rsidRDefault="00D03A18">
      <w:pPr>
        <w:rPr>
          <w:rFonts w:ascii="Times New Roman" w:hAnsi="Times New Roman" w:cs="Times New Roman"/>
        </w:rPr>
      </w:pPr>
    </w:p>
    <w:p w14:paraId="16DCFBED" w14:textId="77777777" w:rsidR="00E348EA" w:rsidRPr="00F742EA" w:rsidRDefault="00E348EA">
      <w:pPr>
        <w:rPr>
          <w:rFonts w:ascii="Times New Roman" w:hAnsi="Times New Roman" w:cs="Times New Roman"/>
        </w:rPr>
      </w:pPr>
    </w:p>
    <w:p w14:paraId="2B9400FB" w14:textId="77777777" w:rsidR="00F742EA" w:rsidRPr="00F742EA" w:rsidRDefault="00F742EA" w:rsidP="00F742EA">
      <w:pPr>
        <w:jc w:val="center"/>
        <w:rPr>
          <w:rFonts w:ascii="Times New Roman" w:hAnsi="Times New Roman" w:cs="Times New Roman"/>
          <w:b/>
        </w:rPr>
      </w:pPr>
      <w:r w:rsidRPr="00F742EA">
        <w:rPr>
          <w:rFonts w:ascii="Times New Roman" w:hAnsi="Times New Roman" w:cs="Times New Roman"/>
          <w:b/>
        </w:rPr>
        <w:t>XIMENA OSSANDÓN IRARRÁZABAL</w:t>
      </w:r>
    </w:p>
    <w:p w14:paraId="67F66650" w14:textId="77777777" w:rsidR="00F742EA" w:rsidRPr="00F742EA" w:rsidRDefault="00F742EA" w:rsidP="00F742EA">
      <w:pPr>
        <w:jc w:val="center"/>
        <w:rPr>
          <w:rFonts w:ascii="Times New Roman" w:hAnsi="Times New Roman" w:cs="Times New Roman"/>
        </w:rPr>
      </w:pPr>
      <w:r w:rsidRPr="00F742EA">
        <w:rPr>
          <w:rFonts w:ascii="Times New Roman" w:hAnsi="Times New Roman" w:cs="Times New Roman"/>
        </w:rPr>
        <w:t>H. Diputada de la República</w:t>
      </w:r>
    </w:p>
    <w:sectPr w:rsidR="00F742EA" w:rsidRPr="00F742EA" w:rsidSect="00D07D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27AAC" w14:textId="77777777" w:rsidR="00B1286E" w:rsidRDefault="00B1286E" w:rsidP="00F742EA">
      <w:r>
        <w:separator/>
      </w:r>
    </w:p>
  </w:endnote>
  <w:endnote w:type="continuationSeparator" w:id="0">
    <w:p w14:paraId="0B25C950" w14:textId="77777777" w:rsidR="00B1286E" w:rsidRDefault="00B1286E" w:rsidP="00F7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619A8" w14:textId="77777777" w:rsidR="002E22FB" w:rsidRDefault="002E22FB" w:rsidP="00F73AE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E322EA" w14:textId="77777777" w:rsidR="002E22FB" w:rsidRDefault="002E22FB" w:rsidP="00F742E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4F3B1" w14:textId="77777777" w:rsidR="002E22FB" w:rsidRPr="00F742EA" w:rsidRDefault="002E22FB" w:rsidP="00F73AE1">
    <w:pPr>
      <w:pStyle w:val="Piedepgina"/>
      <w:framePr w:wrap="around" w:vAnchor="text" w:hAnchor="margin" w:xAlign="right" w:y="1"/>
      <w:rPr>
        <w:rStyle w:val="Nmerodepgina"/>
        <w:rFonts w:ascii="Times New Roman" w:hAnsi="Times New Roman" w:cs="Times New Roman"/>
      </w:rPr>
    </w:pPr>
    <w:r w:rsidRPr="00F742EA">
      <w:rPr>
        <w:rStyle w:val="Nmerodepgina"/>
        <w:rFonts w:ascii="Times New Roman" w:hAnsi="Times New Roman" w:cs="Times New Roman"/>
      </w:rPr>
      <w:fldChar w:fldCharType="begin"/>
    </w:r>
    <w:r w:rsidRPr="00F742EA">
      <w:rPr>
        <w:rStyle w:val="Nmerodepgina"/>
        <w:rFonts w:ascii="Times New Roman" w:hAnsi="Times New Roman" w:cs="Times New Roman"/>
      </w:rPr>
      <w:instrText xml:space="preserve">PAGE  </w:instrText>
    </w:r>
    <w:r w:rsidRPr="00F742EA">
      <w:rPr>
        <w:rStyle w:val="Nmerodepgina"/>
        <w:rFonts w:ascii="Times New Roman" w:hAnsi="Times New Roman" w:cs="Times New Roman"/>
      </w:rPr>
      <w:fldChar w:fldCharType="separate"/>
    </w:r>
    <w:r w:rsidR="00577C39">
      <w:rPr>
        <w:rStyle w:val="Nmerodepgina"/>
        <w:rFonts w:ascii="Times New Roman" w:hAnsi="Times New Roman" w:cs="Times New Roman"/>
        <w:noProof/>
      </w:rPr>
      <w:t>4</w:t>
    </w:r>
    <w:r w:rsidRPr="00F742EA">
      <w:rPr>
        <w:rStyle w:val="Nmerodepgina"/>
        <w:rFonts w:ascii="Times New Roman" w:hAnsi="Times New Roman" w:cs="Times New Roman"/>
      </w:rPr>
      <w:fldChar w:fldCharType="end"/>
    </w:r>
  </w:p>
  <w:p w14:paraId="21357205" w14:textId="77777777" w:rsidR="002E22FB" w:rsidRDefault="002E22FB" w:rsidP="00F742E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115E" w14:textId="77777777" w:rsidR="002E22FB" w:rsidRDefault="002E22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46906" w14:textId="77777777" w:rsidR="00B1286E" w:rsidRDefault="00B1286E" w:rsidP="00F742EA">
      <w:r>
        <w:separator/>
      </w:r>
    </w:p>
  </w:footnote>
  <w:footnote w:type="continuationSeparator" w:id="0">
    <w:p w14:paraId="414B03C8" w14:textId="77777777" w:rsidR="00B1286E" w:rsidRDefault="00B1286E" w:rsidP="00F742EA">
      <w:r>
        <w:continuationSeparator/>
      </w:r>
    </w:p>
  </w:footnote>
  <w:footnote w:id="1">
    <w:p w14:paraId="140AD368" w14:textId="5F2FD2EE" w:rsidR="002E22FB" w:rsidRPr="00F844D8" w:rsidRDefault="002E22FB" w:rsidP="00F844D8">
      <w:pPr>
        <w:pStyle w:val="Textonotapie"/>
        <w:jc w:val="both"/>
        <w:rPr>
          <w:rFonts w:ascii="Times New Roman" w:hAnsi="Times New Roman" w:cs="Times New Roman"/>
          <w:sz w:val="22"/>
        </w:rPr>
      </w:pPr>
      <w:r w:rsidRPr="00F844D8">
        <w:rPr>
          <w:rStyle w:val="Refdenotaalpie"/>
          <w:rFonts w:ascii="Times New Roman" w:hAnsi="Times New Roman" w:cs="Times New Roman"/>
          <w:sz w:val="22"/>
        </w:rPr>
        <w:footnoteRef/>
      </w:r>
      <w:r w:rsidRPr="00F844D8">
        <w:rPr>
          <w:rFonts w:ascii="Times New Roman" w:hAnsi="Times New Roman" w:cs="Times New Roman"/>
          <w:sz w:val="22"/>
        </w:rPr>
        <w:t xml:space="preserve"> La Ordenanza General de Urbanismo y Construcciones define en su artículo 1.1.2 al primer vendedor como el </w:t>
      </w:r>
      <w:r w:rsidRPr="00FB3592">
        <w:rPr>
          <w:rFonts w:ascii="Times New Roman" w:hAnsi="Times New Roman" w:cs="Times New Roman"/>
          <w:i/>
          <w:sz w:val="22"/>
        </w:rPr>
        <w:t xml:space="preserve">“titular del dominio del inmueble en que se ejecutó una obra y que realiza a cualquier </w:t>
      </w:r>
      <w:r w:rsidR="00E348EA" w:rsidRPr="00FB3592">
        <w:rPr>
          <w:rFonts w:ascii="Times New Roman" w:hAnsi="Times New Roman" w:cs="Times New Roman"/>
          <w:i/>
          <w:sz w:val="22"/>
        </w:rPr>
        <w:t>título</w:t>
      </w:r>
      <w:r w:rsidRPr="00FB3592">
        <w:rPr>
          <w:rFonts w:ascii="Times New Roman" w:hAnsi="Times New Roman" w:cs="Times New Roman"/>
          <w:i/>
          <w:sz w:val="22"/>
        </w:rPr>
        <w:t>, después de su recepción definitiva, la primera enajenación de la totalidad o de cada una de las unidades vendibles”.</w:t>
      </w:r>
    </w:p>
  </w:footnote>
  <w:footnote w:id="2">
    <w:p w14:paraId="7E5D042F" w14:textId="43DCBBD0" w:rsidR="002E22FB" w:rsidRPr="002E22FB" w:rsidRDefault="002E22FB" w:rsidP="00F844D8">
      <w:pPr>
        <w:pStyle w:val="Textonotapie"/>
        <w:jc w:val="both"/>
        <w:rPr>
          <w:rFonts w:ascii="Times New Roman" w:hAnsi="Times New Roman" w:cs="Times New Roman"/>
          <w:sz w:val="22"/>
        </w:rPr>
      </w:pPr>
      <w:r w:rsidRPr="00F844D8">
        <w:rPr>
          <w:rStyle w:val="Refdenotaalpie"/>
          <w:rFonts w:ascii="Times New Roman" w:hAnsi="Times New Roman" w:cs="Times New Roman"/>
          <w:sz w:val="22"/>
        </w:rPr>
        <w:footnoteRef/>
      </w:r>
      <w:r w:rsidRPr="00F844D8">
        <w:rPr>
          <w:rFonts w:ascii="Times New Roman" w:hAnsi="Times New Roman" w:cs="Times New Roman"/>
          <w:sz w:val="22"/>
        </w:rPr>
        <w:t xml:space="preserve"> </w:t>
      </w:r>
      <w:r w:rsidRPr="00F844D8">
        <w:rPr>
          <w:rFonts w:ascii="Times New Roman" w:hAnsi="Times New Roman" w:cs="Times New Roman"/>
          <w:smallCaps/>
          <w:sz w:val="22"/>
          <w:szCs w:val="22"/>
          <w:lang w:val="es-ES_tradnl"/>
        </w:rPr>
        <w:t xml:space="preserve">Corral </w:t>
      </w:r>
      <w:proofErr w:type="spellStart"/>
      <w:r w:rsidRPr="00F844D8">
        <w:rPr>
          <w:rFonts w:ascii="Times New Roman" w:hAnsi="Times New Roman" w:cs="Times New Roman"/>
          <w:smallCaps/>
          <w:sz w:val="22"/>
          <w:szCs w:val="22"/>
          <w:lang w:val="es-ES_tradnl"/>
        </w:rPr>
        <w:t>Talciani</w:t>
      </w:r>
      <w:proofErr w:type="spellEnd"/>
      <w:r w:rsidRPr="00F844D8">
        <w:rPr>
          <w:rFonts w:ascii="Times New Roman" w:hAnsi="Times New Roman" w:cs="Times New Roman"/>
          <w:sz w:val="22"/>
          <w:lang w:val="es-ES_tradnl"/>
        </w:rPr>
        <w:t xml:space="preserve">, Hernán, </w:t>
      </w:r>
      <w:r w:rsidRPr="00F844D8">
        <w:rPr>
          <w:rFonts w:ascii="Times New Roman" w:hAnsi="Times New Roman" w:cs="Times New Roman"/>
          <w:i/>
          <w:sz w:val="22"/>
          <w:lang w:val="es-ES_tradnl"/>
        </w:rPr>
        <w:t>Responsabilidad civil en la construcción de viviendas. Reflexiones sobre los regímenes legales aplicables a los daños provocados por el terremoto del 27 de febrero de 2010</w:t>
      </w:r>
      <w:r w:rsidRPr="00F844D8">
        <w:rPr>
          <w:rFonts w:ascii="Times New Roman" w:hAnsi="Times New Roman" w:cs="Times New Roman"/>
          <w:sz w:val="22"/>
          <w:lang w:val="es-ES_tradnl"/>
        </w:rPr>
        <w:t xml:space="preserve">, </w:t>
      </w:r>
      <w:r w:rsidRPr="002E22FB">
        <w:rPr>
          <w:rFonts w:ascii="Times New Roman" w:hAnsi="Times New Roman" w:cs="Times New Roman"/>
          <w:sz w:val="22"/>
          <w:lang w:val="es-ES_tradnl"/>
        </w:rPr>
        <w:t xml:space="preserve">en </w:t>
      </w:r>
      <w:r w:rsidRPr="002E22FB">
        <w:rPr>
          <w:rFonts w:ascii="Times New Roman" w:hAnsi="Times New Roman" w:cs="Times New Roman"/>
          <w:i/>
          <w:sz w:val="22"/>
          <w:lang w:val="es-ES_tradnl"/>
        </w:rPr>
        <w:t>Revista Chilena de Derecho</w:t>
      </w:r>
      <w:r w:rsidRPr="002E22FB">
        <w:rPr>
          <w:rFonts w:ascii="Times New Roman" w:hAnsi="Times New Roman" w:cs="Times New Roman"/>
          <w:sz w:val="22"/>
          <w:lang w:val="es-ES_tradnl"/>
        </w:rPr>
        <w:t xml:space="preserve">, </w:t>
      </w:r>
      <w:r>
        <w:rPr>
          <w:rFonts w:ascii="Times New Roman" w:hAnsi="Times New Roman" w:cs="Times New Roman"/>
          <w:sz w:val="22"/>
        </w:rPr>
        <w:t>v</w:t>
      </w:r>
      <w:r w:rsidRPr="002E22FB">
        <w:rPr>
          <w:rFonts w:ascii="Times New Roman" w:hAnsi="Times New Roman" w:cs="Times New Roman"/>
          <w:sz w:val="22"/>
        </w:rPr>
        <w:t>ol. 37, No. 3 (2010), pp. 459-475</w:t>
      </w:r>
    </w:p>
  </w:footnote>
  <w:footnote w:id="3">
    <w:p w14:paraId="31ECCB2F" w14:textId="32A3C65C" w:rsidR="002E22FB" w:rsidRPr="006423A2" w:rsidRDefault="002E22FB" w:rsidP="006423A2">
      <w:pPr>
        <w:pStyle w:val="Textonotapie"/>
        <w:jc w:val="both"/>
        <w:rPr>
          <w:rFonts w:ascii="Times New Roman" w:hAnsi="Times New Roman" w:cs="Times New Roman"/>
          <w:lang w:val="es-ES_tradnl"/>
        </w:rPr>
      </w:pPr>
      <w:r w:rsidRPr="006423A2">
        <w:rPr>
          <w:rStyle w:val="Refdenotaalpie"/>
          <w:rFonts w:ascii="Times New Roman" w:hAnsi="Times New Roman" w:cs="Times New Roman"/>
          <w:sz w:val="22"/>
        </w:rPr>
        <w:footnoteRef/>
      </w:r>
      <w:r w:rsidRPr="006423A2">
        <w:rPr>
          <w:rFonts w:ascii="Times New Roman" w:hAnsi="Times New Roman" w:cs="Times New Roman"/>
          <w:sz w:val="22"/>
        </w:rPr>
        <w:t xml:space="preserve"> </w:t>
      </w:r>
      <w:r w:rsidRPr="006423A2">
        <w:rPr>
          <w:rFonts w:ascii="Times New Roman" w:hAnsi="Times New Roman" w:cs="Times New Roman"/>
          <w:sz w:val="22"/>
          <w:lang w:val="es-ES_tradnl"/>
        </w:rPr>
        <w:t>No se considera en este punto otros estatutos de responsabilidad aplicables tales como la responsabilidad contractual por vicios redhibitorios propia del contrato de compraventa (arts. 1857 y siguientes del Código Civil), o la responsabilidad administrativa propia de los organismos públicos que intervienen en el proceso de edificación o construcción, tales como la responsabilidad de las Municipalidades a cargo de otorgar permisos de edificación y realizar la recepción de obras. Por otra parte, tampoco se considera el régimen de responsabilidad especial del Código Civil contenido en el artículo 2003, en cuanto en dicho caso es necesario probar que el edificio perezca o amenace ruina, en todo o en parte, por un vicio de construcción, del suelo o de los materiales. En este caso no es necesario que el edificio se haya venido abajo, tan sólo es necesario que exista una potencial o inminente ruina de carácter físico, y que tenga como consecuencia la inutilidad del edificio acorde al fin por el que fue construido.</w:t>
      </w:r>
    </w:p>
  </w:footnote>
  <w:footnote w:id="4">
    <w:p w14:paraId="04E8DE8E" w14:textId="72DCC8C2" w:rsidR="002E22FB" w:rsidRPr="002E22FB" w:rsidRDefault="002E22FB" w:rsidP="002E22FB">
      <w:pPr>
        <w:jc w:val="both"/>
        <w:rPr>
          <w:rFonts w:ascii="Times New Roman" w:eastAsia="Times New Roman" w:hAnsi="Times New Roman" w:cs="Times New Roman"/>
          <w:sz w:val="22"/>
          <w:szCs w:val="22"/>
        </w:rPr>
      </w:pPr>
      <w:r w:rsidRPr="002E22FB">
        <w:rPr>
          <w:rStyle w:val="Refdenotaalpie"/>
          <w:rFonts w:ascii="Times New Roman" w:hAnsi="Times New Roman" w:cs="Times New Roman"/>
          <w:sz w:val="22"/>
          <w:szCs w:val="22"/>
        </w:rPr>
        <w:footnoteRef/>
      </w:r>
      <w:r w:rsidRPr="002E22FB">
        <w:rPr>
          <w:rFonts w:ascii="Times New Roman" w:hAnsi="Times New Roman" w:cs="Times New Roman"/>
          <w:sz w:val="22"/>
          <w:szCs w:val="22"/>
        </w:rPr>
        <w:t xml:space="preserve"> </w:t>
      </w:r>
      <w:r w:rsidRPr="002E22FB">
        <w:rPr>
          <w:rFonts w:ascii="Times New Roman" w:hAnsi="Times New Roman" w:cs="Times New Roman"/>
          <w:sz w:val="22"/>
          <w:szCs w:val="22"/>
          <w:lang w:val="es-ES_tradnl"/>
        </w:rPr>
        <w:t>Plazos modificados por</w:t>
      </w:r>
      <w:r w:rsidRPr="002E22FB">
        <w:rPr>
          <w:rFonts w:ascii="Times New Roman" w:eastAsia="Times New Roman" w:hAnsi="Times New Roman" w:cs="Times New Roman"/>
          <w:color w:val="000000"/>
          <w:sz w:val="22"/>
          <w:szCs w:val="22"/>
          <w:shd w:val="clear" w:color="auto" w:fill="FFFFFF"/>
        </w:rPr>
        <w:t xml:space="preserve"> la Ley Nº 19.472, conocida como Ley de “</w:t>
      </w:r>
      <w:r w:rsidRPr="002E22FB">
        <w:rPr>
          <w:rFonts w:ascii="Times New Roman" w:eastAsia="Times New Roman" w:hAnsi="Times New Roman" w:cs="Times New Roman"/>
          <w:iCs/>
          <w:color w:val="000000"/>
          <w:sz w:val="22"/>
          <w:szCs w:val="22"/>
        </w:rPr>
        <w:t>Calidad de la Construcción</w:t>
      </w:r>
      <w:r w:rsidRPr="002E22FB">
        <w:rPr>
          <w:rFonts w:ascii="Times New Roman" w:eastAsia="Times New Roman" w:hAnsi="Times New Roman" w:cs="Times New Roman"/>
          <w:color w:val="000000"/>
          <w:sz w:val="22"/>
          <w:szCs w:val="22"/>
          <w:shd w:val="clear" w:color="auto" w:fill="FFFFFF"/>
        </w:rPr>
        <w:t xml:space="preserve">”, publicada en el Diario Oficial de 16 de Septiembre de 1996, comenzando a regir el día 17 de Diciembre del mismo año. </w:t>
      </w:r>
    </w:p>
  </w:footnote>
  <w:footnote w:id="5">
    <w:p w14:paraId="5176833F" w14:textId="77777777" w:rsidR="002E22FB" w:rsidRPr="00952BC0" w:rsidRDefault="002E22FB" w:rsidP="002E22FB">
      <w:pPr>
        <w:pStyle w:val="Textonotapie"/>
        <w:jc w:val="both"/>
        <w:rPr>
          <w:rFonts w:ascii="Times New Roman" w:hAnsi="Times New Roman" w:cs="Times New Roman"/>
          <w:lang w:val="es-ES_tradnl"/>
        </w:rPr>
      </w:pPr>
      <w:r w:rsidRPr="002E22FB">
        <w:rPr>
          <w:rStyle w:val="Refdenotaalpie"/>
          <w:rFonts w:ascii="Times New Roman" w:hAnsi="Times New Roman" w:cs="Times New Roman"/>
          <w:sz w:val="22"/>
          <w:szCs w:val="22"/>
        </w:rPr>
        <w:footnoteRef/>
      </w:r>
      <w:r w:rsidRPr="002E22FB">
        <w:rPr>
          <w:rFonts w:ascii="Times New Roman" w:hAnsi="Times New Roman" w:cs="Times New Roman"/>
          <w:sz w:val="22"/>
          <w:szCs w:val="22"/>
        </w:rPr>
        <w:t xml:space="preserve"> </w:t>
      </w:r>
      <w:r w:rsidRPr="002E22FB">
        <w:rPr>
          <w:rFonts w:ascii="Times New Roman" w:hAnsi="Times New Roman" w:cs="Times New Roman"/>
          <w:sz w:val="22"/>
          <w:szCs w:val="22"/>
          <w:lang w:val="es-ES_tradnl"/>
        </w:rPr>
        <w:t>El artículo 2 de la Ordenanza General de Urbanismo</w:t>
      </w:r>
      <w:r w:rsidRPr="00952BC0">
        <w:rPr>
          <w:rFonts w:ascii="Times New Roman" w:hAnsi="Times New Roman" w:cs="Times New Roman"/>
          <w:sz w:val="22"/>
          <w:lang w:val="es-ES_tradnl"/>
        </w:rPr>
        <w:t xml:space="preserve"> y Construcciones define “elemento estructural” como “todo elemento resistente orgánico de una construcción, como cimientos, muros soportantes, suelos, pilares, techumbres, torres y otros análogos”.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81F2D" w14:textId="136C17B1" w:rsidR="002E22FB" w:rsidRDefault="002E22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88289" w14:textId="3B35A0F1" w:rsidR="002E22FB" w:rsidRDefault="002E22FB" w:rsidP="00F742EA">
    <w:pPr>
      <w:pStyle w:val="Encabezado"/>
      <w:tabs>
        <w:tab w:val="clear" w:pos="4252"/>
        <w:tab w:val="clear" w:pos="8504"/>
        <w:tab w:val="left" w:pos="554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317AA" w14:textId="34D5A87C" w:rsidR="002E22FB" w:rsidRDefault="002E22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11AE6"/>
    <w:multiLevelType w:val="hybridMultilevel"/>
    <w:tmpl w:val="21FAE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1B0500"/>
    <w:multiLevelType w:val="hybridMultilevel"/>
    <w:tmpl w:val="9BCA0D46"/>
    <w:lvl w:ilvl="0" w:tplc="03ECB2D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55"/>
    <w:rsid w:val="000342E1"/>
    <w:rsid w:val="00083A67"/>
    <w:rsid w:val="00243F48"/>
    <w:rsid w:val="002806F0"/>
    <w:rsid w:val="002E22FB"/>
    <w:rsid w:val="002F70FD"/>
    <w:rsid w:val="003A59EA"/>
    <w:rsid w:val="003B1BD6"/>
    <w:rsid w:val="003B3835"/>
    <w:rsid w:val="003D226C"/>
    <w:rsid w:val="00417CA2"/>
    <w:rsid w:val="00471840"/>
    <w:rsid w:val="00577C39"/>
    <w:rsid w:val="006423A2"/>
    <w:rsid w:val="007C633F"/>
    <w:rsid w:val="008176EC"/>
    <w:rsid w:val="00820C3A"/>
    <w:rsid w:val="00876F6C"/>
    <w:rsid w:val="008B3D17"/>
    <w:rsid w:val="00952BC0"/>
    <w:rsid w:val="00957255"/>
    <w:rsid w:val="00971FD5"/>
    <w:rsid w:val="009D7296"/>
    <w:rsid w:val="009E543D"/>
    <w:rsid w:val="00A96EF3"/>
    <w:rsid w:val="00AD7F1A"/>
    <w:rsid w:val="00B1286E"/>
    <w:rsid w:val="00B55780"/>
    <w:rsid w:val="00B65E69"/>
    <w:rsid w:val="00C86D21"/>
    <w:rsid w:val="00CA45A0"/>
    <w:rsid w:val="00CA6ECE"/>
    <w:rsid w:val="00CD113F"/>
    <w:rsid w:val="00CD26A9"/>
    <w:rsid w:val="00D03A18"/>
    <w:rsid w:val="00D07D8D"/>
    <w:rsid w:val="00D355AE"/>
    <w:rsid w:val="00E15BCC"/>
    <w:rsid w:val="00E34443"/>
    <w:rsid w:val="00E348EA"/>
    <w:rsid w:val="00F57940"/>
    <w:rsid w:val="00F73AE1"/>
    <w:rsid w:val="00F742EA"/>
    <w:rsid w:val="00F844D8"/>
    <w:rsid w:val="00FB068A"/>
    <w:rsid w:val="00FB359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3ECABB"/>
  <w14:defaultImageDpi w14:val="300"/>
  <w15:docId w15:val="{FF4E9561-5AA3-4EFC-B757-5DFAE0EF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95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957255"/>
    <w:rPr>
      <w:rFonts w:ascii="Courier" w:hAnsi="Courier" w:cs="Courier"/>
      <w:sz w:val="20"/>
      <w:szCs w:val="20"/>
    </w:rPr>
  </w:style>
  <w:style w:type="paragraph" w:styleId="Prrafodelista">
    <w:name w:val="List Paragraph"/>
    <w:basedOn w:val="Normal"/>
    <w:uiPriority w:val="34"/>
    <w:qFormat/>
    <w:rsid w:val="003A59EA"/>
    <w:pPr>
      <w:ind w:left="720"/>
      <w:contextualSpacing/>
    </w:pPr>
  </w:style>
  <w:style w:type="paragraph" w:styleId="Encabezado">
    <w:name w:val="header"/>
    <w:basedOn w:val="Normal"/>
    <w:link w:val="EncabezadoCar"/>
    <w:uiPriority w:val="99"/>
    <w:unhideWhenUsed/>
    <w:rsid w:val="00F742EA"/>
    <w:pPr>
      <w:tabs>
        <w:tab w:val="center" w:pos="4252"/>
        <w:tab w:val="right" w:pos="8504"/>
      </w:tabs>
    </w:pPr>
  </w:style>
  <w:style w:type="character" w:customStyle="1" w:styleId="EncabezadoCar">
    <w:name w:val="Encabezado Car"/>
    <w:basedOn w:val="Fuentedeprrafopredeter"/>
    <w:link w:val="Encabezado"/>
    <w:uiPriority w:val="99"/>
    <w:rsid w:val="00F742EA"/>
  </w:style>
  <w:style w:type="paragraph" w:styleId="Piedepgina">
    <w:name w:val="footer"/>
    <w:basedOn w:val="Normal"/>
    <w:link w:val="PiedepginaCar"/>
    <w:uiPriority w:val="99"/>
    <w:unhideWhenUsed/>
    <w:rsid w:val="00F742EA"/>
    <w:pPr>
      <w:tabs>
        <w:tab w:val="center" w:pos="4252"/>
        <w:tab w:val="right" w:pos="8504"/>
      </w:tabs>
    </w:pPr>
  </w:style>
  <w:style w:type="character" w:customStyle="1" w:styleId="PiedepginaCar">
    <w:name w:val="Pie de página Car"/>
    <w:basedOn w:val="Fuentedeprrafopredeter"/>
    <w:link w:val="Piedepgina"/>
    <w:uiPriority w:val="99"/>
    <w:rsid w:val="00F742EA"/>
  </w:style>
  <w:style w:type="character" w:styleId="Nmerodepgina">
    <w:name w:val="page number"/>
    <w:basedOn w:val="Fuentedeprrafopredeter"/>
    <w:uiPriority w:val="99"/>
    <w:semiHidden/>
    <w:unhideWhenUsed/>
    <w:rsid w:val="00F742EA"/>
  </w:style>
  <w:style w:type="paragraph" w:styleId="Textonotapie">
    <w:name w:val="footnote text"/>
    <w:basedOn w:val="Normal"/>
    <w:link w:val="TextonotapieCar"/>
    <w:uiPriority w:val="99"/>
    <w:unhideWhenUsed/>
    <w:rsid w:val="00F844D8"/>
  </w:style>
  <w:style w:type="character" w:customStyle="1" w:styleId="TextonotapieCar">
    <w:name w:val="Texto nota pie Car"/>
    <w:basedOn w:val="Fuentedeprrafopredeter"/>
    <w:link w:val="Textonotapie"/>
    <w:uiPriority w:val="99"/>
    <w:rsid w:val="00F844D8"/>
  </w:style>
  <w:style w:type="character" w:styleId="Refdenotaalpie">
    <w:name w:val="footnote reference"/>
    <w:basedOn w:val="Fuentedeprrafopredeter"/>
    <w:uiPriority w:val="99"/>
    <w:unhideWhenUsed/>
    <w:rsid w:val="00F844D8"/>
    <w:rPr>
      <w:vertAlign w:val="superscript"/>
    </w:rPr>
  </w:style>
  <w:style w:type="character" w:styleId="nfasis">
    <w:name w:val="Emphasis"/>
    <w:basedOn w:val="Fuentedeprrafopredeter"/>
    <w:uiPriority w:val="20"/>
    <w:qFormat/>
    <w:rsid w:val="002E22FB"/>
    <w:rPr>
      <w:i/>
      <w:iCs/>
    </w:rPr>
  </w:style>
  <w:style w:type="paragraph" w:styleId="Textodeglobo">
    <w:name w:val="Balloon Text"/>
    <w:basedOn w:val="Normal"/>
    <w:link w:val="TextodegloboCar"/>
    <w:uiPriority w:val="99"/>
    <w:semiHidden/>
    <w:unhideWhenUsed/>
    <w:rsid w:val="00C8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6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07927">
      <w:bodyDiv w:val="1"/>
      <w:marLeft w:val="0"/>
      <w:marRight w:val="0"/>
      <w:marTop w:val="0"/>
      <w:marBottom w:val="0"/>
      <w:divBdr>
        <w:top w:val="none" w:sz="0" w:space="0" w:color="auto"/>
        <w:left w:val="none" w:sz="0" w:space="0" w:color="auto"/>
        <w:bottom w:val="none" w:sz="0" w:space="0" w:color="auto"/>
        <w:right w:val="none" w:sz="0" w:space="0" w:color="auto"/>
      </w:divBdr>
    </w:div>
    <w:div w:id="854877532">
      <w:bodyDiv w:val="1"/>
      <w:marLeft w:val="0"/>
      <w:marRight w:val="0"/>
      <w:marTop w:val="0"/>
      <w:marBottom w:val="0"/>
      <w:divBdr>
        <w:top w:val="none" w:sz="0" w:space="0" w:color="auto"/>
        <w:left w:val="none" w:sz="0" w:space="0" w:color="auto"/>
        <w:bottom w:val="none" w:sz="0" w:space="0" w:color="auto"/>
        <w:right w:val="none" w:sz="0" w:space="0" w:color="auto"/>
      </w:divBdr>
    </w:div>
    <w:div w:id="1061490197">
      <w:bodyDiv w:val="1"/>
      <w:marLeft w:val="0"/>
      <w:marRight w:val="0"/>
      <w:marTop w:val="0"/>
      <w:marBottom w:val="0"/>
      <w:divBdr>
        <w:top w:val="none" w:sz="0" w:space="0" w:color="auto"/>
        <w:left w:val="none" w:sz="0" w:space="0" w:color="auto"/>
        <w:bottom w:val="none" w:sz="0" w:space="0" w:color="auto"/>
        <w:right w:val="none" w:sz="0" w:space="0" w:color="auto"/>
      </w:divBdr>
    </w:div>
    <w:div w:id="1110128978">
      <w:bodyDiv w:val="1"/>
      <w:marLeft w:val="0"/>
      <w:marRight w:val="0"/>
      <w:marTop w:val="0"/>
      <w:marBottom w:val="0"/>
      <w:divBdr>
        <w:top w:val="none" w:sz="0" w:space="0" w:color="auto"/>
        <w:left w:val="none" w:sz="0" w:space="0" w:color="auto"/>
        <w:bottom w:val="none" w:sz="0" w:space="0" w:color="auto"/>
        <w:right w:val="none" w:sz="0" w:space="0" w:color="auto"/>
      </w:divBdr>
    </w:div>
    <w:div w:id="1213688080">
      <w:bodyDiv w:val="1"/>
      <w:marLeft w:val="0"/>
      <w:marRight w:val="0"/>
      <w:marTop w:val="0"/>
      <w:marBottom w:val="0"/>
      <w:divBdr>
        <w:top w:val="none" w:sz="0" w:space="0" w:color="auto"/>
        <w:left w:val="none" w:sz="0" w:space="0" w:color="auto"/>
        <w:bottom w:val="none" w:sz="0" w:space="0" w:color="auto"/>
        <w:right w:val="none" w:sz="0" w:space="0" w:color="auto"/>
      </w:divBdr>
    </w:div>
    <w:div w:id="1283879928">
      <w:bodyDiv w:val="1"/>
      <w:marLeft w:val="0"/>
      <w:marRight w:val="0"/>
      <w:marTop w:val="0"/>
      <w:marBottom w:val="0"/>
      <w:divBdr>
        <w:top w:val="none" w:sz="0" w:space="0" w:color="auto"/>
        <w:left w:val="none" w:sz="0" w:space="0" w:color="auto"/>
        <w:bottom w:val="none" w:sz="0" w:space="0" w:color="auto"/>
        <w:right w:val="none" w:sz="0" w:space="0" w:color="auto"/>
      </w:divBdr>
    </w:div>
    <w:div w:id="1634213613">
      <w:bodyDiv w:val="1"/>
      <w:marLeft w:val="0"/>
      <w:marRight w:val="0"/>
      <w:marTop w:val="0"/>
      <w:marBottom w:val="0"/>
      <w:divBdr>
        <w:top w:val="none" w:sz="0" w:space="0" w:color="auto"/>
        <w:left w:val="none" w:sz="0" w:space="0" w:color="auto"/>
        <w:bottom w:val="none" w:sz="0" w:space="0" w:color="auto"/>
        <w:right w:val="none" w:sz="0" w:space="0" w:color="auto"/>
      </w:divBdr>
    </w:div>
    <w:div w:id="1904948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D27E8-CFA1-414D-A3DC-EDD58A70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954</Words>
  <Characters>5252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Eduardo Faúndez</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Faúndez</dc:creator>
  <cp:keywords/>
  <dc:description/>
  <cp:lastModifiedBy>Leonardo Lueiza Ureta</cp:lastModifiedBy>
  <cp:revision>10</cp:revision>
  <cp:lastPrinted>2018-08-08T16:18:00Z</cp:lastPrinted>
  <dcterms:created xsi:type="dcterms:W3CDTF">2018-08-08T15:31:00Z</dcterms:created>
  <dcterms:modified xsi:type="dcterms:W3CDTF">2018-08-13T18:56:00Z</dcterms:modified>
</cp:coreProperties>
</file>