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D2" w:rsidRPr="00E51F02" w:rsidRDefault="00E51F02" w:rsidP="00E51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191"/>
        <w:jc w:val="center"/>
        <w:rPr>
          <w:rFonts w:ascii="Palatino Linotype" w:eastAsia="Times New Roman" w:hAnsi="Palatino Linotype" w:cs="Arial"/>
          <w:b/>
          <w:lang w:val="es-CL" w:eastAsia="es-CL"/>
        </w:rPr>
      </w:pPr>
      <w:r w:rsidRPr="00E51F02">
        <w:rPr>
          <w:rFonts w:ascii="Palatino Linotype" w:eastAsia="Times New Roman" w:hAnsi="Palatino Linotype" w:cs="Arial"/>
          <w:b/>
          <w:lang w:val="es-CL" w:eastAsia="es-CL"/>
        </w:rPr>
        <w:t>Determina el sentido y alcance del decreto ley N° 321, de 1925, que Establece la libertad condicional para los penados, respecto de los condenados por los delitos previstos en la ley N° 20.357</w:t>
      </w:r>
    </w:p>
    <w:p w:rsidR="00E51F02" w:rsidRDefault="00E51F02" w:rsidP="00E51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alatino Linotype" w:eastAsia="Times New Roman" w:hAnsi="Palatino Linotype" w:cs="Arial"/>
          <w:b/>
          <w:lang w:val="es-CL" w:eastAsia="es-CL"/>
        </w:rPr>
      </w:pPr>
      <w:r w:rsidRPr="00E51F02">
        <w:rPr>
          <w:rFonts w:ascii="Palatino Linotype" w:eastAsia="Times New Roman" w:hAnsi="Palatino Linotype" w:cs="Arial"/>
          <w:b/>
          <w:lang w:val="es-CL" w:eastAsia="es-CL"/>
        </w:rPr>
        <w:t>Boletín N°12010-07</w:t>
      </w:r>
    </w:p>
    <w:p w:rsidR="00E51F02" w:rsidRPr="00E51F02" w:rsidRDefault="00E51F02" w:rsidP="00E51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alatino Linotype" w:eastAsia="Times New Roman" w:hAnsi="Palatino Linotype" w:cs="Arial"/>
          <w:b/>
          <w:lang w:val="es-CL" w:eastAsia="es-CL"/>
        </w:rPr>
      </w:pPr>
    </w:p>
    <w:p w:rsidR="000B342A" w:rsidRPr="008841E9" w:rsidRDefault="008841E9" w:rsidP="008841E9">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Arial"/>
          <w:b/>
          <w:lang w:val="es-CL" w:eastAsia="es-CL"/>
        </w:rPr>
      </w:pPr>
      <w:r>
        <w:rPr>
          <w:rFonts w:ascii="Palatino Linotype" w:eastAsia="Times New Roman" w:hAnsi="Palatino Linotype" w:cs="Arial"/>
          <w:b/>
          <w:lang w:val="es-CL" w:eastAsia="es-CL"/>
        </w:rPr>
        <w:t xml:space="preserve">ANTECEDENTES Y </w:t>
      </w:r>
      <w:r w:rsidRPr="008841E9">
        <w:rPr>
          <w:rFonts w:ascii="Palatino Linotype" w:eastAsia="Times New Roman" w:hAnsi="Palatino Linotype" w:cs="Arial"/>
          <w:b/>
          <w:lang w:val="es-CL" w:eastAsia="es-CL"/>
        </w:rPr>
        <w:t>FUNDAMENTOS.</w:t>
      </w:r>
    </w:p>
    <w:p w:rsidR="00E173C7" w:rsidRPr="00B94D10" w:rsidRDefault="000B342A"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Arial"/>
          <w:lang w:val="es-CL" w:eastAsia="es-CL"/>
        </w:rPr>
      </w:pPr>
      <w:r w:rsidRPr="00B94D10">
        <w:rPr>
          <w:rFonts w:ascii="Palatino Linotype" w:eastAsia="Times New Roman" w:hAnsi="Palatino Linotype" w:cs="Arial"/>
          <w:lang w:val="es-CL" w:eastAsia="es-CL"/>
        </w:rPr>
        <w:t>1.- Los familiares de las víctimas de</w:t>
      </w:r>
      <w:r w:rsidR="00955596" w:rsidRPr="00B94D10">
        <w:rPr>
          <w:rFonts w:ascii="Palatino Linotype" w:eastAsia="Times New Roman" w:hAnsi="Palatino Linotype" w:cs="Arial"/>
          <w:lang w:val="es-CL" w:eastAsia="es-CL"/>
        </w:rPr>
        <w:t xml:space="preserve"> las graves y sistemáticas</w:t>
      </w:r>
      <w:r w:rsidRPr="00B94D10">
        <w:rPr>
          <w:rFonts w:ascii="Palatino Linotype" w:eastAsia="Times New Roman" w:hAnsi="Palatino Linotype" w:cs="Arial"/>
          <w:lang w:val="es-CL" w:eastAsia="es-CL"/>
        </w:rPr>
        <w:t xml:space="preserve"> violaciones a los derechos humanos cometidas por la dictadura entre el 11 de septiembre de 1973 y el 10 de marzo de 1990 y la sociedad chilena en su conjunto se ha</w:t>
      </w:r>
      <w:r w:rsidR="00955596" w:rsidRPr="00B94D10">
        <w:rPr>
          <w:rFonts w:ascii="Palatino Linotype" w:eastAsia="Times New Roman" w:hAnsi="Palatino Linotype" w:cs="Arial"/>
          <w:lang w:val="es-CL" w:eastAsia="es-CL"/>
        </w:rPr>
        <w:t>n</w:t>
      </w:r>
      <w:r w:rsidRPr="00B94D10">
        <w:rPr>
          <w:rFonts w:ascii="Palatino Linotype" w:eastAsia="Times New Roman" w:hAnsi="Palatino Linotype" w:cs="Arial"/>
          <w:lang w:val="es-CL" w:eastAsia="es-CL"/>
        </w:rPr>
        <w:t xml:space="preserve"> visto conmovida</w:t>
      </w:r>
      <w:r w:rsidR="00955596" w:rsidRPr="00B94D10">
        <w:rPr>
          <w:rFonts w:ascii="Palatino Linotype" w:eastAsia="Times New Roman" w:hAnsi="Palatino Linotype" w:cs="Arial"/>
          <w:lang w:val="es-CL" w:eastAsia="es-CL"/>
        </w:rPr>
        <w:t>s</w:t>
      </w:r>
      <w:r w:rsidR="000F17A0">
        <w:rPr>
          <w:rFonts w:ascii="Palatino Linotype" w:eastAsia="Times New Roman" w:hAnsi="Palatino Linotype" w:cs="Arial"/>
          <w:lang w:val="es-CL" w:eastAsia="es-CL"/>
        </w:rPr>
        <w:t xml:space="preserve"> tras</w:t>
      </w:r>
      <w:r w:rsidRPr="00B94D10">
        <w:rPr>
          <w:rFonts w:ascii="Palatino Linotype" w:eastAsia="Times New Roman" w:hAnsi="Palatino Linotype" w:cs="Arial"/>
          <w:lang w:val="es-CL" w:eastAsia="es-CL"/>
        </w:rPr>
        <w:t xml:space="preserve"> las</w:t>
      </w:r>
      <w:r w:rsidR="00955596" w:rsidRPr="00B94D10">
        <w:rPr>
          <w:rFonts w:ascii="Palatino Linotype" w:eastAsia="Times New Roman" w:hAnsi="Palatino Linotype" w:cs="Arial"/>
          <w:lang w:val="es-CL" w:eastAsia="es-CL"/>
        </w:rPr>
        <w:t xml:space="preserve"> recientes</w:t>
      </w:r>
      <w:r w:rsidRPr="00B94D10">
        <w:rPr>
          <w:rFonts w:ascii="Palatino Linotype" w:eastAsia="Times New Roman" w:hAnsi="Palatino Linotype" w:cs="Arial"/>
          <w:lang w:val="es-CL" w:eastAsia="es-CL"/>
        </w:rPr>
        <w:t xml:space="preserve"> resoluciones de la Corte Suprema</w:t>
      </w:r>
      <w:r w:rsidR="00955596" w:rsidRPr="00B94D10">
        <w:rPr>
          <w:rFonts w:ascii="Palatino Linotype" w:eastAsia="Times New Roman" w:hAnsi="Palatino Linotype" w:cs="Arial"/>
          <w:lang w:val="es-CL" w:eastAsia="es-CL"/>
        </w:rPr>
        <w:t xml:space="preserve"> que</w:t>
      </w:r>
      <w:r w:rsidRPr="00B94D10">
        <w:rPr>
          <w:rFonts w:ascii="Palatino Linotype" w:eastAsia="Times New Roman" w:hAnsi="Palatino Linotype" w:cs="Arial"/>
          <w:lang w:val="es-CL" w:eastAsia="es-CL"/>
        </w:rPr>
        <w:t>, acogiendo recursos de amparo</w:t>
      </w:r>
      <w:r w:rsidR="00C332DF" w:rsidRPr="00B94D10">
        <w:rPr>
          <w:rStyle w:val="Refdenotaalpie"/>
          <w:rFonts w:ascii="Palatino Linotype" w:eastAsia="Times New Roman" w:hAnsi="Palatino Linotype" w:cs="Arial"/>
          <w:lang w:val="es-CL" w:eastAsia="es-CL"/>
        </w:rPr>
        <w:footnoteReference w:id="1"/>
      </w:r>
      <w:r w:rsidRPr="00B94D10">
        <w:rPr>
          <w:rFonts w:ascii="Palatino Linotype" w:eastAsia="Times New Roman" w:hAnsi="Palatino Linotype" w:cs="Arial"/>
          <w:lang w:val="es-CL" w:eastAsia="es-CL"/>
        </w:rPr>
        <w:t>, han dispuesto la libertad condicional de personas condenadas por grav</w:t>
      </w:r>
      <w:r w:rsidR="009043FE" w:rsidRPr="00B94D10">
        <w:rPr>
          <w:rFonts w:ascii="Palatino Linotype" w:eastAsia="Times New Roman" w:hAnsi="Palatino Linotype" w:cs="Arial"/>
          <w:lang w:val="es-CL" w:eastAsia="es-CL"/>
        </w:rPr>
        <w:t>es</w:t>
      </w:r>
      <w:r w:rsidRPr="00B94D10">
        <w:rPr>
          <w:rFonts w:ascii="Palatino Linotype" w:eastAsia="Times New Roman" w:hAnsi="Palatino Linotype" w:cs="Arial"/>
          <w:lang w:val="es-CL" w:eastAsia="es-CL"/>
        </w:rPr>
        <w:t xml:space="preserve"> viol</w:t>
      </w:r>
      <w:r w:rsidR="009043FE" w:rsidRPr="00B94D10">
        <w:rPr>
          <w:rFonts w:ascii="Palatino Linotype" w:eastAsia="Times New Roman" w:hAnsi="Palatino Linotype" w:cs="Arial"/>
          <w:lang w:val="es-CL" w:eastAsia="es-CL"/>
        </w:rPr>
        <w:t>aciones a los derechos humanos</w:t>
      </w:r>
      <w:r w:rsidR="00E173C7" w:rsidRPr="00B94D10">
        <w:rPr>
          <w:rFonts w:ascii="Palatino Linotype" w:eastAsia="Times New Roman" w:hAnsi="Palatino Linotype" w:cs="Arial"/>
          <w:lang w:val="es-CL" w:eastAsia="es-CL"/>
        </w:rPr>
        <w:t xml:space="preserve">. </w:t>
      </w:r>
    </w:p>
    <w:p w:rsidR="00E173C7" w:rsidRPr="00B94D10" w:rsidRDefault="00E173C7"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Arial"/>
          <w:lang w:val="es-CL" w:eastAsia="es-CL"/>
        </w:rPr>
      </w:pPr>
    </w:p>
    <w:p w:rsidR="00FA7ED2" w:rsidRPr="00B94D10" w:rsidRDefault="00E173C7"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r w:rsidRPr="00B94D10">
        <w:rPr>
          <w:rFonts w:ascii="Palatino Linotype" w:eastAsia="Times New Roman" w:hAnsi="Palatino Linotype" w:cs="Arial"/>
          <w:lang w:val="es-CL" w:eastAsia="es-CL"/>
        </w:rPr>
        <w:t>2.- Dicha decisión ha incumplido</w:t>
      </w:r>
      <w:r w:rsidR="00C332DF" w:rsidRPr="00B94D10">
        <w:rPr>
          <w:rFonts w:ascii="Palatino Linotype" w:eastAsia="Times New Roman" w:hAnsi="Palatino Linotype" w:cs="Arial"/>
          <w:lang w:val="es-CL" w:eastAsia="es-CL"/>
        </w:rPr>
        <w:t xml:space="preserve"> </w:t>
      </w:r>
      <w:r w:rsidR="000B342A" w:rsidRPr="00B94D10">
        <w:rPr>
          <w:rFonts w:ascii="Palatino Linotype" w:eastAsia="Times New Roman" w:hAnsi="Palatino Linotype" w:cs="Arial"/>
          <w:lang w:val="es-CL" w:eastAsia="es-CL"/>
        </w:rPr>
        <w:t>los estándares internacionales en la materia</w:t>
      </w:r>
      <w:r w:rsidRPr="00B94D10">
        <w:rPr>
          <w:rFonts w:ascii="Palatino Linotype" w:eastAsia="Times New Roman" w:hAnsi="Palatino Linotype" w:cs="Arial"/>
          <w:lang w:val="es-CL" w:eastAsia="es-CL"/>
        </w:rPr>
        <w:t>,</w:t>
      </w:r>
      <w:r w:rsidR="000B342A" w:rsidRPr="00B94D10">
        <w:rPr>
          <w:rFonts w:ascii="Palatino Linotype" w:eastAsia="Times New Roman" w:hAnsi="Palatino Linotype" w:cs="Arial"/>
          <w:lang w:val="es-CL" w:eastAsia="es-CL"/>
        </w:rPr>
        <w:t xml:space="preserve"> referido al tiempo de cumplimiento de sus condenas</w:t>
      </w:r>
      <w:r w:rsidRPr="00B94D10">
        <w:rPr>
          <w:rFonts w:ascii="Palatino Linotype" w:eastAsia="Times New Roman" w:hAnsi="Palatino Linotype" w:cs="Arial"/>
          <w:lang w:val="es-CL" w:eastAsia="es-CL"/>
        </w:rPr>
        <w:t xml:space="preserve">. El poder judicial chileno debe necesariamente considerar, al momento de aplicar la normativas vigente, la </w:t>
      </w:r>
      <w:r w:rsidR="000B342A" w:rsidRPr="00B94D10">
        <w:rPr>
          <w:rFonts w:ascii="Palatino Linotype" w:hAnsi="Palatino Linotype" w:cs="Arial"/>
          <w:color w:val="212121"/>
          <w:shd w:val="clear" w:color="auto" w:fill="FFFFFF"/>
          <w:lang w:val="es-CL"/>
        </w:rPr>
        <w:t>especial naturaleza de los crímenes por los que están condenadas estas personas</w:t>
      </w:r>
      <w:r w:rsidRPr="00B94D10">
        <w:rPr>
          <w:rFonts w:ascii="Palatino Linotype" w:hAnsi="Palatino Linotype" w:cs="Arial"/>
          <w:color w:val="212121"/>
          <w:shd w:val="clear" w:color="auto" w:fill="FFFFFF"/>
          <w:lang w:val="es-CL"/>
        </w:rPr>
        <w:t>, que recaen sobre</w:t>
      </w:r>
      <w:r w:rsidR="000B342A" w:rsidRPr="00B94D10">
        <w:rPr>
          <w:rFonts w:ascii="Palatino Linotype" w:hAnsi="Palatino Linotype" w:cs="Arial"/>
          <w:color w:val="212121"/>
          <w:shd w:val="clear" w:color="auto" w:fill="FFFFFF"/>
          <w:lang w:val="es-CL"/>
        </w:rPr>
        <w:t xml:space="preserve"> delitos de lesa humanidad (que afectan a la comunidad internacional en su conjunto) distintos a los delitos comunes, por lo que no basta un</w:t>
      </w:r>
      <w:r w:rsidR="00955596" w:rsidRPr="00B94D10">
        <w:rPr>
          <w:rFonts w:ascii="Palatino Linotype" w:hAnsi="Palatino Linotype" w:cs="Arial"/>
          <w:color w:val="212121"/>
          <w:shd w:val="clear" w:color="auto" w:fill="FFFFFF"/>
          <w:lang w:val="es-CL"/>
        </w:rPr>
        <w:t>a mera</w:t>
      </w:r>
      <w:r w:rsidR="000B342A" w:rsidRPr="00B94D10">
        <w:rPr>
          <w:rFonts w:ascii="Palatino Linotype" w:hAnsi="Palatino Linotype" w:cs="Arial"/>
          <w:color w:val="212121"/>
          <w:shd w:val="clear" w:color="auto" w:fill="FFFFFF"/>
          <w:lang w:val="es-CL"/>
        </w:rPr>
        <w:t xml:space="preserve"> verificación de requisitos formales para determinar la procedencia de dichas libertades condicionales, sino que estos requisitos deben ser interpretados a la luz de</w:t>
      </w:r>
      <w:r w:rsidR="009068D6" w:rsidRPr="00B94D10">
        <w:rPr>
          <w:rFonts w:ascii="Palatino Linotype" w:hAnsi="Palatino Linotype" w:cs="Arial"/>
          <w:color w:val="212121"/>
          <w:shd w:val="clear" w:color="auto" w:fill="FFFFFF"/>
          <w:lang w:val="es-CL"/>
        </w:rPr>
        <w:t xml:space="preserve"> los estándares internacionales existentes en la materia.</w:t>
      </w:r>
    </w:p>
    <w:p w:rsidR="00E173C7" w:rsidRPr="00B94D10" w:rsidRDefault="00E173C7"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E173C7" w:rsidRPr="00B94D10" w:rsidRDefault="00E173C7"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Arial"/>
          <w:lang w:val="es-CL" w:eastAsia="es-CL"/>
        </w:rPr>
      </w:pPr>
      <w:r w:rsidRPr="00B94D10">
        <w:rPr>
          <w:rFonts w:ascii="Palatino Linotype" w:hAnsi="Palatino Linotype" w:cs="Arial"/>
          <w:color w:val="212121"/>
          <w:shd w:val="clear" w:color="auto" w:fill="FFFFFF"/>
          <w:lang w:val="es-CL"/>
        </w:rPr>
        <w:t xml:space="preserve">3.- Es justamente esta interpretación la que primó al momento de ser considerados los antecedentes de los penados por </w:t>
      </w:r>
      <w:r w:rsidR="001955A3" w:rsidRPr="00B94D10">
        <w:rPr>
          <w:rFonts w:ascii="Palatino Linotype" w:hAnsi="Palatino Linotype" w:cs="Arial"/>
          <w:color w:val="212121"/>
          <w:shd w:val="clear" w:color="auto" w:fill="FFFFFF"/>
          <w:lang w:val="es-CL"/>
        </w:rPr>
        <w:t>parte de la Comisión de Libertad Condicional</w:t>
      </w:r>
      <w:r w:rsidR="000F17A0">
        <w:rPr>
          <w:rFonts w:ascii="Palatino Linotype" w:hAnsi="Palatino Linotype" w:cs="Arial"/>
          <w:color w:val="212121"/>
          <w:shd w:val="clear" w:color="auto" w:fill="FFFFFF"/>
          <w:lang w:val="es-CL"/>
        </w:rPr>
        <w:t>,</w:t>
      </w:r>
      <w:r w:rsidR="001955A3" w:rsidRPr="00B94D10">
        <w:rPr>
          <w:rFonts w:ascii="Palatino Linotype" w:hAnsi="Palatino Linotype" w:cs="Arial"/>
          <w:color w:val="212121"/>
          <w:shd w:val="clear" w:color="auto" w:fill="FFFFFF"/>
          <w:lang w:val="es-CL"/>
        </w:rPr>
        <w:t xml:space="preserve"> que se constituyó en abril del presente año</w:t>
      </w:r>
      <w:r w:rsidR="000F17A0">
        <w:rPr>
          <w:rFonts w:ascii="Palatino Linotype" w:hAnsi="Palatino Linotype" w:cs="Arial"/>
          <w:color w:val="212121"/>
          <w:shd w:val="clear" w:color="auto" w:fill="FFFFFF"/>
          <w:lang w:val="es-CL"/>
        </w:rPr>
        <w:t>,</w:t>
      </w:r>
      <w:r w:rsidR="001955A3" w:rsidRPr="00B94D10">
        <w:rPr>
          <w:rFonts w:ascii="Palatino Linotype" w:hAnsi="Palatino Linotype" w:cs="Arial"/>
          <w:color w:val="212121"/>
          <w:shd w:val="clear" w:color="auto" w:fill="FFFFFF"/>
          <w:lang w:val="es-CL"/>
        </w:rPr>
        <w:t xml:space="preserve"> cuyo criterio fue adicionado por la Ilustrísima Corte de Apelaciones</w:t>
      </w:r>
      <w:r w:rsidR="00591E5D">
        <w:rPr>
          <w:rFonts w:ascii="Palatino Linotype" w:hAnsi="Palatino Linotype" w:cs="Arial"/>
          <w:color w:val="212121"/>
          <w:shd w:val="clear" w:color="auto" w:fill="FFFFFF"/>
          <w:lang w:val="es-CL"/>
        </w:rPr>
        <w:t>,</w:t>
      </w:r>
      <w:r w:rsidR="001955A3" w:rsidRPr="00B94D10">
        <w:rPr>
          <w:rFonts w:ascii="Palatino Linotype" w:hAnsi="Palatino Linotype" w:cs="Arial"/>
          <w:color w:val="212121"/>
          <w:shd w:val="clear" w:color="auto" w:fill="FFFFFF"/>
          <w:lang w:val="es-CL"/>
        </w:rPr>
        <w:t xml:space="preserve"> que conoció del recurso de amparo seguido en la causa Rol N</w:t>
      </w:r>
      <w:r w:rsidR="000F17A0">
        <w:rPr>
          <w:rFonts w:ascii="Palatino Linotype" w:hAnsi="Palatino Linotype" w:cs="Arial"/>
          <w:color w:val="212121"/>
          <w:shd w:val="clear" w:color="auto" w:fill="FFFFFF"/>
          <w:lang w:val="es-CL"/>
        </w:rPr>
        <w:t>° 1571-</w:t>
      </w:r>
      <w:r w:rsidR="001955A3" w:rsidRPr="00B94D10">
        <w:rPr>
          <w:rFonts w:ascii="Palatino Linotype" w:hAnsi="Palatino Linotype" w:cs="Arial"/>
          <w:color w:val="212121"/>
          <w:shd w:val="clear" w:color="auto" w:fill="FFFFFF"/>
          <w:lang w:val="es-CL"/>
        </w:rPr>
        <w:t>2018, expresando</w:t>
      </w:r>
      <w:r w:rsidR="000F17A0">
        <w:rPr>
          <w:rFonts w:ascii="Palatino Linotype" w:hAnsi="Palatino Linotype" w:cs="Arial"/>
          <w:color w:val="212121"/>
          <w:shd w:val="clear" w:color="auto" w:fill="FFFFFF"/>
          <w:lang w:val="es-CL"/>
        </w:rPr>
        <w:t xml:space="preserve"> que</w:t>
      </w:r>
      <w:r w:rsidR="001955A3" w:rsidRPr="00B94D10">
        <w:rPr>
          <w:rFonts w:ascii="Palatino Linotype" w:hAnsi="Palatino Linotype" w:cs="Arial"/>
          <w:color w:val="212121"/>
          <w:shd w:val="clear" w:color="auto" w:fill="FFFFFF"/>
          <w:lang w:val="es-CL"/>
        </w:rPr>
        <w:t>: “</w:t>
      </w:r>
      <w:r w:rsidR="000F17A0" w:rsidRPr="000F17A0">
        <w:rPr>
          <w:rFonts w:ascii="Palatino Linotype" w:hAnsi="Palatino Linotype" w:cs="Arial"/>
          <w:i/>
          <w:color w:val="212121"/>
          <w:shd w:val="clear" w:color="auto" w:fill="FFFFFF"/>
          <w:lang w:val="es-CL"/>
        </w:rPr>
        <w:t xml:space="preserve">de </w:t>
      </w:r>
      <w:r w:rsidR="001955A3" w:rsidRPr="000F17A0">
        <w:rPr>
          <w:rFonts w:ascii="Palatino Linotype" w:hAnsi="Palatino Linotype" w:cs="Arial"/>
          <w:i/>
          <w:color w:val="212121"/>
          <w:shd w:val="clear" w:color="auto" w:fill="FFFFFF"/>
          <w:lang w:val="es-CL"/>
        </w:rPr>
        <w:t>acuerdo al mandato constitucional dispuesto en el inciso 2° del artículo 5° de la Constitución Política de la República, siendo deber de los órganos del estado promover tales derechos</w:t>
      </w:r>
      <w:r w:rsidR="001955A3" w:rsidRPr="000F17A0">
        <w:rPr>
          <w:rFonts w:ascii="Palatino Linotype" w:hAnsi="Palatino Linotype" w:cs="Arial"/>
          <w:b/>
          <w:i/>
          <w:color w:val="212121"/>
          <w:u w:val="single"/>
          <w:shd w:val="clear" w:color="auto" w:fill="FFFFFF"/>
          <w:lang w:val="es-CL"/>
        </w:rPr>
        <w:t>, no es posible otorgar al amparado el mismo tratamiento que a los condenados por delitos comunes</w:t>
      </w:r>
      <w:r w:rsidR="001955A3" w:rsidRPr="000F17A0">
        <w:rPr>
          <w:rFonts w:ascii="Palatino Linotype" w:hAnsi="Palatino Linotype" w:cs="Arial"/>
          <w:i/>
          <w:color w:val="212121"/>
          <w:shd w:val="clear" w:color="auto" w:fill="FFFFFF"/>
          <w:lang w:val="es-CL"/>
        </w:rPr>
        <w:t xml:space="preserve">. En este sentido, no basta con que cumpla con las exigencias que establece </w:t>
      </w:r>
      <w:r w:rsidR="001955A3" w:rsidRPr="000F17A0">
        <w:rPr>
          <w:rFonts w:ascii="Palatino Linotype" w:hAnsi="Palatino Linotype" w:cs="Arial"/>
          <w:b/>
          <w:i/>
          <w:color w:val="212121"/>
          <w:u w:val="single"/>
          <w:shd w:val="clear" w:color="auto" w:fill="FFFFFF"/>
          <w:lang w:val="es-CL"/>
        </w:rPr>
        <w:t>el DL N° 321, consideraciones mínimas para ser postulados en Lista 1 por el Tribunal de Conducta respectivo</w:t>
      </w:r>
      <w:r w:rsidR="001955A3" w:rsidRPr="000F17A0">
        <w:rPr>
          <w:rFonts w:ascii="Palatino Linotype" w:hAnsi="Palatino Linotype" w:cs="Arial"/>
          <w:i/>
          <w:color w:val="212121"/>
          <w:shd w:val="clear" w:color="auto" w:fill="FFFFFF"/>
          <w:lang w:val="es-CL"/>
        </w:rPr>
        <w:t>. En efecto, tal como señala el informe de la Comisión recurrida, no amerita la concesión del beneficio a su respecto puesto que su informe psicosocial da cuenta que no tiene conciencia del delito ni tampoco ha adoptado una actitud abierta al cambio, fundamento suficiente para desestimar la arbitrariedad</w:t>
      </w:r>
      <w:r w:rsidR="001955A3" w:rsidRPr="00B94D10">
        <w:rPr>
          <w:rFonts w:ascii="Palatino Linotype" w:hAnsi="Palatino Linotype" w:cs="Arial"/>
          <w:color w:val="212121"/>
          <w:shd w:val="clear" w:color="auto" w:fill="FFFFFF"/>
          <w:lang w:val="es-CL"/>
        </w:rPr>
        <w:t>”</w:t>
      </w:r>
    </w:p>
    <w:p w:rsidR="009068D6" w:rsidRPr="00B94D10" w:rsidRDefault="009068D6"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0F17A0" w:rsidRDefault="00C50A81"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i/>
          <w:color w:val="212121"/>
          <w:shd w:val="clear" w:color="auto" w:fill="FFFFFF"/>
          <w:lang w:val="es-CL"/>
        </w:rPr>
      </w:pPr>
      <w:r w:rsidRPr="00B94D10">
        <w:rPr>
          <w:rFonts w:ascii="Palatino Linotype" w:hAnsi="Palatino Linotype" w:cs="Arial"/>
          <w:color w:val="212121"/>
          <w:shd w:val="clear" w:color="auto" w:fill="FFFFFF"/>
          <w:lang w:val="es-CL"/>
        </w:rPr>
        <w:t>4.-</w:t>
      </w:r>
      <w:r w:rsidR="00E173C7" w:rsidRPr="00B94D10">
        <w:rPr>
          <w:rFonts w:ascii="Palatino Linotype" w:hAnsi="Palatino Linotype" w:cs="Arial"/>
          <w:color w:val="212121"/>
          <w:shd w:val="clear" w:color="auto" w:fill="FFFFFF"/>
          <w:lang w:val="es-CL"/>
        </w:rPr>
        <w:t xml:space="preserve"> </w:t>
      </w:r>
      <w:r w:rsidRPr="00B94D10">
        <w:rPr>
          <w:rFonts w:ascii="Palatino Linotype" w:hAnsi="Palatino Linotype" w:cs="Arial"/>
          <w:color w:val="212121"/>
          <w:shd w:val="clear" w:color="auto" w:fill="FFFFFF"/>
          <w:lang w:val="es-CL"/>
        </w:rPr>
        <w:t xml:space="preserve">Sin perjuicio de lo anterior, las consideraciones adoptadas por la Sala Penal de la Corte Suprema, rompen con dicho criterio e interpretan de modo distinto las normas </w:t>
      </w:r>
      <w:r w:rsidRPr="00B94D10">
        <w:rPr>
          <w:rFonts w:ascii="Palatino Linotype" w:hAnsi="Palatino Linotype" w:cs="Arial"/>
          <w:color w:val="212121"/>
          <w:shd w:val="clear" w:color="auto" w:fill="FFFFFF"/>
          <w:lang w:val="es-CL"/>
        </w:rPr>
        <w:lastRenderedPageBreak/>
        <w:t xml:space="preserve">internacionales, señalando que </w:t>
      </w:r>
      <w:r w:rsidRPr="000F17A0">
        <w:rPr>
          <w:rFonts w:ascii="Palatino Linotype" w:hAnsi="Palatino Linotype" w:cs="Arial"/>
          <w:i/>
          <w:color w:val="212121"/>
          <w:shd w:val="clear" w:color="auto" w:fill="FFFFFF"/>
          <w:lang w:val="es-CL"/>
        </w:rPr>
        <w:t xml:space="preserve">“(a)un cuando el párrafo 3° del artículo 110 del Estatuto de Roma establece restricciones para la reducción de la pena a quienes hayan sido condenados, entre otros, por crímenes de lesa humanidad -como se califica el cometido por el amparado-, </w:t>
      </w:r>
      <w:r w:rsidRPr="000F17A0">
        <w:rPr>
          <w:rFonts w:ascii="Palatino Linotype" w:hAnsi="Palatino Linotype" w:cs="Arial"/>
          <w:b/>
          <w:i/>
          <w:color w:val="212121"/>
          <w:shd w:val="clear" w:color="auto" w:fill="FFFFFF"/>
          <w:lang w:val="es-CL"/>
        </w:rPr>
        <w:t>tales limitaciones rigen sólo para la rebaja de sanciones impuestas por la Corte Penal Internacional</w:t>
      </w:r>
      <w:r w:rsidRPr="000F17A0">
        <w:rPr>
          <w:rFonts w:ascii="Palatino Linotype" w:hAnsi="Palatino Linotype" w:cs="Arial"/>
          <w:i/>
          <w:color w:val="212121"/>
          <w:shd w:val="clear" w:color="auto" w:fill="FFFFFF"/>
          <w:lang w:val="es-CL"/>
        </w:rPr>
        <w:t xml:space="preserve"> establecida por dicho Estatuto, lo que, huelga aclarar, no se ajusta al caso sub lite</w:t>
      </w:r>
      <w:r w:rsidR="000F17A0">
        <w:rPr>
          <w:rFonts w:ascii="Palatino Linotype" w:hAnsi="Palatino Linotype" w:cs="Arial"/>
          <w:i/>
          <w:color w:val="212121"/>
          <w:shd w:val="clear" w:color="auto" w:fill="FFFFFF"/>
          <w:lang w:val="es-CL"/>
        </w:rPr>
        <w:t xml:space="preserve">”. </w:t>
      </w:r>
    </w:p>
    <w:p w:rsidR="000F17A0" w:rsidRDefault="000F17A0"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i/>
          <w:color w:val="212121"/>
          <w:shd w:val="clear" w:color="auto" w:fill="FFFFFF"/>
          <w:lang w:val="es-CL"/>
        </w:rPr>
      </w:pPr>
    </w:p>
    <w:p w:rsidR="00C50A81" w:rsidRPr="00B94D10" w:rsidRDefault="00C50A81"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i/>
          <w:color w:val="212121"/>
          <w:shd w:val="clear" w:color="auto" w:fill="FFFFFF"/>
          <w:lang w:val="es-CL"/>
        </w:rPr>
      </w:pPr>
      <w:r w:rsidRPr="00B94D10">
        <w:rPr>
          <w:rFonts w:ascii="Palatino Linotype" w:hAnsi="Palatino Linotype" w:cs="Arial"/>
          <w:color w:val="212121"/>
          <w:shd w:val="clear" w:color="auto" w:fill="FFFFFF"/>
          <w:lang w:val="es-CL"/>
        </w:rPr>
        <w:t>5.- Cabe reiterar, que los organismos internacionales han sido inequívocos en esta materia y han reiterado el sentido de los estándares internacionales en materia de beneficios penitenciarios a condenados por delitos de lesa humanidad. Es así, que la Corte Interamericana de Derechos Humanos considera “</w:t>
      </w:r>
      <w:r w:rsidRPr="00B94D10">
        <w:rPr>
          <w:rFonts w:ascii="Palatino Linotype" w:hAnsi="Palatino Linotype" w:cs="Arial"/>
          <w:i/>
          <w:color w:val="212121"/>
          <w:shd w:val="clear" w:color="auto" w:fill="FFFFFF"/>
          <w:lang w:val="es-ES"/>
        </w:rPr>
        <w:t xml:space="preserve">sin excluir ninguna categoría de condenados, que el Estado deberá ponderar la aplicación de estos beneficios cuando se trate de la comisión de violaciones graves de derechos humanos, como en el presente caso, pues su otorgamiento indebido puede eventualmente conducir a una forma de </w:t>
      </w:r>
      <w:r w:rsidRPr="00BB0FB4">
        <w:rPr>
          <w:rFonts w:ascii="Palatino Linotype" w:hAnsi="Palatino Linotype" w:cs="Arial"/>
          <w:b/>
          <w:i/>
          <w:color w:val="212121"/>
          <w:shd w:val="clear" w:color="auto" w:fill="FFFFFF"/>
          <w:lang w:val="es-ES"/>
        </w:rPr>
        <w:t>impunidad</w:t>
      </w:r>
      <w:r w:rsidRPr="00B94D10">
        <w:rPr>
          <w:rFonts w:ascii="Palatino Linotype" w:hAnsi="Palatino Linotype" w:cs="Arial"/>
          <w:i/>
          <w:color w:val="212121"/>
          <w:shd w:val="clear" w:color="auto" w:fill="FFFFFF"/>
          <w:lang w:val="es-ES"/>
        </w:rPr>
        <w:t xml:space="preserve"> (…)</w:t>
      </w:r>
      <w:r w:rsidRPr="00B94D10">
        <w:rPr>
          <w:rStyle w:val="Refdenotaalpie"/>
          <w:rFonts w:ascii="Palatino Linotype" w:hAnsi="Palatino Linotype" w:cs="Arial"/>
          <w:i/>
          <w:color w:val="212121"/>
          <w:shd w:val="clear" w:color="auto" w:fill="FFFFFF"/>
          <w:lang w:val="es-ES"/>
        </w:rPr>
        <w:footnoteReference w:id="2"/>
      </w:r>
      <w:r w:rsidRPr="00B94D10">
        <w:rPr>
          <w:rFonts w:ascii="Palatino Linotype" w:hAnsi="Palatino Linotype" w:cs="Arial"/>
          <w:i/>
          <w:color w:val="212121"/>
          <w:shd w:val="clear" w:color="auto" w:fill="FFFFFF"/>
          <w:lang w:val="es-ES"/>
        </w:rPr>
        <w:t>” y que “(e)l</w:t>
      </w:r>
      <w:r w:rsidRPr="00B94D10">
        <w:rPr>
          <w:rFonts w:ascii="Palatino Linotype" w:hAnsi="Palatino Linotype" w:cs="Arial"/>
          <w:i/>
          <w:iCs/>
          <w:color w:val="212121"/>
          <w:shd w:val="clear" w:color="auto" w:fill="FFFFFF"/>
          <w:lang w:val="es-ES_tradnl"/>
        </w:rPr>
        <w:t xml:space="preserve"> </w:t>
      </w:r>
      <w:r w:rsidRPr="00B94D10">
        <w:rPr>
          <w:rFonts w:ascii="Palatino Linotype" w:hAnsi="Palatino Linotype" w:cs="Arial"/>
          <w:i/>
          <w:color w:val="212121"/>
          <w:shd w:val="clear" w:color="auto" w:fill="FFFFFF"/>
          <w:lang w:val="es-ES_tradnl"/>
        </w:rPr>
        <w:t xml:space="preserve">otorgamiento indebido de estos beneficios puede eventualmente conducir a una forma de impunidad, </w:t>
      </w:r>
      <w:r w:rsidRPr="00BB0FB4">
        <w:rPr>
          <w:rFonts w:ascii="Palatino Linotype" w:hAnsi="Palatino Linotype" w:cs="Arial"/>
          <w:b/>
          <w:i/>
          <w:color w:val="212121"/>
          <w:shd w:val="clear" w:color="auto" w:fill="FFFFFF"/>
          <w:lang w:val="es-ES_tradnl"/>
        </w:rPr>
        <w:t>particularmente cuando se trate de la comisión de violaciones graves de derechos humanos, como en el presente caso</w:t>
      </w:r>
      <w:r w:rsidRPr="00B94D10">
        <w:rPr>
          <w:rFonts w:ascii="Palatino Linotype" w:hAnsi="Palatino Linotype" w:cs="Arial"/>
          <w:i/>
          <w:color w:val="212121"/>
          <w:shd w:val="clear" w:color="auto" w:fill="FFFFFF"/>
          <w:vertAlign w:val="superscript"/>
          <w:lang w:val="es-ES_tradnl"/>
        </w:rPr>
        <w:footnoteReference w:id="3"/>
      </w:r>
      <w:r w:rsidRPr="00B94D10">
        <w:rPr>
          <w:rFonts w:ascii="Palatino Linotype" w:hAnsi="Palatino Linotype" w:cs="Arial"/>
          <w:i/>
          <w:color w:val="212121"/>
          <w:shd w:val="clear" w:color="auto" w:fill="FFFFFF"/>
          <w:lang w:val="es-ES_tradnl"/>
        </w:rPr>
        <w:t xml:space="preserve"> (…)”</w:t>
      </w:r>
    </w:p>
    <w:p w:rsidR="00C50A81" w:rsidRPr="00B94D10" w:rsidRDefault="00C50A81"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i/>
          <w:color w:val="212121"/>
          <w:shd w:val="clear" w:color="auto" w:fill="FFFFFF"/>
          <w:lang w:val="es-ES_tradnl"/>
        </w:rPr>
      </w:pPr>
    </w:p>
    <w:p w:rsidR="00FB35F9" w:rsidRPr="00B94D10" w:rsidRDefault="00FB35F9"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r w:rsidRPr="00B94D10">
        <w:rPr>
          <w:rFonts w:ascii="Palatino Linotype" w:hAnsi="Palatino Linotype" w:cs="Arial"/>
          <w:color w:val="212121"/>
          <w:shd w:val="clear" w:color="auto" w:fill="FFFFFF"/>
          <w:lang w:val="es-CL"/>
        </w:rPr>
        <w:t>6.- “</w:t>
      </w:r>
      <w:r w:rsidRPr="00B94D10">
        <w:rPr>
          <w:rFonts w:ascii="Palatino Linotype" w:hAnsi="Palatino Linotype" w:cs="Arial"/>
          <w:i/>
          <w:color w:val="212121"/>
          <w:shd w:val="clear" w:color="auto" w:fill="FFFFFF"/>
          <w:lang w:val="es-CL"/>
        </w:rPr>
        <w:t>En esta misma línea se sitúa la Constitución chilena, que en su artículo 1o., inciso final, establece el deber del Estado de “promover la integración armónica de todos los sectores de la nación y asegurar el derecho de las personas a participar con igualdad de oportunidades en la vida nacional”, lo que se refuerza con el artículo 5o., inciso 2 que establece el deber de los órganos del Estado de “respetar y promover los derechos esenciales o fundamentales garantizados por la Constitución, así como por los tratados internacionales ratificados por Chile y que se encuentran vigentes</w:t>
      </w:r>
      <w:r w:rsidRPr="00B94D10">
        <w:rPr>
          <w:rFonts w:ascii="Palatino Linotype" w:hAnsi="Palatino Linotype" w:cs="Arial"/>
          <w:color w:val="212121"/>
          <w:shd w:val="clear" w:color="auto" w:fill="FFFFFF"/>
          <w:lang w:val="es-CL"/>
        </w:rPr>
        <w:t xml:space="preserve"> </w:t>
      </w:r>
      <w:r w:rsidRPr="00B94D10">
        <w:rPr>
          <w:rFonts w:ascii="Palatino Linotype" w:hAnsi="Palatino Linotype" w:cs="Arial"/>
          <w:i/>
          <w:color w:val="212121"/>
          <w:shd w:val="clear" w:color="auto" w:fill="FFFFFF"/>
          <w:lang w:val="es-CL"/>
        </w:rPr>
        <w:t xml:space="preserve">(…) </w:t>
      </w:r>
      <w:r w:rsidRPr="00B94D10">
        <w:rPr>
          <w:rFonts w:ascii="Palatino Linotype" w:hAnsi="Palatino Linotype" w:cs="Arial"/>
          <w:b/>
          <w:i/>
          <w:color w:val="212121"/>
          <w:shd w:val="clear" w:color="auto" w:fill="FFFFFF"/>
          <w:lang w:val="es-CL"/>
        </w:rPr>
        <w:t>La promoción de los derechos fundamentales que constituye un deber de todos los órganos del Estado, incluido el Poder Judicial,</w:t>
      </w:r>
      <w:r w:rsidRPr="00B94D10">
        <w:rPr>
          <w:rFonts w:ascii="Palatino Linotype" w:hAnsi="Palatino Linotype" w:cs="Arial"/>
          <w:i/>
          <w:color w:val="212121"/>
          <w:shd w:val="clear" w:color="auto" w:fill="FFFFFF"/>
          <w:lang w:val="es-CL"/>
        </w:rPr>
        <w:t xml:space="preserve"> además del gobierno, el Congreso, el Tribunal Constitucional, vale decir, todos los revestidos de calidad de órganos estatales, deben desarrollar las acciones que remuevan los obstáculos que impiden el desarrollo de los derechos, por todos los medios que están a su alcance dentro de su ámbito competencia (…)”</w:t>
      </w:r>
      <w:r w:rsidR="00B94D10" w:rsidRPr="00B94D10">
        <w:rPr>
          <w:rStyle w:val="Refdenotaalpie"/>
          <w:rFonts w:ascii="Palatino Linotype" w:hAnsi="Palatino Linotype" w:cs="Arial"/>
          <w:i/>
          <w:color w:val="212121"/>
          <w:shd w:val="clear" w:color="auto" w:fill="FFFFFF"/>
          <w:lang w:val="es-CL"/>
        </w:rPr>
        <w:footnoteReference w:id="4"/>
      </w:r>
    </w:p>
    <w:p w:rsidR="00B70895" w:rsidRPr="00B94D10" w:rsidRDefault="00B70895"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B70895" w:rsidRPr="00B94D10" w:rsidRDefault="00B70895"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r w:rsidRPr="00B94D10">
        <w:rPr>
          <w:rFonts w:ascii="Palatino Linotype" w:hAnsi="Palatino Linotype" w:cs="Arial"/>
          <w:color w:val="212121"/>
          <w:shd w:val="clear" w:color="auto" w:fill="FFFFFF"/>
          <w:lang w:val="es-CL"/>
        </w:rPr>
        <w:t xml:space="preserve">7.- En consecuencia, </w:t>
      </w:r>
      <w:r w:rsidRPr="00B94D10">
        <w:rPr>
          <w:rFonts w:ascii="Palatino Linotype" w:hAnsi="Palatino Linotype" w:cs="Arial"/>
          <w:i/>
          <w:color w:val="212121"/>
          <w:shd w:val="clear" w:color="auto" w:fill="FFFFFF"/>
          <w:lang w:val="es-CL"/>
        </w:rPr>
        <w:t>“(l)os Convenios o Tratados Internacionales deben ser interpretados y aplicados de acuerdo con las reglas generales de cumplimiento del Derecho Internacional y de buena fe (</w:t>
      </w:r>
      <w:proofErr w:type="spellStart"/>
      <w:r w:rsidRPr="00B94D10">
        <w:rPr>
          <w:rFonts w:ascii="Palatino Linotype" w:hAnsi="Palatino Linotype" w:cs="Arial"/>
          <w:i/>
          <w:color w:val="212121"/>
          <w:shd w:val="clear" w:color="auto" w:fill="FFFFFF"/>
          <w:lang w:val="es-CL"/>
        </w:rPr>
        <w:t>bonna</w:t>
      </w:r>
      <w:proofErr w:type="spellEnd"/>
      <w:r w:rsidRPr="00B94D10">
        <w:rPr>
          <w:rFonts w:ascii="Palatino Linotype" w:hAnsi="Palatino Linotype" w:cs="Arial"/>
          <w:i/>
          <w:color w:val="212121"/>
          <w:shd w:val="clear" w:color="auto" w:fill="FFFFFF"/>
          <w:lang w:val="es-CL"/>
        </w:rPr>
        <w:t xml:space="preserve"> fide), (pacta </w:t>
      </w:r>
      <w:proofErr w:type="spellStart"/>
      <w:r w:rsidRPr="00B94D10">
        <w:rPr>
          <w:rFonts w:ascii="Palatino Linotype" w:hAnsi="Palatino Linotype" w:cs="Arial"/>
          <w:i/>
          <w:color w:val="212121"/>
          <w:shd w:val="clear" w:color="auto" w:fill="FFFFFF"/>
          <w:lang w:val="es-CL"/>
        </w:rPr>
        <w:t>sunt</w:t>
      </w:r>
      <w:proofErr w:type="spellEnd"/>
      <w:r w:rsidRPr="00B94D10">
        <w:rPr>
          <w:rFonts w:ascii="Palatino Linotype" w:hAnsi="Palatino Linotype" w:cs="Arial"/>
          <w:i/>
          <w:color w:val="212121"/>
          <w:shd w:val="clear" w:color="auto" w:fill="FFFFFF"/>
          <w:lang w:val="es-CL"/>
        </w:rPr>
        <w:t xml:space="preserve"> </w:t>
      </w:r>
      <w:proofErr w:type="spellStart"/>
      <w:r w:rsidRPr="00B94D10">
        <w:rPr>
          <w:rFonts w:ascii="Palatino Linotype" w:hAnsi="Palatino Linotype" w:cs="Arial"/>
          <w:i/>
          <w:color w:val="212121"/>
          <w:shd w:val="clear" w:color="auto" w:fill="FFFFFF"/>
          <w:lang w:val="es-CL"/>
        </w:rPr>
        <w:t>servanda</w:t>
      </w:r>
      <w:proofErr w:type="spellEnd"/>
      <w:r w:rsidRPr="00B94D10">
        <w:rPr>
          <w:rFonts w:ascii="Palatino Linotype" w:hAnsi="Palatino Linotype" w:cs="Arial"/>
          <w:i/>
          <w:color w:val="212121"/>
          <w:shd w:val="clear" w:color="auto" w:fill="FFFFFF"/>
          <w:lang w:val="es-CL"/>
        </w:rPr>
        <w:t xml:space="preserve">), regla de Derecho Internacional que se consideran </w:t>
      </w:r>
      <w:proofErr w:type="spellStart"/>
      <w:r w:rsidRPr="00B94D10">
        <w:rPr>
          <w:rFonts w:ascii="Palatino Linotype" w:hAnsi="Palatino Linotype" w:cs="Arial"/>
          <w:i/>
          <w:color w:val="212121"/>
          <w:shd w:val="clear" w:color="auto" w:fill="FFFFFF"/>
          <w:lang w:val="es-CL"/>
        </w:rPr>
        <w:t>ius</w:t>
      </w:r>
      <w:proofErr w:type="spellEnd"/>
      <w:r w:rsidRPr="00B94D10">
        <w:rPr>
          <w:rFonts w:ascii="Palatino Linotype" w:hAnsi="Palatino Linotype" w:cs="Arial"/>
          <w:i/>
          <w:color w:val="212121"/>
          <w:shd w:val="clear" w:color="auto" w:fill="FFFFFF"/>
          <w:lang w:val="es-CL"/>
        </w:rPr>
        <w:t xml:space="preserve"> </w:t>
      </w:r>
      <w:proofErr w:type="spellStart"/>
      <w:r w:rsidRPr="00B94D10">
        <w:rPr>
          <w:rFonts w:ascii="Palatino Linotype" w:hAnsi="Palatino Linotype" w:cs="Arial"/>
          <w:i/>
          <w:color w:val="212121"/>
          <w:shd w:val="clear" w:color="auto" w:fill="FFFFFF"/>
          <w:lang w:val="es-CL"/>
        </w:rPr>
        <w:t>cogens</w:t>
      </w:r>
      <w:proofErr w:type="spellEnd"/>
      <w:r w:rsidRPr="00B94D10">
        <w:rPr>
          <w:rFonts w:ascii="Palatino Linotype" w:hAnsi="Palatino Linotype" w:cs="Arial"/>
          <w:i/>
          <w:color w:val="212121"/>
          <w:shd w:val="clear" w:color="auto" w:fill="FFFFFF"/>
          <w:lang w:val="es-CL"/>
        </w:rPr>
        <w:t xml:space="preserve">, y además Derecho Consuetudinario Internacional, sin perjuicio de encontrarse también estipuladas en la Convención de Viena sobre Derecho de los Tratados, el que se encuentra vigente en nuestro país </w:t>
      </w:r>
      <w:r w:rsidRPr="00B94D10">
        <w:rPr>
          <w:rFonts w:ascii="Palatino Linotype" w:hAnsi="Palatino Linotype" w:cs="Arial"/>
          <w:i/>
          <w:color w:val="212121"/>
          <w:shd w:val="clear" w:color="auto" w:fill="FFFFFF"/>
          <w:lang w:val="es-CL"/>
        </w:rPr>
        <w:lastRenderedPageBreak/>
        <w:t>desde el 9 de abril de 1981, y establece en su artículo 27</w:t>
      </w:r>
      <w:r w:rsidRPr="00B94D10">
        <w:rPr>
          <w:rStyle w:val="Refdenotaalpie"/>
          <w:rFonts w:ascii="Palatino Linotype" w:hAnsi="Palatino Linotype" w:cs="Arial"/>
          <w:i/>
          <w:color w:val="212121"/>
          <w:shd w:val="clear" w:color="auto" w:fill="FFFFFF"/>
          <w:lang w:val="es-CL"/>
        </w:rPr>
        <w:footnoteReference w:id="5"/>
      </w:r>
      <w:r w:rsidRPr="00B94D10">
        <w:rPr>
          <w:rFonts w:ascii="Palatino Linotype" w:hAnsi="Palatino Linotype" w:cs="Arial"/>
          <w:i/>
          <w:color w:val="212121"/>
          <w:shd w:val="clear" w:color="auto" w:fill="FFFFFF"/>
          <w:lang w:val="es-CL"/>
        </w:rPr>
        <w:t xml:space="preserve"> que el Estado </w:t>
      </w:r>
      <w:r w:rsidRPr="00B94D10">
        <w:rPr>
          <w:rFonts w:ascii="Palatino Linotype" w:hAnsi="Palatino Linotype" w:cs="Arial"/>
          <w:b/>
          <w:i/>
          <w:color w:val="212121"/>
          <w:shd w:val="clear" w:color="auto" w:fill="FFFFFF"/>
          <w:lang w:val="es-CL"/>
        </w:rPr>
        <w:t>no puede invocar su propio Derecho Interno para eludir sus obligaciones internacionales, de hacerlo comete un hecho ilícito que compromete la responsabilidad internacional del Estado</w:t>
      </w:r>
      <w:r w:rsidRPr="00B94D10">
        <w:rPr>
          <w:rFonts w:ascii="Palatino Linotype" w:hAnsi="Palatino Linotype" w:cs="Arial"/>
          <w:i/>
          <w:color w:val="212121"/>
          <w:shd w:val="clear" w:color="auto" w:fill="FFFFFF"/>
          <w:lang w:val="es-CL"/>
        </w:rPr>
        <w:t>. A su vez, el artículo 31 de la misma Convención que codifica una norma de Derecho Consuetudinario Internacional, establece que un "Tratado debe interpretarse de buena fe conforme al sentido corriente que haya de atribuirse a los términos del tratado en el contexto de éstos y ten</w:t>
      </w:r>
      <w:r w:rsidR="001705C7">
        <w:rPr>
          <w:rFonts w:ascii="Palatino Linotype" w:hAnsi="Palatino Linotype" w:cs="Arial"/>
          <w:i/>
          <w:color w:val="212121"/>
          <w:shd w:val="clear" w:color="auto" w:fill="FFFFFF"/>
          <w:lang w:val="es-CL"/>
        </w:rPr>
        <w:t>iendo en cuenta su objeto y fin</w:t>
      </w:r>
      <w:r w:rsidRPr="00B94D10">
        <w:rPr>
          <w:rFonts w:ascii="Palatino Linotype" w:hAnsi="Palatino Linotype" w:cs="Arial"/>
          <w:color w:val="212121"/>
          <w:shd w:val="clear" w:color="auto" w:fill="FFFFFF"/>
          <w:lang w:val="es-CL"/>
        </w:rPr>
        <w:t>"</w:t>
      </w:r>
      <w:r w:rsidR="001705C7">
        <w:rPr>
          <w:rFonts w:ascii="Palatino Linotype" w:hAnsi="Palatino Linotype" w:cs="Arial"/>
          <w:color w:val="212121"/>
          <w:shd w:val="clear" w:color="auto" w:fill="FFFFFF"/>
          <w:lang w:val="es-CL"/>
        </w:rPr>
        <w:t>.</w:t>
      </w:r>
      <w:r w:rsidRPr="00B94D10">
        <w:rPr>
          <w:rStyle w:val="Refdenotaalpie"/>
          <w:rFonts w:ascii="Palatino Linotype" w:hAnsi="Palatino Linotype" w:cs="Arial"/>
          <w:color w:val="212121"/>
          <w:shd w:val="clear" w:color="auto" w:fill="FFFFFF"/>
          <w:lang w:val="es-CL"/>
        </w:rPr>
        <w:footnoteReference w:id="6"/>
      </w:r>
    </w:p>
    <w:p w:rsidR="00B70895" w:rsidRPr="00B94D10" w:rsidRDefault="00B70895"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B70895" w:rsidRPr="00B94D10" w:rsidRDefault="00B70895"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r w:rsidRPr="00B94D10">
        <w:rPr>
          <w:rFonts w:ascii="Palatino Linotype" w:hAnsi="Palatino Linotype" w:cs="Arial"/>
          <w:color w:val="212121"/>
          <w:shd w:val="clear" w:color="auto" w:fill="FFFFFF"/>
          <w:lang w:val="es-CL"/>
        </w:rPr>
        <w:t xml:space="preserve">8.- Al respecto, </w:t>
      </w:r>
      <w:r w:rsidR="00333922" w:rsidRPr="00B94D10">
        <w:rPr>
          <w:rFonts w:ascii="Palatino Linotype" w:hAnsi="Palatino Linotype" w:cs="Arial"/>
          <w:color w:val="212121"/>
          <w:shd w:val="clear" w:color="auto" w:fill="FFFFFF"/>
          <w:lang w:val="es-CL"/>
        </w:rPr>
        <w:t>cabe destacar que los hechos que se busca evitar que puedan reiterarse en el Estado de Chile, no dicen relación con tratados internacionales de intercambios recíprocos, sino de Convenciones</w:t>
      </w:r>
      <w:r w:rsidR="001705C7">
        <w:rPr>
          <w:rFonts w:ascii="Palatino Linotype" w:hAnsi="Palatino Linotype" w:cs="Arial"/>
          <w:color w:val="212121"/>
          <w:shd w:val="clear" w:color="auto" w:fill="FFFFFF"/>
          <w:lang w:val="es-CL"/>
        </w:rPr>
        <w:t xml:space="preserve"> Internacionales</w:t>
      </w:r>
      <w:r w:rsidR="00333922" w:rsidRPr="00B94D10">
        <w:rPr>
          <w:rFonts w:ascii="Palatino Linotype" w:hAnsi="Palatino Linotype" w:cs="Arial"/>
          <w:color w:val="212121"/>
          <w:shd w:val="clear" w:color="auto" w:fill="FFFFFF"/>
          <w:lang w:val="es-CL"/>
        </w:rPr>
        <w:t xml:space="preserve"> y Tratados </w:t>
      </w:r>
      <w:r w:rsidR="001705C7">
        <w:rPr>
          <w:rFonts w:ascii="Palatino Linotype" w:hAnsi="Palatino Linotype" w:cs="Arial"/>
          <w:color w:val="212121"/>
          <w:shd w:val="clear" w:color="auto" w:fill="FFFFFF"/>
          <w:lang w:val="es-CL"/>
        </w:rPr>
        <w:t xml:space="preserve">Internacionales </w:t>
      </w:r>
      <w:r w:rsidR="00333922" w:rsidRPr="00B94D10">
        <w:rPr>
          <w:rFonts w:ascii="Palatino Linotype" w:hAnsi="Palatino Linotype" w:cs="Arial"/>
          <w:color w:val="212121"/>
          <w:shd w:val="clear" w:color="auto" w:fill="FFFFFF"/>
          <w:lang w:val="es-CL"/>
        </w:rPr>
        <w:t>que han sido suscritos y ratificados sobre derechos humanos</w:t>
      </w:r>
      <w:r w:rsidR="001705C7">
        <w:rPr>
          <w:rFonts w:ascii="Palatino Linotype" w:hAnsi="Palatino Linotype" w:cs="Arial"/>
          <w:color w:val="212121"/>
          <w:shd w:val="clear" w:color="auto" w:fill="FFFFFF"/>
          <w:lang w:val="es-CL"/>
        </w:rPr>
        <w:t xml:space="preserve"> y crímenes de lesa humanidad</w:t>
      </w:r>
      <w:r w:rsidR="00333922" w:rsidRPr="00B94D10">
        <w:rPr>
          <w:rFonts w:ascii="Palatino Linotype" w:hAnsi="Palatino Linotype" w:cs="Arial"/>
          <w:color w:val="212121"/>
          <w:shd w:val="clear" w:color="auto" w:fill="FFFFFF"/>
          <w:lang w:val="es-CL"/>
        </w:rPr>
        <w:t xml:space="preserve">, es decir, derechos inherentes a </w:t>
      </w:r>
      <w:r w:rsidR="000F17A0">
        <w:rPr>
          <w:rFonts w:ascii="Palatino Linotype" w:hAnsi="Palatino Linotype" w:cs="Arial"/>
          <w:color w:val="212121"/>
          <w:shd w:val="clear" w:color="auto" w:fill="FFFFFF"/>
          <w:lang w:val="es-CL"/>
        </w:rPr>
        <w:t>todas las personas de</w:t>
      </w:r>
      <w:r w:rsidR="00333922" w:rsidRPr="00B94D10">
        <w:rPr>
          <w:rFonts w:ascii="Palatino Linotype" w:hAnsi="Palatino Linotype" w:cs="Arial"/>
          <w:color w:val="212121"/>
          <w:shd w:val="clear" w:color="auto" w:fill="FFFFFF"/>
          <w:lang w:val="es-CL"/>
        </w:rPr>
        <w:t xml:space="preserve"> </w:t>
      </w:r>
      <w:r w:rsidR="001705C7">
        <w:rPr>
          <w:rFonts w:ascii="Palatino Linotype" w:hAnsi="Palatino Linotype" w:cs="Arial"/>
          <w:color w:val="212121"/>
          <w:shd w:val="clear" w:color="auto" w:fill="FFFFFF"/>
          <w:lang w:val="es-CL"/>
        </w:rPr>
        <w:t>todos los</w:t>
      </w:r>
      <w:r w:rsidR="00333922" w:rsidRPr="00B94D10">
        <w:rPr>
          <w:rFonts w:ascii="Palatino Linotype" w:hAnsi="Palatino Linotype" w:cs="Arial"/>
          <w:color w:val="212121"/>
          <w:shd w:val="clear" w:color="auto" w:fill="FFFFFF"/>
          <w:lang w:val="es-CL"/>
        </w:rPr>
        <w:t xml:space="preserve"> Estado en razón de </w:t>
      </w:r>
      <w:r w:rsidR="000F17A0">
        <w:rPr>
          <w:rFonts w:ascii="Palatino Linotype" w:hAnsi="Palatino Linotype" w:cs="Arial"/>
          <w:color w:val="212121"/>
          <w:shd w:val="clear" w:color="auto" w:fill="FFFFFF"/>
          <w:lang w:val="es-CL"/>
        </w:rPr>
        <w:t>su</w:t>
      </w:r>
      <w:r w:rsidR="00333922" w:rsidRPr="00B94D10">
        <w:rPr>
          <w:rFonts w:ascii="Palatino Linotype" w:hAnsi="Palatino Linotype" w:cs="Arial"/>
          <w:color w:val="212121"/>
          <w:shd w:val="clear" w:color="auto" w:fill="FFFFFF"/>
          <w:lang w:val="es-CL"/>
        </w:rPr>
        <w:t xml:space="preserve"> dignidad. Así lo ha entendido la Corte Interamericana</w:t>
      </w:r>
      <w:r w:rsidR="000F17A0">
        <w:rPr>
          <w:rFonts w:ascii="Palatino Linotype" w:hAnsi="Palatino Linotype" w:cs="Arial"/>
          <w:color w:val="212121"/>
          <w:shd w:val="clear" w:color="auto" w:fill="FFFFFF"/>
          <w:lang w:val="es-CL"/>
        </w:rPr>
        <w:t xml:space="preserve"> de Derechos Humanos, refiriendo que</w:t>
      </w:r>
      <w:r w:rsidR="00333922" w:rsidRPr="00B94D10">
        <w:rPr>
          <w:rFonts w:ascii="Palatino Linotype" w:hAnsi="Palatino Linotype" w:cs="Arial"/>
          <w:color w:val="212121"/>
          <w:shd w:val="clear" w:color="auto" w:fill="FFFFFF"/>
          <w:lang w:val="es-CL"/>
        </w:rPr>
        <w:t xml:space="preserve"> "</w:t>
      </w:r>
      <w:r w:rsidR="00333922" w:rsidRPr="00B94D10">
        <w:rPr>
          <w:rFonts w:ascii="Palatino Linotype" w:hAnsi="Palatino Linotype" w:cs="Arial"/>
          <w:i/>
          <w:color w:val="212121"/>
          <w:shd w:val="clear" w:color="auto" w:fill="FFFFFF"/>
          <w:lang w:val="es-CL"/>
        </w:rPr>
        <w:t xml:space="preserve">no son tratados multilaterales de tipo tradicional concluido en función de un intercambio recíproco de derechos, sino el beneficio mutuo de los Estados contratantes. Su objeto y fin son la protección de los derechos fundamentales de los seres humanos independientes de su nacionalidad, tanto frente a su propio Estado como frente a los otros Estados contratantes. </w:t>
      </w:r>
      <w:r w:rsidR="00333922" w:rsidRPr="00B94D10">
        <w:rPr>
          <w:rFonts w:ascii="Palatino Linotype" w:hAnsi="Palatino Linotype" w:cs="Arial"/>
          <w:b/>
          <w:i/>
          <w:color w:val="212121"/>
          <w:shd w:val="clear" w:color="auto" w:fill="FFFFFF"/>
          <w:lang w:val="es-CL"/>
        </w:rPr>
        <w:t>Al aprobar estos tratados sobre derechos humanos, los Estados se someten a un orden legal dentro del cual ellos, por el bien común, asumen varias obligaciones, no en relación con los Estados, sino hacia los individuos bajo su jurisdicción</w:t>
      </w:r>
      <w:r w:rsidR="00333922" w:rsidRPr="00B94D10">
        <w:rPr>
          <w:rFonts w:ascii="Palatino Linotype" w:hAnsi="Palatino Linotype" w:cs="Arial"/>
          <w:color w:val="212121"/>
          <w:shd w:val="clear" w:color="auto" w:fill="FFFFFF"/>
          <w:lang w:val="es-CL"/>
        </w:rPr>
        <w:t>"</w:t>
      </w:r>
      <w:r w:rsidR="00333922" w:rsidRPr="00B94D10">
        <w:rPr>
          <w:rStyle w:val="Refdenotaalpie"/>
          <w:rFonts w:ascii="Palatino Linotype" w:hAnsi="Palatino Linotype" w:cs="Arial"/>
          <w:color w:val="212121"/>
          <w:shd w:val="clear" w:color="auto" w:fill="FFFFFF"/>
          <w:lang w:val="es-CL"/>
        </w:rPr>
        <w:footnoteReference w:id="7"/>
      </w:r>
      <w:r w:rsidR="00333922" w:rsidRPr="00B94D10">
        <w:rPr>
          <w:rFonts w:ascii="Palatino Linotype" w:hAnsi="Palatino Linotype" w:cs="Arial"/>
          <w:color w:val="212121"/>
          <w:shd w:val="clear" w:color="auto" w:fill="FFFFFF"/>
          <w:lang w:val="es-CL"/>
        </w:rPr>
        <w:t>.</w:t>
      </w:r>
    </w:p>
    <w:p w:rsidR="00333922" w:rsidRPr="00B94D10" w:rsidRDefault="00333922"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333922" w:rsidRPr="00B94D10" w:rsidRDefault="00333922"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r w:rsidRPr="00B94D10">
        <w:rPr>
          <w:rFonts w:ascii="Palatino Linotype" w:hAnsi="Palatino Linotype" w:cs="Arial"/>
          <w:color w:val="212121"/>
          <w:shd w:val="clear" w:color="auto" w:fill="FFFFFF"/>
          <w:lang w:val="es-CL"/>
        </w:rPr>
        <w:t>9.- Lo anterior, resulta de total ilustración para rechazar los</w:t>
      </w:r>
      <w:r w:rsidR="000F17A0">
        <w:rPr>
          <w:rFonts w:ascii="Palatino Linotype" w:hAnsi="Palatino Linotype" w:cs="Arial"/>
          <w:color w:val="212121"/>
          <w:shd w:val="clear" w:color="auto" w:fill="FFFFFF"/>
          <w:lang w:val="es-CL"/>
        </w:rPr>
        <w:t xml:space="preserve"> graves</w:t>
      </w:r>
      <w:r w:rsidRPr="00B94D10">
        <w:rPr>
          <w:rFonts w:ascii="Palatino Linotype" w:hAnsi="Palatino Linotype" w:cs="Arial"/>
          <w:color w:val="212121"/>
          <w:shd w:val="clear" w:color="auto" w:fill="FFFFFF"/>
          <w:lang w:val="es-CL"/>
        </w:rPr>
        <w:t xml:space="preserve"> considerando</w:t>
      </w:r>
      <w:r w:rsidR="00C61824" w:rsidRPr="00B94D10">
        <w:rPr>
          <w:rFonts w:ascii="Palatino Linotype" w:hAnsi="Palatino Linotype" w:cs="Arial"/>
          <w:color w:val="212121"/>
          <w:shd w:val="clear" w:color="auto" w:fill="FFFFFF"/>
          <w:lang w:val="es-CL"/>
        </w:rPr>
        <w:t xml:space="preserve">s que la Sala Penal de la Corte Suprema ha expuesto en las sentencias al otorgar los beneficios penitenciarios a condenados por delitos de lesa humanidad, donde </w:t>
      </w:r>
      <w:r w:rsidR="004B0AE9">
        <w:rPr>
          <w:rFonts w:ascii="Palatino Linotype" w:hAnsi="Palatino Linotype" w:cs="Arial"/>
          <w:color w:val="212121"/>
          <w:shd w:val="clear" w:color="auto" w:fill="FFFFFF"/>
          <w:lang w:val="es-CL"/>
        </w:rPr>
        <w:t>aduce</w:t>
      </w:r>
      <w:r w:rsidR="00C61824" w:rsidRPr="00B94D10">
        <w:rPr>
          <w:rFonts w:ascii="Palatino Linotype" w:hAnsi="Palatino Linotype" w:cs="Arial"/>
          <w:color w:val="212121"/>
          <w:shd w:val="clear" w:color="auto" w:fill="FFFFFF"/>
          <w:lang w:val="es-CL"/>
        </w:rPr>
        <w:t xml:space="preserve"> que “ </w:t>
      </w:r>
      <w:r w:rsidR="00C61824" w:rsidRPr="00B94D10">
        <w:rPr>
          <w:rFonts w:ascii="Palatino Linotype" w:hAnsi="Palatino Linotype" w:cs="Arial"/>
          <w:i/>
          <w:color w:val="212121"/>
          <w:shd w:val="clear" w:color="auto" w:fill="FFFFFF"/>
          <w:lang w:val="es-CL"/>
        </w:rPr>
        <w:t>(…) tampoco se han introducido nuevos requisitos o elementos, en el D.L. N° 321 o en su Reglamento, que deban ponderarse por la Comisión para decidir el otorgamiento de la libertad condicional, similares al previsto en la letra a) del párrafo 4° del artículo 110 del Estatuto de Roma (…)</w:t>
      </w:r>
      <w:r w:rsidR="00C61824" w:rsidRPr="00B94D10">
        <w:rPr>
          <w:rFonts w:ascii="Palatino Linotype" w:hAnsi="Palatino Linotype" w:cs="Arial"/>
          <w:color w:val="212121"/>
          <w:shd w:val="clear" w:color="auto" w:fill="FFFFFF"/>
          <w:lang w:val="es-CL"/>
        </w:rPr>
        <w:t>”,</w:t>
      </w:r>
      <w:r w:rsidR="000F17A0">
        <w:rPr>
          <w:rFonts w:ascii="Palatino Linotype" w:hAnsi="Palatino Linotype" w:cs="Arial"/>
          <w:color w:val="212121"/>
          <w:shd w:val="clear" w:color="auto" w:fill="FFFFFF"/>
          <w:lang w:val="es-CL"/>
        </w:rPr>
        <w:t xml:space="preserve"> agregando “</w:t>
      </w:r>
      <w:r w:rsidR="000F17A0" w:rsidRPr="000F17A0">
        <w:rPr>
          <w:rFonts w:ascii="Palatino Linotype" w:hAnsi="Palatino Linotype" w:cs="Arial"/>
          <w:i/>
          <w:color w:val="212121"/>
          <w:shd w:val="clear" w:color="auto" w:fill="FFFFFF"/>
          <w:lang w:val="es-CL"/>
        </w:rPr>
        <w:t>las restricciones previstas en el artículo 110 del Estatuto de Roma no resultan atingentes para dirimir el otorgamiento de la libertad condicional, siendo necesaria su incorporación por vía legal desde que importan una restricción al derecho a recuperar la libertad ambulatoria que surge del cumplimiento de los requisitos previstos en el artículo 2° del D.L. N° 321, como se desprende de lo prescrito en el artículo 19 N° 7 letra b) de la Constitución Política de la República</w:t>
      </w:r>
      <w:r w:rsidR="000F17A0">
        <w:rPr>
          <w:rFonts w:ascii="Palatino Linotype" w:hAnsi="Palatino Linotype" w:cs="Arial"/>
          <w:color w:val="212121"/>
          <w:shd w:val="clear" w:color="auto" w:fill="FFFFFF"/>
          <w:lang w:val="es-CL"/>
        </w:rPr>
        <w:t xml:space="preserve">”, </w:t>
      </w:r>
      <w:r w:rsidR="00C61824" w:rsidRPr="00B94D10">
        <w:rPr>
          <w:rFonts w:ascii="Palatino Linotype" w:hAnsi="Palatino Linotype" w:cs="Arial"/>
          <w:color w:val="212121"/>
          <w:shd w:val="clear" w:color="auto" w:fill="FFFFFF"/>
          <w:lang w:val="es-CL"/>
        </w:rPr>
        <w:t>obviando</w:t>
      </w:r>
      <w:r w:rsidR="004B0AE9">
        <w:rPr>
          <w:rFonts w:ascii="Palatino Linotype" w:hAnsi="Palatino Linotype" w:cs="Arial"/>
          <w:color w:val="212121"/>
          <w:shd w:val="clear" w:color="auto" w:fill="FFFFFF"/>
          <w:lang w:val="es-CL"/>
        </w:rPr>
        <w:t xml:space="preserve"> expresamente</w:t>
      </w:r>
      <w:r w:rsidR="00C61824" w:rsidRPr="00B94D10">
        <w:rPr>
          <w:rFonts w:ascii="Palatino Linotype" w:hAnsi="Palatino Linotype" w:cs="Arial"/>
          <w:color w:val="212121"/>
          <w:shd w:val="clear" w:color="auto" w:fill="FFFFFF"/>
          <w:lang w:val="es-CL"/>
        </w:rPr>
        <w:t xml:space="preserve"> las obligaciones </w:t>
      </w:r>
      <w:r w:rsidR="004B0AE9">
        <w:rPr>
          <w:rFonts w:ascii="Palatino Linotype" w:hAnsi="Palatino Linotype" w:cs="Arial"/>
          <w:color w:val="212121"/>
          <w:shd w:val="clear" w:color="auto" w:fill="FFFFFF"/>
          <w:lang w:val="es-CL"/>
        </w:rPr>
        <w:t xml:space="preserve">internacionales </w:t>
      </w:r>
      <w:r w:rsidR="00C61824" w:rsidRPr="00B94D10">
        <w:rPr>
          <w:rFonts w:ascii="Palatino Linotype" w:hAnsi="Palatino Linotype" w:cs="Arial"/>
          <w:color w:val="212121"/>
          <w:shd w:val="clear" w:color="auto" w:fill="FFFFFF"/>
          <w:lang w:val="es-CL"/>
        </w:rPr>
        <w:t xml:space="preserve">contraídas </w:t>
      </w:r>
      <w:r w:rsidR="004B0AE9">
        <w:rPr>
          <w:rFonts w:ascii="Palatino Linotype" w:hAnsi="Palatino Linotype" w:cs="Arial"/>
          <w:color w:val="212121"/>
          <w:shd w:val="clear" w:color="auto" w:fill="FFFFFF"/>
          <w:lang w:val="es-CL"/>
        </w:rPr>
        <w:t xml:space="preserve">en la materia </w:t>
      </w:r>
      <w:r w:rsidR="00C61824" w:rsidRPr="00B94D10">
        <w:rPr>
          <w:rFonts w:ascii="Palatino Linotype" w:hAnsi="Palatino Linotype" w:cs="Arial"/>
          <w:color w:val="212121"/>
          <w:shd w:val="clear" w:color="auto" w:fill="FFFFFF"/>
          <w:lang w:val="es-CL"/>
        </w:rPr>
        <w:t xml:space="preserve">y que constituye normativa vigente para el Estado de Chile. </w:t>
      </w:r>
    </w:p>
    <w:p w:rsidR="00C61824" w:rsidRPr="00B94D10" w:rsidRDefault="00C61824"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C61824" w:rsidRPr="00B94D10" w:rsidRDefault="00C61824"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r w:rsidRPr="00B94D10">
        <w:rPr>
          <w:rFonts w:ascii="Palatino Linotype" w:hAnsi="Palatino Linotype" w:cs="Arial"/>
          <w:color w:val="212121"/>
          <w:shd w:val="clear" w:color="auto" w:fill="FFFFFF"/>
          <w:lang w:val="es-CL"/>
        </w:rPr>
        <w:lastRenderedPageBreak/>
        <w:t xml:space="preserve">10. Finalmente, continuando </w:t>
      </w:r>
      <w:r w:rsidR="004B0AE9">
        <w:rPr>
          <w:rFonts w:ascii="Palatino Linotype" w:hAnsi="Palatino Linotype" w:cs="Arial"/>
          <w:color w:val="212121"/>
          <w:shd w:val="clear" w:color="auto" w:fill="FFFFFF"/>
          <w:lang w:val="es-CL"/>
        </w:rPr>
        <w:t>lo expuesto por</w:t>
      </w:r>
      <w:r w:rsidRPr="00B94D10">
        <w:rPr>
          <w:rFonts w:ascii="Palatino Linotype" w:hAnsi="Palatino Linotype" w:cs="Arial"/>
          <w:color w:val="212121"/>
          <w:shd w:val="clear" w:color="auto" w:fill="FFFFFF"/>
          <w:lang w:val="es-CL"/>
        </w:rPr>
        <w:t xml:space="preserve"> el experto en derecho constitucional Humberto Nogueira, “(</w:t>
      </w:r>
      <w:r w:rsidRPr="00B94D10">
        <w:rPr>
          <w:rFonts w:ascii="Palatino Linotype" w:hAnsi="Palatino Linotype" w:cs="Arial"/>
          <w:i/>
          <w:color w:val="212121"/>
          <w:shd w:val="clear" w:color="auto" w:fill="FFFFFF"/>
          <w:lang w:val="es-CL"/>
        </w:rPr>
        <w:t>e)n materia de derechos humanos, el juez debe interpretar los tratados teniendo en cuenta su fin último, que es la protección de los derechos de la persona humana, valor y principio fundamental y clave esencial para la interpretación de todo nuestro ordenamiento constitucional como también lo establece la Constitución Política de la República en sus artículos 1º, 5º inciso 2º y 19 Nº 26, en una interpretación sistemática y finalista. La interpretación de los derechos en la jurisdicción interna no admite desvinculación de la interpretación hecha por la jurisdicción internacional respecto de los derechos asegurados por los convenios o tratados internacionales incorporados al ordenamiento jurídico chileno”</w:t>
      </w:r>
      <w:r w:rsidRPr="00B94D10">
        <w:rPr>
          <w:rStyle w:val="Refdenotaalpie"/>
          <w:rFonts w:ascii="Palatino Linotype" w:hAnsi="Palatino Linotype" w:cs="Arial"/>
          <w:i/>
          <w:color w:val="212121"/>
          <w:shd w:val="clear" w:color="auto" w:fill="FFFFFF"/>
          <w:lang w:val="es-CL"/>
        </w:rPr>
        <w:footnoteReference w:id="8"/>
      </w:r>
    </w:p>
    <w:p w:rsidR="000B342A" w:rsidRPr="00B94D10" w:rsidRDefault="000B342A" w:rsidP="00884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hAnsi="Palatino Linotype" w:cs="Arial"/>
          <w:color w:val="212121"/>
          <w:shd w:val="clear" w:color="auto" w:fill="FFFFFF"/>
          <w:lang w:val="es-CL"/>
        </w:rPr>
      </w:pPr>
    </w:p>
    <w:p w:rsidR="00FB35F9" w:rsidRDefault="008E07DB" w:rsidP="008841E9">
      <w:pPr>
        <w:pStyle w:val="HTMLconformatoprevio"/>
        <w:shd w:val="clear" w:color="auto" w:fill="FFFFFF"/>
        <w:spacing w:line="360" w:lineRule="auto"/>
        <w:jc w:val="both"/>
        <w:rPr>
          <w:rFonts w:ascii="Palatino Linotype" w:hAnsi="Palatino Linotype" w:cs="Arial"/>
          <w:sz w:val="22"/>
          <w:szCs w:val="22"/>
        </w:rPr>
      </w:pPr>
      <w:r>
        <w:rPr>
          <w:rFonts w:ascii="Palatino Linotype" w:hAnsi="Palatino Linotype" w:cs="Arial"/>
          <w:color w:val="212121"/>
          <w:sz w:val="22"/>
          <w:szCs w:val="22"/>
          <w:shd w:val="clear" w:color="auto" w:fill="FFFFFF"/>
        </w:rPr>
        <w:t>11</w:t>
      </w:r>
      <w:r w:rsidR="000B342A" w:rsidRPr="00B94D10">
        <w:rPr>
          <w:rFonts w:ascii="Palatino Linotype" w:hAnsi="Palatino Linotype" w:cs="Arial"/>
          <w:color w:val="212121"/>
          <w:sz w:val="22"/>
          <w:szCs w:val="22"/>
          <w:shd w:val="clear" w:color="auto" w:fill="FFFFFF"/>
        </w:rPr>
        <w:t>-</w:t>
      </w:r>
      <w:r w:rsidR="00A2421D" w:rsidRPr="00B94D10">
        <w:rPr>
          <w:rFonts w:ascii="Palatino Linotype" w:hAnsi="Palatino Linotype" w:cs="Arial"/>
          <w:color w:val="212121"/>
          <w:sz w:val="22"/>
          <w:szCs w:val="22"/>
          <w:shd w:val="clear" w:color="auto" w:fill="FFFFFF"/>
        </w:rPr>
        <w:t xml:space="preserve"> </w:t>
      </w:r>
      <w:r w:rsidR="00D65F85" w:rsidRPr="00B94D10">
        <w:rPr>
          <w:rFonts w:ascii="Palatino Linotype" w:hAnsi="Palatino Linotype" w:cs="Arial"/>
          <w:color w:val="212121"/>
          <w:sz w:val="22"/>
          <w:szCs w:val="22"/>
          <w:shd w:val="clear" w:color="auto" w:fill="FFFFFF"/>
        </w:rPr>
        <w:t>Por consiguiente,</w:t>
      </w:r>
      <w:r w:rsidR="000F17A0">
        <w:rPr>
          <w:rFonts w:ascii="Palatino Linotype" w:hAnsi="Palatino Linotype" w:cs="Arial"/>
          <w:color w:val="212121"/>
          <w:sz w:val="22"/>
          <w:szCs w:val="22"/>
          <w:shd w:val="clear" w:color="auto" w:fill="FFFFFF"/>
        </w:rPr>
        <w:t xml:space="preserve"> resulta</w:t>
      </w:r>
      <w:r w:rsidR="00D65F85" w:rsidRPr="00B94D10">
        <w:rPr>
          <w:rFonts w:ascii="Palatino Linotype" w:hAnsi="Palatino Linotype" w:cs="Arial"/>
          <w:color w:val="212121"/>
          <w:sz w:val="22"/>
          <w:szCs w:val="22"/>
          <w:shd w:val="clear" w:color="auto" w:fill="FFFFFF"/>
        </w:rPr>
        <w:t xml:space="preserve"> </w:t>
      </w:r>
      <w:r w:rsidR="000F17A0" w:rsidRPr="00B94D10">
        <w:rPr>
          <w:rFonts w:ascii="Palatino Linotype" w:hAnsi="Palatino Linotype" w:cs="Arial"/>
          <w:color w:val="212121"/>
          <w:sz w:val="22"/>
          <w:szCs w:val="22"/>
          <w:shd w:val="clear" w:color="auto" w:fill="FFFFFF"/>
        </w:rPr>
        <w:t>urgente evitar que los efectos de los recientes fallos se extiendan a otros casos de gravísimas violaciones a los derechos humanos</w:t>
      </w:r>
      <w:r w:rsidR="00DD7282">
        <w:rPr>
          <w:rFonts w:ascii="Palatino Linotype" w:hAnsi="Palatino Linotype" w:cs="Arial"/>
          <w:color w:val="212121"/>
          <w:sz w:val="22"/>
          <w:szCs w:val="22"/>
          <w:shd w:val="clear" w:color="auto" w:fill="FFFFFF"/>
        </w:rPr>
        <w:t xml:space="preserve">, por lo que es menester </w:t>
      </w:r>
      <w:r w:rsidR="000B342A" w:rsidRPr="00B94D10">
        <w:rPr>
          <w:rFonts w:ascii="Palatino Linotype" w:hAnsi="Palatino Linotype" w:cs="Arial"/>
          <w:color w:val="212121"/>
          <w:sz w:val="22"/>
          <w:szCs w:val="22"/>
          <w:shd w:val="clear" w:color="auto" w:fill="FFFFFF"/>
        </w:rPr>
        <w:t xml:space="preserve">presentar </w:t>
      </w:r>
      <w:r w:rsidR="00DD7282">
        <w:rPr>
          <w:rFonts w:ascii="Palatino Linotype" w:hAnsi="Palatino Linotype" w:cs="Arial"/>
          <w:color w:val="212121"/>
          <w:sz w:val="22"/>
          <w:szCs w:val="22"/>
          <w:shd w:val="clear" w:color="auto" w:fill="FFFFFF"/>
        </w:rPr>
        <w:t>este</w:t>
      </w:r>
      <w:r w:rsidR="000B342A" w:rsidRPr="00B94D10">
        <w:rPr>
          <w:rFonts w:ascii="Palatino Linotype" w:hAnsi="Palatino Linotype" w:cs="Arial"/>
          <w:color w:val="212121"/>
          <w:sz w:val="22"/>
          <w:szCs w:val="22"/>
          <w:shd w:val="clear" w:color="auto" w:fill="FFFFFF"/>
        </w:rPr>
        <w:t xml:space="preserve"> pr</w:t>
      </w:r>
      <w:r w:rsidR="00955596" w:rsidRPr="00B94D10">
        <w:rPr>
          <w:rFonts w:ascii="Palatino Linotype" w:hAnsi="Palatino Linotype" w:cs="Arial"/>
          <w:color w:val="212121"/>
          <w:sz w:val="22"/>
          <w:szCs w:val="22"/>
          <w:shd w:val="clear" w:color="auto" w:fill="FFFFFF"/>
        </w:rPr>
        <w:t xml:space="preserve">oyecto de ley </w:t>
      </w:r>
      <w:r w:rsidR="00DD7282">
        <w:rPr>
          <w:rFonts w:ascii="Palatino Linotype" w:hAnsi="Palatino Linotype" w:cs="Arial"/>
          <w:color w:val="212121"/>
          <w:sz w:val="22"/>
          <w:szCs w:val="22"/>
          <w:shd w:val="clear" w:color="auto" w:fill="FFFFFF"/>
        </w:rPr>
        <w:t>interpretativa</w:t>
      </w:r>
      <w:r w:rsidR="00955596" w:rsidRPr="00B94D10">
        <w:rPr>
          <w:rFonts w:ascii="Palatino Linotype" w:hAnsi="Palatino Linotype" w:cs="Arial"/>
          <w:color w:val="212121"/>
          <w:sz w:val="22"/>
          <w:szCs w:val="22"/>
          <w:shd w:val="clear" w:color="auto" w:fill="FFFFFF"/>
        </w:rPr>
        <w:t xml:space="preserve"> al</w:t>
      </w:r>
      <w:r w:rsidR="000B342A" w:rsidRPr="00B94D10">
        <w:rPr>
          <w:rFonts w:ascii="Palatino Linotype" w:hAnsi="Palatino Linotype" w:cs="Arial"/>
          <w:color w:val="212121"/>
          <w:sz w:val="22"/>
          <w:szCs w:val="22"/>
          <w:shd w:val="clear" w:color="auto" w:fill="FFFFFF"/>
        </w:rPr>
        <w:t xml:space="preserve"> Decreto Ley </w:t>
      </w:r>
      <w:r w:rsidR="00FB35F9" w:rsidRPr="00B94D10">
        <w:rPr>
          <w:rFonts w:ascii="Palatino Linotype" w:hAnsi="Palatino Linotype" w:cs="Arial"/>
          <w:color w:val="212121"/>
          <w:sz w:val="22"/>
          <w:szCs w:val="22"/>
          <w:shd w:val="clear" w:color="auto" w:fill="FFFFFF"/>
        </w:rPr>
        <w:t xml:space="preserve">N° </w:t>
      </w:r>
      <w:r w:rsidR="000B342A" w:rsidRPr="00B94D10">
        <w:rPr>
          <w:rFonts w:ascii="Palatino Linotype" w:hAnsi="Palatino Linotype" w:cs="Arial"/>
          <w:color w:val="212121"/>
          <w:sz w:val="22"/>
          <w:szCs w:val="22"/>
          <w:shd w:val="clear" w:color="auto" w:fill="FFFFFF"/>
        </w:rPr>
        <w:t>321 de 1925</w:t>
      </w:r>
      <w:r w:rsidR="00FB35F9" w:rsidRPr="00B94D10">
        <w:rPr>
          <w:rFonts w:ascii="Palatino Linotype" w:hAnsi="Palatino Linotype" w:cs="Arial"/>
          <w:color w:val="212121"/>
          <w:sz w:val="22"/>
          <w:szCs w:val="22"/>
          <w:shd w:val="clear" w:color="auto" w:fill="FFFFFF"/>
        </w:rPr>
        <w:t>,</w:t>
      </w:r>
      <w:r w:rsidR="000B342A" w:rsidRPr="00B94D10">
        <w:rPr>
          <w:rFonts w:ascii="Palatino Linotype" w:hAnsi="Palatino Linotype" w:cs="Arial"/>
          <w:color w:val="212121"/>
          <w:sz w:val="22"/>
          <w:szCs w:val="22"/>
          <w:shd w:val="clear" w:color="auto" w:fill="FFFFFF"/>
        </w:rPr>
        <w:t xml:space="preserve"> que establece la libertad condicional para los penados</w:t>
      </w:r>
      <w:r w:rsidR="00955596" w:rsidRPr="00B94D10">
        <w:rPr>
          <w:rFonts w:ascii="Palatino Linotype" w:hAnsi="Palatino Linotype" w:cs="Arial"/>
          <w:color w:val="212121"/>
          <w:sz w:val="22"/>
          <w:szCs w:val="22"/>
          <w:shd w:val="clear" w:color="auto" w:fill="FFFFFF"/>
        </w:rPr>
        <w:t>,</w:t>
      </w:r>
      <w:r w:rsidR="00855FA9" w:rsidRPr="00B94D10">
        <w:rPr>
          <w:rFonts w:ascii="Palatino Linotype" w:hAnsi="Palatino Linotype" w:cs="Arial"/>
          <w:color w:val="212121"/>
          <w:sz w:val="22"/>
          <w:szCs w:val="22"/>
          <w:shd w:val="clear" w:color="auto" w:fill="FFFFFF"/>
        </w:rPr>
        <w:t xml:space="preserve"> en el sentido que las personas condenadas por la ley </w:t>
      </w:r>
      <w:r w:rsidR="000F17A0">
        <w:rPr>
          <w:rFonts w:ascii="Palatino Linotype" w:hAnsi="Palatino Linotype" w:cs="Arial"/>
          <w:color w:val="212121"/>
          <w:sz w:val="22"/>
          <w:szCs w:val="22"/>
          <w:shd w:val="clear" w:color="auto" w:fill="FFFFFF"/>
        </w:rPr>
        <w:t xml:space="preserve">N° </w:t>
      </w:r>
      <w:r w:rsidR="00855FA9" w:rsidRPr="00B94D10">
        <w:rPr>
          <w:rFonts w:ascii="Palatino Linotype" w:hAnsi="Palatino Linotype" w:cs="Arial"/>
          <w:color w:val="212121"/>
          <w:sz w:val="22"/>
          <w:szCs w:val="22"/>
          <w:shd w:val="clear" w:color="auto" w:fill="FFFFFF"/>
        </w:rPr>
        <w:t>20.357</w:t>
      </w:r>
      <w:r w:rsidR="00FB35F9" w:rsidRPr="00B94D10">
        <w:rPr>
          <w:rFonts w:ascii="Palatino Linotype" w:hAnsi="Palatino Linotype" w:cs="Arial"/>
          <w:color w:val="212121"/>
          <w:sz w:val="22"/>
          <w:szCs w:val="22"/>
          <w:shd w:val="clear" w:color="auto" w:fill="FFFFFF"/>
        </w:rPr>
        <w:t xml:space="preserve"> y</w:t>
      </w:r>
      <w:r w:rsidR="000F17A0">
        <w:rPr>
          <w:rFonts w:ascii="Palatino Linotype" w:hAnsi="Palatino Linotype" w:cs="Arial"/>
          <w:color w:val="212121"/>
          <w:sz w:val="22"/>
          <w:szCs w:val="22"/>
          <w:shd w:val="clear" w:color="auto" w:fill="FFFFFF"/>
        </w:rPr>
        <w:t xml:space="preserve"> por crímenes cometidos por funcionarios de Estado entre el 11 de septiembre de 1973 y 10 de marzo de 1990,</w:t>
      </w:r>
      <w:r w:rsidR="00855FA9" w:rsidRPr="00B94D10">
        <w:rPr>
          <w:rFonts w:ascii="Palatino Linotype" w:hAnsi="Palatino Linotype" w:cs="Arial"/>
          <w:color w:val="212121"/>
          <w:sz w:val="22"/>
          <w:szCs w:val="22"/>
          <w:shd w:val="clear" w:color="auto" w:fill="FFFFFF"/>
        </w:rPr>
        <w:t xml:space="preserve"> </w:t>
      </w:r>
      <w:r w:rsidR="00855FA9" w:rsidRPr="00B94D10">
        <w:rPr>
          <w:rFonts w:ascii="Palatino Linotype" w:hAnsi="Palatino Linotype" w:cs="Arial"/>
          <w:sz w:val="22"/>
          <w:szCs w:val="22"/>
        </w:rPr>
        <w:t xml:space="preserve">para </w:t>
      </w:r>
      <w:r w:rsidR="00695756" w:rsidRPr="00B94D10">
        <w:rPr>
          <w:rFonts w:ascii="Palatino Linotype" w:hAnsi="Palatino Linotype" w:cs="Arial"/>
          <w:sz w:val="22"/>
          <w:szCs w:val="22"/>
        </w:rPr>
        <w:t xml:space="preserve">acceder a </w:t>
      </w:r>
      <w:r w:rsidR="00855FA9" w:rsidRPr="00B94D10">
        <w:rPr>
          <w:rFonts w:ascii="Palatino Linotype" w:hAnsi="Palatino Linotype" w:cs="Arial"/>
          <w:sz w:val="22"/>
          <w:szCs w:val="22"/>
        </w:rPr>
        <w:t>la libertad condicional</w:t>
      </w:r>
      <w:r w:rsidR="00DD7282">
        <w:rPr>
          <w:rFonts w:ascii="Palatino Linotype" w:hAnsi="Palatino Linotype" w:cs="Arial"/>
          <w:sz w:val="22"/>
          <w:szCs w:val="22"/>
        </w:rPr>
        <w:t xml:space="preserve"> deben esta</w:t>
      </w:r>
      <w:r w:rsidR="004B0AE9">
        <w:rPr>
          <w:rFonts w:ascii="Palatino Linotype" w:hAnsi="Palatino Linotype" w:cs="Arial"/>
          <w:sz w:val="22"/>
          <w:szCs w:val="22"/>
        </w:rPr>
        <w:t>rse a</w:t>
      </w:r>
      <w:r w:rsidR="00DD7282">
        <w:rPr>
          <w:rFonts w:ascii="Palatino Linotype" w:hAnsi="Palatino Linotype" w:cs="Arial"/>
          <w:sz w:val="22"/>
          <w:szCs w:val="22"/>
        </w:rPr>
        <w:t xml:space="preserve"> las Convenciones y Tratados Internacionales en la materia de derechos humanos y crímenes de lesa humanidad, con el fin de resguardar y asegurar </w:t>
      </w:r>
      <w:r w:rsidR="00FB35F9" w:rsidRPr="00B94D10">
        <w:rPr>
          <w:rFonts w:ascii="Palatino Linotype" w:hAnsi="Palatino Linotype" w:cs="Arial"/>
          <w:sz w:val="22"/>
          <w:szCs w:val="22"/>
        </w:rPr>
        <w:t xml:space="preserve">el cumplimiento </w:t>
      </w:r>
      <w:r w:rsidR="00DD7282">
        <w:rPr>
          <w:rFonts w:ascii="Palatino Linotype" w:hAnsi="Palatino Linotype" w:cs="Arial"/>
          <w:sz w:val="22"/>
          <w:szCs w:val="22"/>
        </w:rPr>
        <w:t>irrestricto a estos, aplicando así l</w:t>
      </w:r>
      <w:r w:rsidR="00FB35F9" w:rsidRPr="00B94D10">
        <w:rPr>
          <w:rFonts w:ascii="Palatino Linotype" w:hAnsi="Palatino Linotype" w:cs="Arial"/>
          <w:sz w:val="22"/>
          <w:szCs w:val="22"/>
        </w:rPr>
        <w:t>as exigencias y factores</w:t>
      </w:r>
      <w:r w:rsidR="00DD7282">
        <w:rPr>
          <w:rFonts w:ascii="Palatino Linotype" w:hAnsi="Palatino Linotype" w:cs="Arial"/>
          <w:sz w:val="22"/>
          <w:szCs w:val="22"/>
        </w:rPr>
        <w:t xml:space="preserve"> referido</w:t>
      </w:r>
      <w:r w:rsidR="00FB35F9" w:rsidRPr="00B94D10">
        <w:rPr>
          <w:rFonts w:ascii="Palatino Linotype" w:hAnsi="Palatino Linotype" w:cs="Arial"/>
          <w:sz w:val="22"/>
          <w:szCs w:val="22"/>
        </w:rPr>
        <w:t xml:space="preserve">s a la reducción de la pena establecidos en el Artículo 110 del Estatuto de Roma de la Corte Penal Internacional, aprobado en la ciudad de Roma el 17 de julio de 1998, por la Conferencia Diplomática de Plenipotenciarios de las Naciones Unidas sobre el establecimiento de dicha Corte y a los factores establecidos en la Regla 223 de las Reglas de Procedimiento y Prueba de la referida Corte Penal Internacional, de forma conjunta con </w:t>
      </w:r>
      <w:r w:rsidR="00855FA9" w:rsidRPr="00B94D10">
        <w:rPr>
          <w:rFonts w:ascii="Palatino Linotype" w:hAnsi="Palatino Linotype" w:cs="Arial"/>
          <w:sz w:val="22"/>
          <w:szCs w:val="22"/>
        </w:rPr>
        <w:t xml:space="preserve">los requisitos que expresamente señala </w:t>
      </w:r>
      <w:r w:rsidR="00FB35F9" w:rsidRPr="00B94D10">
        <w:rPr>
          <w:rFonts w:ascii="Palatino Linotype" w:hAnsi="Palatino Linotype" w:cs="Arial"/>
          <w:sz w:val="22"/>
          <w:szCs w:val="22"/>
        </w:rPr>
        <w:t>dicho Decreto Ley, lo que permite dar, sin dobles interpretaciones, aplicación y reconocimiento expreso a las normas  internacionales que el Estado de Chile se ha obligado a cumplir.</w:t>
      </w:r>
    </w:p>
    <w:p w:rsidR="008841E9" w:rsidRDefault="008841E9" w:rsidP="008841E9">
      <w:pPr>
        <w:pStyle w:val="HTMLconformatoprevio"/>
        <w:shd w:val="clear" w:color="auto" w:fill="FFFFFF"/>
        <w:spacing w:line="360" w:lineRule="auto"/>
        <w:jc w:val="both"/>
        <w:rPr>
          <w:rFonts w:ascii="Palatino Linotype" w:hAnsi="Palatino Linotype" w:cs="Arial"/>
          <w:sz w:val="22"/>
          <w:szCs w:val="22"/>
        </w:rPr>
      </w:pPr>
    </w:p>
    <w:p w:rsidR="008841E9" w:rsidRPr="008841E9" w:rsidRDefault="008841E9" w:rsidP="008841E9">
      <w:pPr>
        <w:pStyle w:val="HTMLconformatoprevio"/>
        <w:numPr>
          <w:ilvl w:val="0"/>
          <w:numId w:val="2"/>
        </w:numPr>
        <w:shd w:val="clear" w:color="auto" w:fill="FFFFFF"/>
        <w:spacing w:line="360" w:lineRule="auto"/>
        <w:jc w:val="both"/>
        <w:rPr>
          <w:rFonts w:ascii="Palatino Linotype" w:hAnsi="Palatino Linotype" w:cs="Arial"/>
          <w:b/>
          <w:sz w:val="22"/>
          <w:szCs w:val="22"/>
        </w:rPr>
      </w:pPr>
      <w:r w:rsidRPr="008841E9">
        <w:rPr>
          <w:rFonts w:ascii="Palatino Linotype" w:hAnsi="Palatino Linotype" w:cs="Arial"/>
          <w:b/>
          <w:sz w:val="22"/>
          <w:szCs w:val="22"/>
        </w:rPr>
        <w:t>IDEA MATRIZ.</w:t>
      </w:r>
    </w:p>
    <w:p w:rsidR="00FB35F9" w:rsidRDefault="008841E9" w:rsidP="008841E9">
      <w:pPr>
        <w:pStyle w:val="HTMLconformatoprevio"/>
        <w:shd w:val="clear" w:color="auto" w:fill="FFFFFF"/>
        <w:spacing w:line="360" w:lineRule="auto"/>
        <w:jc w:val="both"/>
        <w:rPr>
          <w:rFonts w:ascii="Palatino Linotype" w:hAnsi="Palatino Linotype" w:cs="Arial"/>
          <w:sz w:val="22"/>
          <w:szCs w:val="22"/>
        </w:rPr>
      </w:pPr>
      <w:r>
        <w:rPr>
          <w:rFonts w:ascii="Palatino Linotype" w:hAnsi="Palatino Linotype" w:cs="Arial"/>
          <w:sz w:val="22"/>
          <w:szCs w:val="22"/>
        </w:rPr>
        <w:t xml:space="preserve">El proyecto de ley tiene por finalidad otorgar el verdadero sentido y alcance </w:t>
      </w:r>
      <w:r w:rsidR="0001365B">
        <w:rPr>
          <w:rFonts w:ascii="Palatino Linotype" w:hAnsi="Palatino Linotype" w:cs="Arial"/>
          <w:sz w:val="22"/>
          <w:szCs w:val="22"/>
        </w:rPr>
        <w:t xml:space="preserve">del D.L. N° 321, </w:t>
      </w:r>
      <w:r w:rsidR="004B0AE9">
        <w:rPr>
          <w:rFonts w:ascii="Palatino Linotype" w:hAnsi="Palatino Linotype" w:cs="Arial"/>
          <w:sz w:val="22"/>
          <w:szCs w:val="22"/>
        </w:rPr>
        <w:t xml:space="preserve">de 1925, </w:t>
      </w:r>
      <w:r w:rsidR="0001365B" w:rsidRPr="00B94D10">
        <w:rPr>
          <w:rFonts w:ascii="Palatino Linotype" w:hAnsi="Palatino Linotype" w:cs="Arial"/>
          <w:sz w:val="22"/>
          <w:szCs w:val="22"/>
        </w:rPr>
        <w:t>que establece la libertad condicional para los penados,</w:t>
      </w:r>
      <w:r w:rsidR="0001365B">
        <w:rPr>
          <w:rFonts w:ascii="Palatino Linotype" w:hAnsi="Palatino Linotype" w:cs="Arial"/>
          <w:sz w:val="22"/>
          <w:szCs w:val="22"/>
        </w:rPr>
        <w:t xml:space="preserve"> el que debe interpretarse en razón de</w:t>
      </w:r>
      <w:r>
        <w:rPr>
          <w:rFonts w:ascii="Palatino Linotype" w:hAnsi="Palatino Linotype" w:cs="Arial"/>
          <w:sz w:val="22"/>
          <w:szCs w:val="22"/>
        </w:rPr>
        <w:t xml:space="preserve"> los preceptos internacionales contenidos en Convenios Internacionales y Tratados Internacionales sobre derechos humanos y crímenes de lesa humanidad, a fin de resguardar y garantizar el correcto cumplimiento de los estándares internacionales </w:t>
      </w:r>
      <w:r w:rsidR="0001365B">
        <w:rPr>
          <w:rFonts w:ascii="Palatino Linotype" w:hAnsi="Palatino Linotype" w:cs="Arial"/>
          <w:sz w:val="22"/>
          <w:szCs w:val="22"/>
        </w:rPr>
        <w:t>en la aplicación normativa del derecho chileno, tal como lo dispone el artículo 27 de la Convención de Viena  sobre interpretación de los tratados.</w:t>
      </w:r>
    </w:p>
    <w:p w:rsidR="00E51F02" w:rsidRDefault="00E51F02">
      <w:pPr>
        <w:rPr>
          <w:rFonts w:ascii="Palatino Linotype" w:eastAsia="Times New Roman" w:hAnsi="Palatino Linotype" w:cs="Arial"/>
          <w:lang w:val="es-CL" w:eastAsia="es-CL"/>
        </w:rPr>
      </w:pPr>
      <w:r>
        <w:rPr>
          <w:rFonts w:ascii="Palatino Linotype" w:hAnsi="Palatino Linotype" w:cs="Arial"/>
        </w:rPr>
        <w:br w:type="page"/>
      </w:r>
    </w:p>
    <w:p w:rsidR="008841E9" w:rsidRPr="00B94D10" w:rsidRDefault="008841E9" w:rsidP="008841E9">
      <w:pPr>
        <w:pStyle w:val="HTMLconformatoprevio"/>
        <w:shd w:val="clear" w:color="auto" w:fill="FFFFFF"/>
        <w:spacing w:line="360" w:lineRule="auto"/>
        <w:jc w:val="both"/>
        <w:rPr>
          <w:rFonts w:ascii="Palatino Linotype" w:hAnsi="Palatino Linotype" w:cs="Arial"/>
          <w:sz w:val="22"/>
          <w:szCs w:val="22"/>
        </w:rPr>
      </w:pPr>
      <w:bookmarkStart w:id="0" w:name="_GoBack"/>
      <w:bookmarkEnd w:id="0"/>
    </w:p>
    <w:p w:rsidR="00FA7ED2" w:rsidRPr="00B94D10" w:rsidRDefault="00422F0D" w:rsidP="008841E9">
      <w:pPr>
        <w:pStyle w:val="HTMLconformatoprevio"/>
        <w:shd w:val="clear" w:color="auto" w:fill="FFFFFF"/>
        <w:spacing w:line="360" w:lineRule="auto"/>
        <w:jc w:val="both"/>
        <w:rPr>
          <w:rFonts w:ascii="Palatino Linotype" w:hAnsi="Palatino Linotype" w:cs="Arial"/>
          <w:sz w:val="22"/>
          <w:szCs w:val="22"/>
        </w:rPr>
      </w:pPr>
      <w:r w:rsidRPr="00B94D10">
        <w:rPr>
          <w:rFonts w:ascii="Palatino Linotype" w:hAnsi="Palatino Linotype" w:cs="Arial"/>
          <w:sz w:val="22"/>
          <w:szCs w:val="22"/>
        </w:rPr>
        <w:t>En consecuencia, venimos en presentar el siguiente:</w:t>
      </w:r>
    </w:p>
    <w:p w:rsidR="00422F0D" w:rsidRPr="00B94D10" w:rsidRDefault="00422F0D" w:rsidP="008841E9">
      <w:pPr>
        <w:pStyle w:val="HTMLconformatoprevio"/>
        <w:shd w:val="clear" w:color="auto" w:fill="FFFFFF"/>
        <w:spacing w:line="360" w:lineRule="auto"/>
        <w:jc w:val="both"/>
        <w:rPr>
          <w:rFonts w:ascii="Palatino Linotype" w:hAnsi="Palatino Linotype" w:cs="Arial"/>
          <w:sz w:val="22"/>
          <w:szCs w:val="22"/>
        </w:rPr>
      </w:pPr>
    </w:p>
    <w:p w:rsidR="00422F0D" w:rsidRPr="00B94D10" w:rsidRDefault="00422F0D" w:rsidP="008841E9">
      <w:pPr>
        <w:pStyle w:val="HTMLconformatoprevio"/>
        <w:shd w:val="clear" w:color="auto" w:fill="FFFFFF"/>
        <w:spacing w:line="360" w:lineRule="auto"/>
        <w:jc w:val="both"/>
        <w:rPr>
          <w:rFonts w:ascii="Palatino Linotype" w:hAnsi="Palatino Linotype" w:cs="Arial"/>
          <w:sz w:val="22"/>
          <w:szCs w:val="22"/>
        </w:rPr>
      </w:pPr>
    </w:p>
    <w:p w:rsidR="00422F0D" w:rsidRPr="00B94D10" w:rsidRDefault="00422F0D" w:rsidP="008841E9">
      <w:pPr>
        <w:pStyle w:val="HTMLconformatoprevio"/>
        <w:shd w:val="clear" w:color="auto" w:fill="FFFFFF"/>
        <w:spacing w:line="360" w:lineRule="auto"/>
        <w:jc w:val="center"/>
        <w:rPr>
          <w:rFonts w:ascii="Palatino Linotype" w:hAnsi="Palatino Linotype" w:cs="Arial"/>
          <w:b/>
          <w:sz w:val="22"/>
          <w:szCs w:val="22"/>
        </w:rPr>
      </w:pPr>
      <w:r w:rsidRPr="00B94D10">
        <w:rPr>
          <w:rFonts w:ascii="Palatino Linotype" w:hAnsi="Palatino Linotype" w:cs="Arial"/>
          <w:b/>
          <w:sz w:val="22"/>
          <w:szCs w:val="22"/>
        </w:rPr>
        <w:t>PROYECTO DE LEY:</w:t>
      </w:r>
    </w:p>
    <w:p w:rsidR="00FA7ED2" w:rsidRPr="00B94D10" w:rsidRDefault="00FA7ED2" w:rsidP="008841E9">
      <w:pPr>
        <w:pStyle w:val="HTMLconformatoprevio"/>
        <w:shd w:val="clear" w:color="auto" w:fill="FFFFFF"/>
        <w:spacing w:line="360" w:lineRule="auto"/>
        <w:jc w:val="both"/>
        <w:rPr>
          <w:rFonts w:ascii="Palatino Linotype" w:hAnsi="Palatino Linotype" w:cs="Arial"/>
          <w:sz w:val="22"/>
          <w:szCs w:val="22"/>
        </w:rPr>
      </w:pPr>
    </w:p>
    <w:p w:rsidR="00422F0D" w:rsidRPr="00B94D10" w:rsidRDefault="00422F0D" w:rsidP="008841E9">
      <w:pPr>
        <w:pStyle w:val="HTMLconformatoprevio"/>
        <w:shd w:val="clear" w:color="auto" w:fill="FFFFFF"/>
        <w:spacing w:line="360" w:lineRule="auto"/>
        <w:jc w:val="both"/>
        <w:rPr>
          <w:rFonts w:ascii="Palatino Linotype" w:hAnsi="Palatino Linotype" w:cs="Arial"/>
          <w:b/>
          <w:sz w:val="22"/>
          <w:szCs w:val="22"/>
        </w:rPr>
      </w:pPr>
    </w:p>
    <w:p w:rsidR="00FA7ED2" w:rsidRPr="00B94D10" w:rsidRDefault="00FA7ED2" w:rsidP="008841E9">
      <w:pPr>
        <w:pStyle w:val="HTMLconformatoprevio"/>
        <w:shd w:val="clear" w:color="auto" w:fill="FFFFFF"/>
        <w:spacing w:line="360" w:lineRule="auto"/>
        <w:jc w:val="both"/>
        <w:rPr>
          <w:rFonts w:ascii="Palatino Linotype" w:hAnsi="Palatino Linotype" w:cs="Arial"/>
          <w:sz w:val="22"/>
          <w:szCs w:val="22"/>
        </w:rPr>
      </w:pPr>
      <w:r w:rsidRPr="00B94D10">
        <w:rPr>
          <w:rFonts w:ascii="Palatino Linotype" w:hAnsi="Palatino Linotype" w:cs="Arial"/>
          <w:b/>
          <w:sz w:val="22"/>
          <w:szCs w:val="22"/>
        </w:rPr>
        <w:t>Artículo único:</w:t>
      </w:r>
      <w:r w:rsidR="000A479A" w:rsidRPr="00B94D10">
        <w:rPr>
          <w:rFonts w:ascii="Palatino Linotype" w:hAnsi="Palatino Linotype" w:cs="Arial"/>
          <w:b/>
          <w:sz w:val="22"/>
          <w:szCs w:val="22"/>
        </w:rPr>
        <w:t xml:space="preserve"> </w:t>
      </w:r>
      <w:r w:rsidR="00DD7282">
        <w:rPr>
          <w:rFonts w:ascii="Palatino Linotype" w:hAnsi="Palatino Linotype" w:cs="Arial"/>
          <w:sz w:val="22"/>
          <w:szCs w:val="22"/>
        </w:rPr>
        <w:t>Fíjese el</w:t>
      </w:r>
      <w:r w:rsidR="008841E9">
        <w:rPr>
          <w:rFonts w:ascii="Palatino Linotype" w:hAnsi="Palatino Linotype" w:cs="Arial"/>
          <w:sz w:val="22"/>
          <w:szCs w:val="22"/>
        </w:rPr>
        <w:t xml:space="preserve"> verdadero sentido y alcance de</w:t>
      </w:r>
      <w:r w:rsidR="00DD7282">
        <w:rPr>
          <w:rFonts w:ascii="Palatino Linotype" w:hAnsi="Palatino Linotype" w:cs="Arial"/>
          <w:sz w:val="22"/>
          <w:szCs w:val="22"/>
        </w:rPr>
        <w:t xml:space="preserve">l </w:t>
      </w:r>
      <w:r w:rsidRPr="00B94D10">
        <w:rPr>
          <w:rFonts w:ascii="Palatino Linotype" w:hAnsi="Palatino Linotype" w:cs="Arial"/>
          <w:sz w:val="22"/>
          <w:szCs w:val="22"/>
        </w:rPr>
        <w:t xml:space="preserve">Decreto Ley </w:t>
      </w:r>
      <w:r w:rsidR="00DD7282">
        <w:rPr>
          <w:rFonts w:ascii="Palatino Linotype" w:hAnsi="Palatino Linotype" w:cs="Arial"/>
          <w:sz w:val="22"/>
          <w:szCs w:val="22"/>
        </w:rPr>
        <w:t xml:space="preserve">N° 321 de 1925, </w:t>
      </w:r>
      <w:r w:rsidRPr="00B94D10">
        <w:rPr>
          <w:rFonts w:ascii="Palatino Linotype" w:hAnsi="Palatino Linotype" w:cs="Arial"/>
          <w:sz w:val="22"/>
          <w:szCs w:val="22"/>
        </w:rPr>
        <w:t>que establece la libertad condicional para los penados</w:t>
      </w:r>
      <w:r w:rsidR="000A479A" w:rsidRPr="00B94D10">
        <w:rPr>
          <w:rFonts w:ascii="Palatino Linotype" w:hAnsi="Palatino Linotype" w:cs="Arial"/>
          <w:sz w:val="22"/>
          <w:szCs w:val="22"/>
        </w:rPr>
        <w:t>,</w:t>
      </w:r>
      <w:r w:rsidRPr="00B94D10">
        <w:rPr>
          <w:rFonts w:ascii="Palatino Linotype" w:hAnsi="Palatino Linotype" w:cs="Arial"/>
          <w:sz w:val="22"/>
          <w:szCs w:val="22"/>
        </w:rPr>
        <w:t xml:space="preserve"> </w:t>
      </w:r>
      <w:r w:rsidR="008841E9">
        <w:rPr>
          <w:rFonts w:ascii="Palatino Linotype" w:hAnsi="Palatino Linotype" w:cs="Arial"/>
          <w:sz w:val="22"/>
          <w:szCs w:val="22"/>
        </w:rPr>
        <w:t xml:space="preserve">en relación a las </w:t>
      </w:r>
      <w:r w:rsidRPr="00B94D10">
        <w:rPr>
          <w:rFonts w:ascii="Palatino Linotype" w:hAnsi="Palatino Linotype" w:cs="Arial"/>
          <w:sz w:val="22"/>
          <w:szCs w:val="22"/>
        </w:rPr>
        <w:t>personas condenadas po</w:t>
      </w:r>
      <w:r w:rsidR="008841E9">
        <w:rPr>
          <w:rFonts w:ascii="Palatino Linotype" w:hAnsi="Palatino Linotype" w:cs="Arial"/>
          <w:sz w:val="22"/>
          <w:szCs w:val="22"/>
        </w:rPr>
        <w:t>r los delitos previstos por la L</w:t>
      </w:r>
      <w:r w:rsidRPr="00B94D10">
        <w:rPr>
          <w:rFonts w:ascii="Palatino Linotype" w:hAnsi="Palatino Linotype" w:cs="Arial"/>
          <w:sz w:val="22"/>
          <w:szCs w:val="22"/>
        </w:rPr>
        <w:t xml:space="preserve">ey </w:t>
      </w:r>
      <w:r w:rsidR="008841E9">
        <w:rPr>
          <w:rFonts w:ascii="Palatino Linotype" w:hAnsi="Palatino Linotype" w:cs="Arial"/>
          <w:sz w:val="22"/>
          <w:szCs w:val="22"/>
        </w:rPr>
        <w:t xml:space="preserve">N° </w:t>
      </w:r>
      <w:r w:rsidRPr="00B94D10">
        <w:rPr>
          <w:rFonts w:ascii="Palatino Linotype" w:hAnsi="Palatino Linotype" w:cs="Arial"/>
          <w:sz w:val="22"/>
          <w:szCs w:val="22"/>
        </w:rPr>
        <w:t>20.357</w:t>
      </w:r>
      <w:r w:rsidR="008841E9">
        <w:rPr>
          <w:rFonts w:ascii="Palatino Linotype" w:hAnsi="Palatino Linotype" w:cs="Arial"/>
          <w:sz w:val="22"/>
          <w:szCs w:val="22"/>
        </w:rPr>
        <w:t>,</w:t>
      </w:r>
      <w:r w:rsidRPr="00B94D10">
        <w:rPr>
          <w:rFonts w:ascii="Palatino Linotype" w:hAnsi="Palatino Linotype" w:cs="Arial"/>
          <w:sz w:val="22"/>
          <w:szCs w:val="22"/>
        </w:rPr>
        <w:t xml:space="preserve"> que tipifica los crímenes de lesa humanidad y gen</w:t>
      </w:r>
      <w:r w:rsidR="00422F0D" w:rsidRPr="00B94D10">
        <w:rPr>
          <w:rFonts w:ascii="Palatino Linotype" w:hAnsi="Palatino Linotype" w:cs="Arial"/>
          <w:sz w:val="22"/>
          <w:szCs w:val="22"/>
        </w:rPr>
        <w:t>ocidio y los delitos de guerra, como asimismo</w:t>
      </w:r>
      <w:r w:rsidRPr="00B94D10">
        <w:rPr>
          <w:rFonts w:ascii="Palatino Linotype" w:hAnsi="Palatino Linotype" w:cs="Arial"/>
          <w:sz w:val="22"/>
          <w:szCs w:val="22"/>
        </w:rPr>
        <w:t xml:space="preserve"> las personas condenadas por los hechos de que trata </w:t>
      </w:r>
      <w:r w:rsidR="00422F0D" w:rsidRPr="00B94D10">
        <w:rPr>
          <w:rFonts w:ascii="Palatino Linotype" w:hAnsi="Palatino Linotype" w:cs="Arial"/>
          <w:sz w:val="22"/>
          <w:szCs w:val="22"/>
        </w:rPr>
        <w:t xml:space="preserve">la referida </w:t>
      </w:r>
      <w:r w:rsidR="008841E9">
        <w:rPr>
          <w:rFonts w:ascii="Palatino Linotype" w:hAnsi="Palatino Linotype" w:cs="Arial"/>
          <w:sz w:val="22"/>
          <w:szCs w:val="22"/>
        </w:rPr>
        <w:t>Le</w:t>
      </w:r>
      <w:r w:rsidRPr="00B94D10">
        <w:rPr>
          <w:rFonts w:ascii="Palatino Linotype" w:hAnsi="Palatino Linotype" w:cs="Arial"/>
          <w:sz w:val="22"/>
          <w:szCs w:val="22"/>
        </w:rPr>
        <w:t>y</w:t>
      </w:r>
      <w:r w:rsidR="00855FA9" w:rsidRPr="00B94D10">
        <w:rPr>
          <w:rFonts w:ascii="Palatino Linotype" w:hAnsi="Palatino Linotype" w:cs="Arial"/>
          <w:sz w:val="22"/>
          <w:szCs w:val="22"/>
        </w:rPr>
        <w:t xml:space="preserve"> </w:t>
      </w:r>
      <w:r w:rsidR="008841E9">
        <w:rPr>
          <w:rFonts w:ascii="Palatino Linotype" w:hAnsi="Palatino Linotype" w:cs="Arial"/>
          <w:sz w:val="22"/>
          <w:szCs w:val="22"/>
        </w:rPr>
        <w:t xml:space="preserve">N° </w:t>
      </w:r>
      <w:r w:rsidR="00855FA9" w:rsidRPr="00B94D10">
        <w:rPr>
          <w:rFonts w:ascii="Palatino Linotype" w:hAnsi="Palatino Linotype" w:cs="Arial"/>
          <w:sz w:val="22"/>
          <w:szCs w:val="22"/>
        </w:rPr>
        <w:t>20.357</w:t>
      </w:r>
      <w:r w:rsidRPr="00B94D10">
        <w:rPr>
          <w:rFonts w:ascii="Palatino Linotype" w:hAnsi="Palatino Linotype" w:cs="Arial"/>
          <w:sz w:val="22"/>
          <w:szCs w:val="22"/>
        </w:rPr>
        <w:t xml:space="preserve"> cometidos con</w:t>
      </w:r>
      <w:r w:rsidR="00DD7282">
        <w:rPr>
          <w:rFonts w:ascii="Palatino Linotype" w:hAnsi="Palatino Linotype" w:cs="Arial"/>
          <w:sz w:val="22"/>
          <w:szCs w:val="22"/>
        </w:rPr>
        <w:t xml:space="preserve"> anterioridad a su promulgación entre el 11 de septiembre d</w:t>
      </w:r>
      <w:r w:rsidR="008841E9">
        <w:rPr>
          <w:rFonts w:ascii="Palatino Linotype" w:hAnsi="Palatino Linotype" w:cs="Arial"/>
          <w:sz w:val="22"/>
          <w:szCs w:val="22"/>
        </w:rPr>
        <w:t>e 1973 y el 10 de marzo de 19</w:t>
      </w:r>
      <w:r w:rsidR="001A3DB8">
        <w:rPr>
          <w:rFonts w:ascii="Palatino Linotype" w:hAnsi="Palatino Linotype" w:cs="Arial"/>
          <w:sz w:val="22"/>
          <w:szCs w:val="22"/>
        </w:rPr>
        <w:t>9</w:t>
      </w:r>
      <w:r w:rsidR="008841E9">
        <w:rPr>
          <w:rFonts w:ascii="Palatino Linotype" w:hAnsi="Palatino Linotype" w:cs="Arial"/>
          <w:sz w:val="22"/>
          <w:szCs w:val="22"/>
        </w:rPr>
        <w:t xml:space="preserve">0 que, en conformidad al Derecho Internacional, no resultan aplicables los criterios asociados a crímenes y simples delitos comunes, debiendo cumplirse, además, </w:t>
      </w:r>
      <w:r w:rsidRPr="00B94D10">
        <w:rPr>
          <w:rFonts w:ascii="Palatino Linotype" w:hAnsi="Palatino Linotype" w:cs="Arial"/>
          <w:sz w:val="22"/>
          <w:szCs w:val="22"/>
        </w:rPr>
        <w:t xml:space="preserve">con </w:t>
      </w:r>
      <w:r w:rsidR="00E53509" w:rsidRPr="00B94D10">
        <w:rPr>
          <w:rFonts w:ascii="Palatino Linotype" w:hAnsi="Palatino Linotype" w:cs="Arial"/>
          <w:sz w:val="22"/>
          <w:szCs w:val="22"/>
        </w:rPr>
        <w:t>las exigencias</w:t>
      </w:r>
      <w:r w:rsidR="00955596" w:rsidRPr="00B94D10">
        <w:rPr>
          <w:rFonts w:ascii="Palatino Linotype" w:hAnsi="Palatino Linotype" w:cs="Arial"/>
          <w:sz w:val="22"/>
          <w:szCs w:val="22"/>
        </w:rPr>
        <w:t xml:space="preserve"> y factores</w:t>
      </w:r>
      <w:r w:rsidR="00422F0D" w:rsidRPr="00B94D10">
        <w:rPr>
          <w:rFonts w:ascii="Palatino Linotype" w:hAnsi="Palatino Linotype" w:cs="Arial"/>
          <w:sz w:val="22"/>
          <w:szCs w:val="22"/>
        </w:rPr>
        <w:t xml:space="preserve"> referid</w:t>
      </w:r>
      <w:r w:rsidR="00955596" w:rsidRPr="00B94D10">
        <w:rPr>
          <w:rFonts w:ascii="Palatino Linotype" w:hAnsi="Palatino Linotype" w:cs="Arial"/>
          <w:sz w:val="22"/>
          <w:szCs w:val="22"/>
        </w:rPr>
        <w:t>o</w:t>
      </w:r>
      <w:r w:rsidR="00422F0D" w:rsidRPr="00B94D10">
        <w:rPr>
          <w:rFonts w:ascii="Palatino Linotype" w:hAnsi="Palatino Linotype" w:cs="Arial"/>
          <w:sz w:val="22"/>
          <w:szCs w:val="22"/>
        </w:rPr>
        <w:t>s a la reducción de la pena</w:t>
      </w:r>
      <w:r w:rsidR="00955596" w:rsidRPr="00B94D10">
        <w:rPr>
          <w:rFonts w:ascii="Palatino Linotype" w:hAnsi="Palatino Linotype" w:cs="Arial"/>
          <w:sz w:val="22"/>
          <w:szCs w:val="22"/>
        </w:rPr>
        <w:t xml:space="preserve"> establecido</w:t>
      </w:r>
      <w:r w:rsidR="00E53509" w:rsidRPr="00B94D10">
        <w:rPr>
          <w:rFonts w:ascii="Palatino Linotype" w:hAnsi="Palatino Linotype" w:cs="Arial"/>
          <w:sz w:val="22"/>
          <w:szCs w:val="22"/>
        </w:rPr>
        <w:t>s en el Artículo 110 del Estatuto de Roma de la Corte Penal Internacional, aprobado en la ciudad de Roma el 17 de julio de 1998, por la Conferencia Diplomática de Plenipotenciarios de las Naciones Unidas sobre el</w:t>
      </w:r>
      <w:r w:rsidR="00422F0D" w:rsidRPr="00B94D10">
        <w:rPr>
          <w:rFonts w:ascii="Palatino Linotype" w:hAnsi="Palatino Linotype" w:cs="Arial"/>
          <w:sz w:val="22"/>
          <w:szCs w:val="22"/>
        </w:rPr>
        <w:t xml:space="preserve"> establecimiento de dicha Corte</w:t>
      </w:r>
      <w:r w:rsidR="001A3DB8">
        <w:rPr>
          <w:rFonts w:ascii="Palatino Linotype" w:hAnsi="Palatino Linotype" w:cs="Arial"/>
          <w:sz w:val="22"/>
          <w:szCs w:val="22"/>
        </w:rPr>
        <w:t>, ratificado por Chile el año 2009,</w:t>
      </w:r>
      <w:r w:rsidR="001A3DB8" w:rsidRPr="00B94D10">
        <w:rPr>
          <w:rFonts w:ascii="Palatino Linotype" w:hAnsi="Palatino Linotype" w:cs="Arial"/>
          <w:sz w:val="22"/>
          <w:szCs w:val="22"/>
        </w:rPr>
        <w:t xml:space="preserve"> </w:t>
      </w:r>
      <w:r w:rsidR="00422F0D" w:rsidRPr="00B94D10">
        <w:rPr>
          <w:rFonts w:ascii="Palatino Linotype" w:hAnsi="Palatino Linotype" w:cs="Arial"/>
          <w:sz w:val="22"/>
          <w:szCs w:val="22"/>
        </w:rPr>
        <w:t>y a los factores establecidos en la Regla 223 de las Reglas de Procedimiento y Prueba de la referida Corte Penal Internacional.</w:t>
      </w:r>
    </w:p>
    <w:p w:rsidR="00FA7ED2" w:rsidRPr="00B94D10" w:rsidRDefault="00FA7ED2" w:rsidP="008841E9">
      <w:pPr>
        <w:pStyle w:val="HTMLconformatoprevio"/>
        <w:shd w:val="clear" w:color="auto" w:fill="FFFFFF"/>
        <w:spacing w:line="360" w:lineRule="auto"/>
        <w:rPr>
          <w:rFonts w:ascii="Palatino Linotype" w:hAnsi="Palatino Linotype" w:cs="Arial"/>
          <w:sz w:val="22"/>
          <w:szCs w:val="22"/>
        </w:rPr>
      </w:pPr>
    </w:p>
    <w:p w:rsidR="00FA7ED2" w:rsidRPr="00B94D10" w:rsidRDefault="00FA7ED2" w:rsidP="008841E9">
      <w:pPr>
        <w:pStyle w:val="HTMLconformatoprevio"/>
        <w:shd w:val="clear" w:color="auto" w:fill="FFFFFF"/>
        <w:spacing w:line="360" w:lineRule="auto"/>
        <w:rPr>
          <w:rFonts w:ascii="Palatino Linotype" w:hAnsi="Palatino Linotype" w:cs="Arial"/>
          <w:sz w:val="22"/>
          <w:szCs w:val="22"/>
        </w:rPr>
      </w:pPr>
    </w:p>
    <w:p w:rsidR="00FA7ED2" w:rsidRPr="00B94D10" w:rsidRDefault="00FA7ED2" w:rsidP="008841E9">
      <w:pPr>
        <w:pStyle w:val="HTMLconformatoprevio"/>
        <w:shd w:val="clear" w:color="auto" w:fill="FFFFFF"/>
        <w:spacing w:line="360" w:lineRule="auto"/>
        <w:rPr>
          <w:rFonts w:ascii="Palatino Linotype" w:hAnsi="Palatino Linotype" w:cs="Arial"/>
          <w:sz w:val="22"/>
          <w:szCs w:val="22"/>
        </w:rPr>
      </w:pPr>
    </w:p>
    <w:p w:rsidR="00FA7ED2" w:rsidRPr="00B94D10" w:rsidRDefault="00FA7ED2" w:rsidP="008841E9">
      <w:pPr>
        <w:pStyle w:val="HTMLconformatoprevio"/>
        <w:shd w:val="clear" w:color="auto" w:fill="FFFFFF"/>
        <w:spacing w:line="360" w:lineRule="auto"/>
        <w:rPr>
          <w:rFonts w:ascii="Palatino Linotype" w:hAnsi="Palatino Linotype" w:cs="Arial"/>
          <w:sz w:val="22"/>
          <w:szCs w:val="22"/>
        </w:rPr>
      </w:pPr>
    </w:p>
    <w:sectPr w:rsidR="00FA7ED2" w:rsidRPr="00B94D10" w:rsidSect="00E51F02">
      <w:pgSz w:w="12240" w:h="20160" w:code="5"/>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6B0" w:rsidRDefault="00B826B0" w:rsidP="00C332DF">
      <w:pPr>
        <w:spacing w:after="0" w:line="240" w:lineRule="auto"/>
      </w:pPr>
      <w:r>
        <w:separator/>
      </w:r>
    </w:p>
  </w:endnote>
  <w:endnote w:type="continuationSeparator" w:id="0">
    <w:p w:rsidR="00B826B0" w:rsidRDefault="00B826B0" w:rsidP="00C3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6B0" w:rsidRDefault="00B826B0" w:rsidP="00C332DF">
      <w:pPr>
        <w:spacing w:after="0" w:line="240" w:lineRule="auto"/>
      </w:pPr>
      <w:r>
        <w:separator/>
      </w:r>
    </w:p>
  </w:footnote>
  <w:footnote w:type="continuationSeparator" w:id="0">
    <w:p w:rsidR="00B826B0" w:rsidRDefault="00B826B0" w:rsidP="00C332DF">
      <w:pPr>
        <w:spacing w:after="0" w:line="240" w:lineRule="auto"/>
      </w:pPr>
      <w:r>
        <w:continuationSeparator/>
      </w:r>
    </w:p>
  </w:footnote>
  <w:footnote w:id="1">
    <w:p w:rsidR="00C332DF" w:rsidRPr="00C332DF" w:rsidRDefault="00C332DF" w:rsidP="00C332DF">
      <w:pPr>
        <w:pStyle w:val="Textonotapie"/>
        <w:jc w:val="both"/>
        <w:rPr>
          <w:lang w:val="es-CL"/>
        </w:rPr>
      </w:pPr>
      <w:r>
        <w:rPr>
          <w:rStyle w:val="Refdenotaalpie"/>
        </w:rPr>
        <w:footnoteRef/>
      </w:r>
      <w:r w:rsidRPr="00C332DF">
        <w:rPr>
          <w:lang w:val="es-CL"/>
        </w:rPr>
        <w:t xml:space="preserve"> </w:t>
      </w:r>
      <w:r>
        <w:rPr>
          <w:lang w:val="es-CL"/>
        </w:rPr>
        <w:t>Sentencias recaídas en la apelación en recursos de amparo, causas Rol N°16.817-2018; 16.819-2018; 16.820-2018; 16.821-2018; 16.958-2018; 16.961-2018, Excelentísima Corte Suprema.</w:t>
      </w:r>
    </w:p>
  </w:footnote>
  <w:footnote w:id="2">
    <w:p w:rsidR="00C50A81" w:rsidRPr="00C50A81" w:rsidRDefault="00C50A81">
      <w:pPr>
        <w:pStyle w:val="Textonotapie"/>
        <w:rPr>
          <w:lang w:val="es-CL"/>
        </w:rPr>
      </w:pPr>
      <w:r>
        <w:rPr>
          <w:rStyle w:val="Refdenotaalpie"/>
        </w:rPr>
        <w:footnoteRef/>
      </w:r>
      <w:r w:rsidRPr="00C50A81">
        <w:rPr>
          <w:lang w:val="es-CL"/>
        </w:rPr>
        <w:t xml:space="preserve"> </w:t>
      </w:r>
      <w:r w:rsidRPr="00C50A81">
        <w:rPr>
          <w:bCs/>
          <w:i/>
          <w:iCs/>
          <w:lang w:val="es-ES_tradnl"/>
        </w:rPr>
        <w:t xml:space="preserve">Caso de los Hermanos Gómez </w:t>
      </w:r>
      <w:proofErr w:type="spellStart"/>
      <w:r w:rsidRPr="00C50A81">
        <w:rPr>
          <w:bCs/>
          <w:i/>
          <w:iCs/>
          <w:lang w:val="es-ES_tradnl"/>
        </w:rPr>
        <w:t>Paquiyauri</w:t>
      </w:r>
      <w:proofErr w:type="spellEnd"/>
      <w:r w:rsidRPr="00C50A81">
        <w:rPr>
          <w:bCs/>
          <w:i/>
          <w:iCs/>
          <w:lang w:val="es-ES_tradnl"/>
        </w:rPr>
        <w:t xml:space="preserve"> Vs. Perú.</w:t>
      </w:r>
      <w:r w:rsidRPr="00C50A81">
        <w:rPr>
          <w:i/>
          <w:iCs/>
          <w:lang w:val="es-ES_tradnl"/>
        </w:rPr>
        <w:t> Fondo, Reparaciones y Costas. Sentencia de 8 de julio de 2004. Serie C No. 110, párr. 145</w:t>
      </w:r>
    </w:p>
  </w:footnote>
  <w:footnote w:id="3">
    <w:p w:rsidR="00C50A81" w:rsidRPr="00591E5D" w:rsidRDefault="00C50A81" w:rsidP="00C50A81">
      <w:pPr>
        <w:pStyle w:val="Textonotapie"/>
        <w:jc w:val="both"/>
        <w:rPr>
          <w:rFonts w:ascii="Georgia" w:hAnsi="Georgia"/>
          <w:sz w:val="17"/>
          <w:szCs w:val="17"/>
          <w:lang w:val="es-CL"/>
        </w:rPr>
      </w:pPr>
      <w:r w:rsidRPr="00D72CE1">
        <w:rPr>
          <w:rStyle w:val="Refdenotaalpie"/>
          <w:rFonts w:ascii="Georgia" w:hAnsi="Georgia"/>
          <w:sz w:val="17"/>
          <w:szCs w:val="17"/>
        </w:rPr>
        <w:footnoteRef/>
      </w:r>
      <w:r w:rsidRPr="00C50A81">
        <w:rPr>
          <w:rFonts w:ascii="Georgia" w:hAnsi="Georgia"/>
          <w:sz w:val="17"/>
          <w:szCs w:val="17"/>
          <w:lang w:val="es-CL"/>
        </w:rPr>
        <w:t xml:space="preserve"> </w:t>
      </w:r>
      <w:r w:rsidRPr="00C50A81">
        <w:rPr>
          <w:rFonts w:ascii="Georgia" w:hAnsi="Georgia"/>
          <w:sz w:val="17"/>
          <w:szCs w:val="17"/>
          <w:lang w:val="es-CL"/>
        </w:rPr>
        <w:tab/>
      </w:r>
      <w:r w:rsidRPr="00C50A81">
        <w:rPr>
          <w:rFonts w:ascii="Georgia" w:hAnsi="Georgia"/>
          <w:i/>
          <w:sz w:val="17"/>
          <w:szCs w:val="17"/>
          <w:lang w:val="es-CL"/>
        </w:rPr>
        <w:t xml:space="preserve">Cfr. </w:t>
      </w:r>
      <w:r w:rsidRPr="00C50A81">
        <w:rPr>
          <w:rFonts w:ascii="Georgia" w:hAnsi="Georgia"/>
          <w:bCs/>
          <w:i/>
          <w:sz w:val="17"/>
          <w:szCs w:val="17"/>
          <w:lang w:val="es-CL"/>
        </w:rPr>
        <w:t xml:space="preserve">Caso de los Hermanos Gómez </w:t>
      </w:r>
      <w:proofErr w:type="spellStart"/>
      <w:r w:rsidRPr="00C50A81">
        <w:rPr>
          <w:rFonts w:ascii="Georgia" w:hAnsi="Georgia"/>
          <w:bCs/>
          <w:i/>
          <w:sz w:val="17"/>
          <w:szCs w:val="17"/>
          <w:lang w:val="es-CL"/>
        </w:rPr>
        <w:t>Paquiyauri</w:t>
      </w:r>
      <w:proofErr w:type="spellEnd"/>
      <w:r w:rsidRPr="00C50A81">
        <w:rPr>
          <w:rFonts w:ascii="Georgia" w:hAnsi="Georgia"/>
          <w:bCs/>
          <w:i/>
          <w:sz w:val="17"/>
          <w:szCs w:val="17"/>
          <w:lang w:val="es-CL"/>
        </w:rPr>
        <w:t xml:space="preserve"> Vs. Perú.</w:t>
      </w:r>
      <w:r w:rsidRPr="00C50A81">
        <w:rPr>
          <w:rFonts w:ascii="Georgia" w:hAnsi="Georgia"/>
          <w:b/>
          <w:bCs/>
          <w:sz w:val="17"/>
          <w:szCs w:val="17"/>
          <w:lang w:val="es-CL"/>
        </w:rPr>
        <w:t xml:space="preserve"> </w:t>
      </w:r>
      <w:r w:rsidRPr="00C50A81">
        <w:rPr>
          <w:rFonts w:ascii="Georgia" w:hAnsi="Georgia"/>
          <w:i/>
          <w:sz w:val="17"/>
          <w:szCs w:val="17"/>
          <w:lang w:val="es-CL"/>
        </w:rPr>
        <w:t>Fondo, Reparaciones y Costas.</w:t>
      </w:r>
      <w:r w:rsidRPr="00C50A81">
        <w:rPr>
          <w:rFonts w:ascii="Georgia" w:hAnsi="Georgia"/>
          <w:sz w:val="17"/>
          <w:szCs w:val="17"/>
          <w:lang w:val="es-CL"/>
        </w:rPr>
        <w:t xml:space="preserve"> </w:t>
      </w:r>
      <w:r w:rsidRPr="00591E5D">
        <w:rPr>
          <w:rFonts w:ascii="Georgia" w:hAnsi="Georgia"/>
          <w:sz w:val="17"/>
          <w:szCs w:val="17"/>
          <w:lang w:val="es-CL"/>
        </w:rPr>
        <w:t xml:space="preserve">Sentencia de 8 de julio de 2004. Serie C No. 110, párr. 145. </w:t>
      </w:r>
    </w:p>
  </w:footnote>
  <w:footnote w:id="4">
    <w:p w:rsidR="00B94D10" w:rsidRDefault="00B94D10" w:rsidP="00B94D10">
      <w:pPr>
        <w:pStyle w:val="Textonotapie"/>
        <w:jc w:val="both"/>
      </w:pPr>
      <w:r>
        <w:rPr>
          <w:rStyle w:val="Refdenotaalpie"/>
        </w:rPr>
        <w:footnoteRef/>
      </w:r>
      <w:r w:rsidRPr="00B94D10">
        <w:rPr>
          <w:lang w:val="es-CL"/>
        </w:rPr>
        <w:t xml:space="preserve"> </w:t>
      </w:r>
      <w:r>
        <w:rPr>
          <w:lang w:val="es-CL"/>
        </w:rPr>
        <w:t xml:space="preserve">Nogueira Alcalá, Humberto. Teoría y Dogmática de los derechos Fundamentales. </w:t>
      </w:r>
      <w:r w:rsidRPr="00B94D10">
        <w:t xml:space="preserve">Link: </w:t>
      </w:r>
      <w:hyperlink r:id="rId1" w:history="1">
        <w:r w:rsidRPr="003E1855">
          <w:rPr>
            <w:rStyle w:val="Hipervnculo"/>
          </w:rPr>
          <w:t>https://www.u-cursos.cl/derecho/2015/1/D123D0851/1/material_docente/bajar?id_material=1012230</w:t>
        </w:r>
      </w:hyperlink>
    </w:p>
    <w:p w:rsidR="00B94D10" w:rsidRPr="00B94D10" w:rsidRDefault="00B94D10" w:rsidP="00B94D10">
      <w:pPr>
        <w:pStyle w:val="Textonotapie"/>
        <w:jc w:val="both"/>
      </w:pPr>
    </w:p>
  </w:footnote>
  <w:footnote w:id="5">
    <w:p w:rsidR="00B70895" w:rsidRPr="00B70895" w:rsidRDefault="00B70895" w:rsidP="00B70895">
      <w:pPr>
        <w:pStyle w:val="Textonotapie"/>
        <w:jc w:val="both"/>
        <w:rPr>
          <w:lang w:val="es-CL"/>
        </w:rPr>
      </w:pPr>
      <w:r>
        <w:rPr>
          <w:rStyle w:val="Refdenotaalpie"/>
        </w:rPr>
        <w:footnoteRef/>
      </w:r>
      <w:r>
        <w:rPr>
          <w:lang w:val="es-CL"/>
        </w:rPr>
        <w:t xml:space="preserve"> Artículo</w:t>
      </w:r>
      <w:r w:rsidRPr="00B70895">
        <w:rPr>
          <w:lang w:val="es-CL"/>
        </w:rPr>
        <w:t xml:space="preserve"> </w:t>
      </w:r>
      <w:r>
        <w:rPr>
          <w:lang w:val="es-CL"/>
        </w:rPr>
        <w:t>27 Convención de Viena:</w:t>
      </w:r>
      <w:r w:rsidRPr="00B70895">
        <w:rPr>
          <w:lang w:val="es-CL"/>
        </w:rPr>
        <w:t xml:space="preserve"> El derecho interno y la observancia de los tratados. Una parte no podrá </w:t>
      </w:r>
      <w:r>
        <w:rPr>
          <w:lang w:val="es-CL"/>
        </w:rPr>
        <w:t>invocar</w:t>
      </w:r>
      <w:r w:rsidRPr="00B70895">
        <w:rPr>
          <w:lang w:val="es-CL"/>
        </w:rPr>
        <w:t xml:space="preserve"> las</w:t>
      </w:r>
      <w:r>
        <w:rPr>
          <w:lang w:val="es-CL"/>
        </w:rPr>
        <w:t xml:space="preserve"> </w:t>
      </w:r>
      <w:r w:rsidRPr="00B70895">
        <w:rPr>
          <w:lang w:val="es-CL"/>
        </w:rPr>
        <w:t>disposiciones de su derecho interno como justificación del incumplimiento de un tratado.</w:t>
      </w:r>
      <w:r>
        <w:rPr>
          <w:lang w:val="es-CL"/>
        </w:rPr>
        <w:t xml:space="preserve"> </w:t>
      </w:r>
      <w:r w:rsidRPr="00B70895">
        <w:rPr>
          <w:lang w:val="es-CL"/>
        </w:rPr>
        <w:t>Esta norma se entenderá sin perjuicio de lo dispuesto en el artículo 46.</w:t>
      </w:r>
    </w:p>
  </w:footnote>
  <w:footnote w:id="6">
    <w:p w:rsidR="00B70895" w:rsidRPr="00B70895" w:rsidRDefault="00B70895" w:rsidP="00B70895">
      <w:pPr>
        <w:pStyle w:val="Textonotapie"/>
        <w:jc w:val="both"/>
        <w:rPr>
          <w:lang w:val="es-CL"/>
        </w:rPr>
      </w:pPr>
      <w:r>
        <w:rPr>
          <w:rStyle w:val="Refdenotaalpie"/>
        </w:rPr>
        <w:footnoteRef/>
      </w:r>
      <w:r w:rsidRPr="00B70895">
        <w:rPr>
          <w:lang w:val="es-CL"/>
        </w:rPr>
        <w:t xml:space="preserve"> </w:t>
      </w:r>
      <w:r>
        <w:rPr>
          <w:lang w:val="es-CL"/>
        </w:rPr>
        <w:t xml:space="preserve">Nogueira Alcalá, Humberto. Constitución y tratados internacionales. Link: </w:t>
      </w:r>
      <w:r w:rsidRPr="00B70895">
        <w:rPr>
          <w:lang w:val="es-CL"/>
        </w:rPr>
        <w:t>http://www.redalyc.org/pdf/197/19720203.pdf</w:t>
      </w:r>
    </w:p>
  </w:footnote>
  <w:footnote w:id="7">
    <w:p w:rsidR="00333922" w:rsidRPr="00333922" w:rsidRDefault="00333922" w:rsidP="00333922">
      <w:pPr>
        <w:pStyle w:val="Textonotapie"/>
        <w:jc w:val="both"/>
        <w:rPr>
          <w:lang w:val="es-CL"/>
        </w:rPr>
      </w:pPr>
      <w:r>
        <w:rPr>
          <w:rStyle w:val="Refdenotaalpie"/>
        </w:rPr>
        <w:footnoteRef/>
      </w:r>
      <w:r w:rsidRPr="00333922">
        <w:rPr>
          <w:lang w:val="es-CL"/>
        </w:rPr>
        <w:t xml:space="preserve"> </w:t>
      </w:r>
      <w:r>
        <w:rPr>
          <w:lang w:val="es-CL"/>
        </w:rPr>
        <w:t xml:space="preserve"> </w:t>
      </w:r>
      <w:proofErr w:type="spellStart"/>
      <w:r>
        <w:rPr>
          <w:lang w:val="es-CL"/>
        </w:rPr>
        <w:t>Idem</w:t>
      </w:r>
      <w:proofErr w:type="spellEnd"/>
      <w:r>
        <w:rPr>
          <w:lang w:val="es-CL"/>
        </w:rPr>
        <w:t>, extraído de la O</w:t>
      </w:r>
      <w:r w:rsidRPr="00333922">
        <w:rPr>
          <w:lang w:val="es-CL"/>
        </w:rPr>
        <w:t>pinión consultiva OC-82. Serie A Nª 2, párrafo 29</w:t>
      </w:r>
    </w:p>
  </w:footnote>
  <w:footnote w:id="8">
    <w:p w:rsidR="00C61824" w:rsidRPr="00C61824" w:rsidRDefault="00C61824">
      <w:pPr>
        <w:pStyle w:val="Textonotapie"/>
        <w:rPr>
          <w:lang w:val="es-CL"/>
        </w:rPr>
      </w:pPr>
      <w:r>
        <w:rPr>
          <w:rStyle w:val="Refdenotaalpie"/>
        </w:rPr>
        <w:footnoteRef/>
      </w:r>
      <w:r w:rsidRPr="00591E5D">
        <w:rPr>
          <w:lang w:val="es-CL"/>
        </w:rPr>
        <w:t xml:space="preserve"> </w:t>
      </w:r>
      <w:r>
        <w:rPr>
          <w:lang w:val="es-CL"/>
        </w:rPr>
        <w:t>Ob.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E061F"/>
    <w:multiLevelType w:val="hybridMultilevel"/>
    <w:tmpl w:val="64AC7A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8A36966"/>
    <w:multiLevelType w:val="hybridMultilevel"/>
    <w:tmpl w:val="F2BA84BA"/>
    <w:lvl w:ilvl="0" w:tplc="48728FE0">
      <w:start w:val="1"/>
      <w:numFmt w:val="lowerLetter"/>
      <w:lvlText w:val="%1."/>
      <w:lvlJc w:val="left"/>
      <w:pPr>
        <w:ind w:left="720" w:hanging="360"/>
      </w:pPr>
      <w:rPr>
        <w:rFonts w:ascii="Arial-BoldMT" w:hAnsi="Arial-BoldMT" w:cs="Arial-BoldMT"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D2"/>
    <w:rsid w:val="0001365B"/>
    <w:rsid w:val="000A0C35"/>
    <w:rsid w:val="000A479A"/>
    <w:rsid w:val="000B342A"/>
    <w:rsid w:val="000C4D2C"/>
    <w:rsid w:val="000F17A0"/>
    <w:rsid w:val="001705C7"/>
    <w:rsid w:val="00187C1D"/>
    <w:rsid w:val="001955A3"/>
    <w:rsid w:val="001A3DB8"/>
    <w:rsid w:val="00333922"/>
    <w:rsid w:val="00341C11"/>
    <w:rsid w:val="0042156A"/>
    <w:rsid w:val="00422F0D"/>
    <w:rsid w:val="004B0AE9"/>
    <w:rsid w:val="00591E5D"/>
    <w:rsid w:val="00691B3F"/>
    <w:rsid w:val="00693BDB"/>
    <w:rsid w:val="00695756"/>
    <w:rsid w:val="00776707"/>
    <w:rsid w:val="00846E1D"/>
    <w:rsid w:val="00855FA9"/>
    <w:rsid w:val="008841E9"/>
    <w:rsid w:val="00891DC3"/>
    <w:rsid w:val="008E07DB"/>
    <w:rsid w:val="009043FE"/>
    <w:rsid w:val="009068D6"/>
    <w:rsid w:val="00955596"/>
    <w:rsid w:val="00A2421D"/>
    <w:rsid w:val="00B70895"/>
    <w:rsid w:val="00B826B0"/>
    <w:rsid w:val="00B94D10"/>
    <w:rsid w:val="00BB0FB4"/>
    <w:rsid w:val="00C332DF"/>
    <w:rsid w:val="00C50A81"/>
    <w:rsid w:val="00C61824"/>
    <w:rsid w:val="00D03E9F"/>
    <w:rsid w:val="00D5626A"/>
    <w:rsid w:val="00D65F85"/>
    <w:rsid w:val="00DD7282"/>
    <w:rsid w:val="00DF32F1"/>
    <w:rsid w:val="00E173C7"/>
    <w:rsid w:val="00E51F02"/>
    <w:rsid w:val="00E53509"/>
    <w:rsid w:val="00FA7ED2"/>
    <w:rsid w:val="00FB35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63EA3-EAF4-4A16-A648-81E3C7DE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A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FA7ED2"/>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C332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2DF"/>
    <w:rPr>
      <w:rFonts w:ascii="Segoe UI" w:hAnsi="Segoe UI" w:cs="Segoe UI"/>
      <w:sz w:val="18"/>
      <w:szCs w:val="18"/>
      <w:lang w:val="en-US"/>
    </w:rPr>
  </w:style>
  <w:style w:type="paragraph" w:styleId="Textonotapie">
    <w:name w:val="footnote text"/>
    <w:basedOn w:val="Normal"/>
    <w:link w:val="TextonotapieCar"/>
    <w:uiPriority w:val="99"/>
    <w:semiHidden/>
    <w:unhideWhenUsed/>
    <w:rsid w:val="00C332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2DF"/>
    <w:rPr>
      <w:sz w:val="20"/>
      <w:szCs w:val="20"/>
      <w:lang w:val="en-US"/>
    </w:rPr>
  </w:style>
  <w:style w:type="character" w:styleId="Refdenotaalpie">
    <w:name w:val="footnote reference"/>
    <w:aliases w:val="Texto de nota al pie,Footnotes refss,Appel note de bas de page,Footnote number,referencia nota al pie,BVI fnr,f"/>
    <w:basedOn w:val="Fuentedeprrafopredeter"/>
    <w:unhideWhenUsed/>
    <w:rsid w:val="00C332DF"/>
    <w:rPr>
      <w:vertAlign w:val="superscript"/>
    </w:rPr>
  </w:style>
  <w:style w:type="character" w:styleId="Hipervnculo">
    <w:name w:val="Hyperlink"/>
    <w:basedOn w:val="Fuentedeprrafopredeter"/>
    <w:uiPriority w:val="99"/>
    <w:unhideWhenUsed/>
    <w:rsid w:val="00B94D10"/>
    <w:rPr>
      <w:color w:val="0000FF" w:themeColor="hyperlink"/>
      <w:u w:val="single"/>
    </w:rPr>
  </w:style>
  <w:style w:type="paragraph" w:styleId="Prrafodelista">
    <w:name w:val="List Paragraph"/>
    <w:basedOn w:val="Normal"/>
    <w:uiPriority w:val="34"/>
    <w:qFormat/>
    <w:rsid w:val="00884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02159">
      <w:bodyDiv w:val="1"/>
      <w:marLeft w:val="0"/>
      <w:marRight w:val="0"/>
      <w:marTop w:val="0"/>
      <w:marBottom w:val="0"/>
      <w:divBdr>
        <w:top w:val="none" w:sz="0" w:space="0" w:color="auto"/>
        <w:left w:val="none" w:sz="0" w:space="0" w:color="auto"/>
        <w:bottom w:val="none" w:sz="0" w:space="0" w:color="auto"/>
        <w:right w:val="none" w:sz="0" w:space="0" w:color="auto"/>
      </w:divBdr>
    </w:div>
    <w:div w:id="19301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cursos.cl/derecho/2015/1/D123D0851/1/material_docente/bajar?id_material=10122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EE65-DB38-4B2C-9B07-73097F7B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1919</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QyT Abogados</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Troncoso Repetto</dc:creator>
  <cp:lastModifiedBy>Leonardo Lueiza Ureta</cp:lastModifiedBy>
  <cp:revision>11</cp:revision>
  <cp:lastPrinted>2018-08-08T15:31:00Z</cp:lastPrinted>
  <dcterms:created xsi:type="dcterms:W3CDTF">2018-08-08T14:43:00Z</dcterms:created>
  <dcterms:modified xsi:type="dcterms:W3CDTF">2018-08-13T23:12:00Z</dcterms:modified>
</cp:coreProperties>
</file>