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45" w:rsidRPr="00A64F45" w:rsidRDefault="00D00ABE" w:rsidP="00F60807">
      <w:pPr>
        <w:spacing w:after="0" w:line="360" w:lineRule="auto"/>
        <w:ind w:left="2124" w:firstLine="708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</w:pPr>
      <w:r w:rsidRPr="00A64F45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object w:dxaOrig="11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78pt" o:ole="" fillcolor="window">
            <v:imagedata r:id="rId9" o:title=""/>
          </v:shape>
          <o:OLEObject Type="Embed" ProgID="MSDraw" ShapeID="_x0000_i1025" DrawAspect="Content" ObjectID="_1604828006" r:id="rId10">
            <o:FieldCodes>\* MERGEFORMAT</o:FieldCodes>
          </o:OLEObject>
        </w:object>
      </w:r>
      <w:r w:rsidR="00A64F45" w:rsidRPr="00A64F45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           </w:t>
      </w:r>
    </w:p>
    <w:p w:rsidR="00A64F45" w:rsidRPr="00A64F45" w:rsidRDefault="00A64F45" w:rsidP="00F60807">
      <w:pPr>
        <w:spacing w:after="0" w:line="360" w:lineRule="auto"/>
        <w:jc w:val="both"/>
        <w:outlineLvl w:val="0"/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</w:pPr>
      <w:r w:rsidRPr="00A64F45"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 xml:space="preserve">                             Cámara de Diputados</w:t>
      </w:r>
    </w:p>
    <w:p w:rsidR="00A64F45" w:rsidRDefault="00D36C90" w:rsidP="00D36C90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center"/>
        <w:rPr>
          <w:rFonts w:ascii="Palatino Linotype" w:hAnsi="Palatino Linotype"/>
          <w:sz w:val="24"/>
          <w:szCs w:val="24"/>
          <w:lang w:eastAsia="es-ES" w:bidi="he-IL"/>
        </w:rPr>
      </w:pPr>
      <w:r w:rsidRPr="00D36C90">
        <w:rPr>
          <w:rFonts w:ascii="Palatino Linotype" w:hAnsi="Palatino Linotype"/>
          <w:sz w:val="24"/>
          <w:szCs w:val="24"/>
          <w:lang w:eastAsia="es-ES" w:bidi="he-IL"/>
        </w:rPr>
        <w:t>Modifica la ley N° 17.798, sobre Control de Armas, con el objeto de prohibir la inscripción, tenencia y posesión de armas a personas formalizadas, procesadas o condenadas por crímenes de lesa humanidad, genocidio o delitos de guerra</w:t>
      </w:r>
    </w:p>
    <w:p w:rsidR="00D36C90" w:rsidRPr="00D36C90" w:rsidRDefault="00D36C90" w:rsidP="00D36C90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eastAsia="es-ES" w:bidi="he-IL"/>
        </w:rPr>
        <w:t>Boletín N°12260-02</w:t>
      </w:r>
    </w:p>
    <w:p w:rsidR="00A64F45" w:rsidRPr="00A64F45" w:rsidRDefault="00A64F45" w:rsidP="00F60807">
      <w:pPr>
        <w:numPr>
          <w:ilvl w:val="0"/>
          <w:numId w:val="2"/>
        </w:num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  <w:r w:rsidRPr="00A64F45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  <w:t>FUNDAMENTO.</w:t>
      </w:r>
    </w:p>
    <w:p w:rsidR="00A64F45" w:rsidRPr="00A64F45" w:rsidRDefault="00A64F45" w:rsidP="00F60807">
      <w:pPr>
        <w:spacing w:after="0" w:line="360" w:lineRule="auto"/>
        <w:ind w:left="1080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</w:p>
    <w:p w:rsidR="00A64F45" w:rsidRPr="00A64F45" w:rsidRDefault="00A64F45" w:rsidP="00F60807">
      <w:pPr>
        <w:pStyle w:val="HTMLconformatoprevio"/>
        <w:shd w:val="clear" w:color="auto" w:fill="FFFFFF"/>
        <w:spacing w:line="360" w:lineRule="auto"/>
        <w:jc w:val="both"/>
        <w:rPr>
          <w:rFonts w:ascii="Palatino Linotype" w:hAnsi="Palatino Linotype" w:hint="default"/>
        </w:rPr>
      </w:pPr>
      <w:r w:rsidRPr="00A64F45">
        <w:rPr>
          <w:rFonts w:ascii="Palatino Linotype" w:hAnsi="Palatino Linotype" w:hint="default"/>
          <w:b/>
        </w:rPr>
        <w:t>1.</w:t>
      </w:r>
      <w:r w:rsidRPr="00A64F45">
        <w:rPr>
          <w:rFonts w:ascii="Palatino Linotype" w:hAnsi="Palatino Linotype" w:hint="default"/>
        </w:rPr>
        <w:t xml:space="preserve"> Que actualmente la </w:t>
      </w:r>
      <w:r w:rsidR="009C4997">
        <w:rPr>
          <w:rFonts w:ascii="Palatino Linotype" w:hAnsi="Palatino Linotype" w:hint="default"/>
        </w:rPr>
        <w:t>L</w:t>
      </w:r>
      <w:r w:rsidR="009C4997" w:rsidRPr="00A64F45">
        <w:rPr>
          <w:rFonts w:ascii="Palatino Linotype" w:hAnsi="Palatino Linotype" w:hint="default"/>
        </w:rPr>
        <w:t>e</w:t>
      </w:r>
      <w:r w:rsidR="009C4997">
        <w:rPr>
          <w:rFonts w:ascii="Palatino Linotype" w:hAnsi="Palatino Linotype" w:hint="default"/>
        </w:rPr>
        <w:t xml:space="preserve">y N° </w:t>
      </w:r>
      <w:r w:rsidR="009C4997" w:rsidRPr="009C4997">
        <w:rPr>
          <w:rFonts w:ascii="Palatino Linotype" w:hAnsi="Palatino Linotype" w:hint="default"/>
        </w:rPr>
        <w:t>17.798,</w:t>
      </w:r>
      <w:r w:rsidR="009C4997" w:rsidRPr="00DC6F7D">
        <w:rPr>
          <w:rFonts w:ascii="Palatino Linotype" w:hAnsi="Palatino Linotype" w:hint="default"/>
          <w:lang w:val="es-CL"/>
        </w:rPr>
        <w:t xml:space="preserve"> sobre</w:t>
      </w:r>
      <w:r w:rsidR="009C4997" w:rsidRPr="009C4997">
        <w:rPr>
          <w:rFonts w:ascii="Palatino Linotype" w:hAnsi="Palatino Linotype" w:hint="default"/>
        </w:rPr>
        <w:t xml:space="preserve"> control de</w:t>
      </w:r>
      <w:r w:rsidR="009C4997" w:rsidRPr="00DC6F7D">
        <w:rPr>
          <w:rFonts w:ascii="Palatino Linotype" w:hAnsi="Palatino Linotype" w:hint="default"/>
          <w:lang w:val="es-CL"/>
        </w:rPr>
        <w:t xml:space="preserve"> armas</w:t>
      </w:r>
      <w:r w:rsidR="009C4997" w:rsidRPr="009C4997">
        <w:rPr>
          <w:rFonts w:ascii="Palatino Linotype" w:hAnsi="Palatino Linotype" w:hint="default"/>
        </w:rPr>
        <w:t>,</w:t>
      </w:r>
      <w:r w:rsidR="009C4997" w:rsidRPr="00DC6F7D">
        <w:rPr>
          <w:rFonts w:ascii="Palatino Linotype" w:hAnsi="Palatino Linotype" w:hint="default"/>
          <w:lang w:val="es-CL"/>
        </w:rPr>
        <w:t xml:space="preserve"> cuyo</w:t>
      </w:r>
      <w:r w:rsidR="009C4997" w:rsidRPr="009C4997">
        <w:rPr>
          <w:rFonts w:ascii="Palatino Linotype" w:hAnsi="Palatino Linotype" w:hint="default"/>
        </w:rPr>
        <w:t xml:space="preserve"> texto refundido, coordinado y s</w:t>
      </w:r>
      <w:r w:rsidR="003E19A1">
        <w:rPr>
          <w:rFonts w:ascii="Palatino Linotype" w:hAnsi="Palatino Linotype" w:hint="default"/>
        </w:rPr>
        <w:t>istematizado fue fijado por el Decreto N</w:t>
      </w:r>
      <w:r w:rsidR="009C4997" w:rsidRPr="009C4997">
        <w:rPr>
          <w:rFonts w:ascii="Palatino Linotype" w:hAnsi="Palatino Linotype"/>
        </w:rPr>
        <w:t>º</w:t>
      </w:r>
      <w:r w:rsidR="009C4997" w:rsidRPr="009C4997">
        <w:rPr>
          <w:rFonts w:ascii="Palatino Linotype" w:hAnsi="Palatino Linotype" w:hint="default"/>
        </w:rPr>
        <w:t>400, de 1978, del</w:t>
      </w:r>
      <w:r w:rsidR="003E19A1">
        <w:rPr>
          <w:rFonts w:ascii="Palatino Linotype" w:hAnsi="Palatino Linotype" w:hint="default"/>
        </w:rPr>
        <w:t xml:space="preserve"> Ministerio de D</w:t>
      </w:r>
      <w:r w:rsidR="009C4997">
        <w:rPr>
          <w:rFonts w:ascii="Palatino Linotype" w:hAnsi="Palatino Linotype" w:hint="default"/>
        </w:rPr>
        <w:t>efens</w:t>
      </w:r>
      <w:r w:rsidR="003E19A1">
        <w:rPr>
          <w:rFonts w:ascii="Palatino Linotype" w:hAnsi="Palatino Linotype" w:hint="default"/>
        </w:rPr>
        <w:t>a N</w:t>
      </w:r>
      <w:r w:rsidR="009C4997">
        <w:rPr>
          <w:rFonts w:ascii="Palatino Linotype" w:hAnsi="Palatino Linotype" w:hint="default"/>
        </w:rPr>
        <w:t xml:space="preserve">acional, </w:t>
      </w:r>
      <w:r w:rsidR="003E19A1">
        <w:rPr>
          <w:rFonts w:ascii="Palatino Linotype" w:hAnsi="Palatino Linotype" w:hint="default"/>
        </w:rPr>
        <w:t>contiene</w:t>
      </w:r>
      <w:r w:rsidR="009C4997">
        <w:rPr>
          <w:rFonts w:ascii="Palatino Linotype" w:hAnsi="Palatino Linotype" w:hint="default"/>
        </w:rPr>
        <w:t xml:space="preserve"> </w:t>
      </w:r>
      <w:r w:rsidR="003E19A1">
        <w:rPr>
          <w:rFonts w:ascii="Palatino Linotype" w:hAnsi="Palatino Linotype" w:hint="default"/>
        </w:rPr>
        <w:t xml:space="preserve">la </w:t>
      </w:r>
      <w:r w:rsidR="009C4997">
        <w:rPr>
          <w:rFonts w:ascii="Palatino Linotype" w:hAnsi="Palatino Linotype" w:hint="default"/>
        </w:rPr>
        <w:t>regulación referida al control de armas, sus penalidades, y en definitiva los órganos compet</w:t>
      </w:r>
      <w:r w:rsidR="003E19A1">
        <w:rPr>
          <w:rFonts w:ascii="Palatino Linotype" w:hAnsi="Palatino Linotype" w:hint="default"/>
        </w:rPr>
        <w:t>e</w:t>
      </w:r>
      <w:r w:rsidR="009C4997">
        <w:rPr>
          <w:rFonts w:ascii="Palatino Linotype" w:hAnsi="Palatino Linotype" w:hint="default"/>
        </w:rPr>
        <w:t>ntes para dar cumplimiento a esta ley.</w:t>
      </w:r>
    </w:p>
    <w:p w:rsidR="00A64F45" w:rsidRPr="00A64F45" w:rsidRDefault="00A64F45" w:rsidP="00F60807">
      <w:pPr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64F45">
        <w:rPr>
          <w:rFonts w:ascii="Palatino Linotype" w:hAnsi="Palatino Linotype" w:cs="Times New Roman"/>
          <w:b/>
          <w:sz w:val="24"/>
          <w:szCs w:val="24"/>
        </w:rPr>
        <w:t>2.</w:t>
      </w:r>
      <w:r w:rsidRPr="00A64F45">
        <w:rPr>
          <w:rFonts w:ascii="Palatino Linotype" w:hAnsi="Palatino Linotype" w:cs="Times New Roman"/>
          <w:sz w:val="24"/>
          <w:szCs w:val="24"/>
        </w:rPr>
        <w:t xml:space="preserve"> No obs</w:t>
      </w:r>
      <w:r w:rsidR="003E19A1">
        <w:rPr>
          <w:rFonts w:ascii="Palatino Linotype" w:hAnsi="Palatino Linotype" w:cs="Times New Roman"/>
          <w:sz w:val="24"/>
          <w:szCs w:val="24"/>
        </w:rPr>
        <w:t xml:space="preserve">tante lo anterior, y en atención a la data de la Ley N° 17.798, ésta no excluye de la posibilidad de registrar armas a los condenados, procesados o acusados por </w:t>
      </w:r>
      <w:r w:rsidR="003E19A1" w:rsidRPr="009C4997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</w:rPr>
        <w:t>crímenes de lesa humanidad</w:t>
      </w:r>
      <w:r w:rsidR="003E19A1" w:rsidRPr="009C4997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  <w:lang w:val="es-CL"/>
        </w:rPr>
        <w:t xml:space="preserve">, </w:t>
      </w:r>
      <w:r w:rsidR="003E19A1" w:rsidRPr="009C4997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</w:rPr>
        <w:t>genocidio</w:t>
      </w:r>
      <w:r w:rsidR="003E19A1" w:rsidRPr="009C4997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  <w:lang w:val="es-CL"/>
        </w:rPr>
        <w:t>, o</w:t>
      </w:r>
      <w:r w:rsidR="003E19A1" w:rsidRPr="009C4997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</w:rPr>
        <w:t xml:space="preserve"> crímenes y delitos de </w:t>
      </w:r>
      <w:r w:rsidR="003E19A1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</w:rPr>
        <w:t xml:space="preserve">Guerra, los que –actualmente- tienen acceso a portar </w:t>
      </w:r>
      <w:r w:rsidR="00864DAF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</w:rPr>
        <w:t xml:space="preserve">o registrar </w:t>
      </w:r>
      <w:r w:rsidR="003E19A1">
        <w:rPr>
          <w:rFonts w:ascii="Palatino Linotype" w:eastAsia="monospace" w:hAnsi="Palatino Linotype" w:cs="Palatino Linotype"/>
          <w:iCs/>
          <w:sz w:val="24"/>
          <w:szCs w:val="24"/>
          <w:shd w:val="clear" w:color="auto" w:fill="FFFFFF"/>
        </w:rPr>
        <w:t xml:space="preserve">armas, ya que no se encuentran exceptuados por esta ley. </w:t>
      </w:r>
    </w:p>
    <w:p w:rsidR="00A64F45" w:rsidRDefault="00A64F45" w:rsidP="00F60807">
      <w:pPr>
        <w:pStyle w:val="HTMLconformatoprevio"/>
        <w:shd w:val="clear" w:color="auto" w:fill="FFFFFF"/>
        <w:spacing w:line="360" w:lineRule="auto"/>
        <w:jc w:val="both"/>
        <w:rPr>
          <w:rFonts w:ascii="Palatino Linotype" w:hAnsi="Palatino Linotype" w:hint="default"/>
        </w:rPr>
      </w:pPr>
      <w:r w:rsidRPr="00A64F45">
        <w:rPr>
          <w:rFonts w:ascii="Palatino Linotype" w:hAnsi="Palatino Linotype" w:hint="default"/>
          <w:b/>
        </w:rPr>
        <w:t>3.</w:t>
      </w:r>
      <w:r w:rsidRPr="00A64F45">
        <w:rPr>
          <w:rFonts w:ascii="Palatino Linotype" w:hAnsi="Palatino Linotype" w:hint="default"/>
        </w:rPr>
        <w:t xml:space="preserve"> </w:t>
      </w:r>
      <w:r w:rsidR="003E19A1">
        <w:rPr>
          <w:rFonts w:ascii="Palatino Linotype" w:hAnsi="Palatino Linotype" w:hint="default"/>
        </w:rPr>
        <w:t xml:space="preserve">Que lo anterior, a juicio de este legislador es de toda gravedad, toda vez que actualmente existen más de 200 armas inscritas por </w:t>
      </w:r>
      <w:r w:rsidR="003E4AF8">
        <w:rPr>
          <w:rFonts w:ascii="Palatino Linotype" w:hAnsi="Palatino Linotype" w:hint="default"/>
        </w:rPr>
        <w:t>personas que se encuentran condenadas por estos los delitos señalados en el número anterior</w:t>
      </w:r>
      <w:r w:rsidR="003E19A1">
        <w:rPr>
          <w:rFonts w:ascii="Palatino Linotype" w:hAnsi="Palatino Linotype" w:hint="default"/>
        </w:rPr>
        <w:t xml:space="preserve">, correspondiendo a una situación de peligro permanente para la comunidad, en </w:t>
      </w:r>
      <w:r w:rsidR="003E19A1">
        <w:rPr>
          <w:rFonts w:ascii="Palatino Linotype" w:hAnsi="Palatino Linotype" w:hint="default"/>
        </w:rPr>
        <w:lastRenderedPageBreak/>
        <w:t xml:space="preserve">atención a la situación que motiva su situación judicial, así como la gravedad </w:t>
      </w:r>
      <w:r w:rsidR="00F60807">
        <w:rPr>
          <w:rFonts w:ascii="Palatino Linotype" w:hAnsi="Palatino Linotype" w:hint="default"/>
        </w:rPr>
        <w:t>de los delitos cometidos por estas personas.</w:t>
      </w:r>
    </w:p>
    <w:p w:rsidR="00A64F45" w:rsidRPr="00A64F45" w:rsidRDefault="00A64F45" w:rsidP="00F60807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</w:p>
    <w:p w:rsidR="00A64F45" w:rsidRPr="00A64F45" w:rsidRDefault="00A64F45" w:rsidP="00F6080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  <w:r w:rsidRPr="00A64F45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  <w:t xml:space="preserve">IDEA MATRIZ </w:t>
      </w:r>
    </w:p>
    <w:p w:rsidR="00F23C81" w:rsidRPr="009C4997" w:rsidRDefault="00A64F45" w:rsidP="00F60807">
      <w:pPr>
        <w:pStyle w:val="HTMLconformatoprevio"/>
        <w:shd w:val="clear" w:color="auto" w:fill="FFFFFF"/>
        <w:spacing w:line="360" w:lineRule="auto"/>
        <w:jc w:val="both"/>
        <w:rPr>
          <w:rFonts w:ascii="Palatino Linotype" w:eastAsia="Times New Roman" w:hAnsi="Palatino Linotype" w:cs="Courier New" w:hint="default"/>
          <w:lang w:val="es-CL" w:eastAsia="es-CL"/>
        </w:rPr>
      </w:pPr>
      <w:r w:rsidRPr="009C4997">
        <w:rPr>
          <w:rFonts w:ascii="Palatino Linotype" w:hAnsi="Palatino Linotype" w:hint="default"/>
        </w:rPr>
        <w:t xml:space="preserve">El </w:t>
      </w:r>
      <w:r w:rsidR="00061ED3" w:rsidRPr="009C4997">
        <w:rPr>
          <w:rFonts w:ascii="Palatino Linotype" w:hAnsi="Palatino Linotype" w:hint="default"/>
        </w:rPr>
        <w:t>presente proyecto de ley busca establecer la prohibición de mantener</w:t>
      </w:r>
      <w:r w:rsidR="00F60807">
        <w:rPr>
          <w:rFonts w:ascii="Palatino Linotype" w:hAnsi="Palatino Linotype" w:hint="default"/>
        </w:rPr>
        <w:t>, registrar,</w:t>
      </w:r>
      <w:r w:rsidR="00061ED3" w:rsidRPr="009C4997">
        <w:rPr>
          <w:rFonts w:ascii="Palatino Linotype" w:hAnsi="Palatino Linotype" w:hint="default"/>
        </w:rPr>
        <w:t xml:space="preserve"> o acceder a </w:t>
      </w:r>
      <w:r w:rsidR="00F23C81" w:rsidRPr="009C4997">
        <w:rPr>
          <w:rFonts w:ascii="Palatino Linotype" w:hAnsi="Palatino Linotype" w:hint="default"/>
        </w:rPr>
        <w:t>cualquier tipo de</w:t>
      </w:r>
      <w:r w:rsidR="00061ED3" w:rsidRPr="009C4997">
        <w:rPr>
          <w:rFonts w:ascii="Palatino Linotype" w:hAnsi="Palatino Linotype" w:hint="default"/>
        </w:rPr>
        <w:t xml:space="preserve"> armas</w:t>
      </w:r>
      <w:r w:rsidR="00F23C81" w:rsidRPr="009C4997">
        <w:rPr>
          <w:rFonts w:ascii="Palatino Linotype" w:hAnsi="Palatino Linotype" w:hint="default"/>
        </w:rPr>
        <w:t xml:space="preserve"> de las que regula la Ley Nº</w:t>
      </w:r>
      <w:r w:rsidR="00F23C81" w:rsidRPr="009C4997">
        <w:rPr>
          <w:rFonts w:ascii="Palatino Linotype" w:eastAsia="monospace" w:hAnsi="Palatino Linotype" w:cs="Palatino Linotype" w:hint="default"/>
          <w:shd w:val="clear" w:color="auto" w:fill="FFFFFF"/>
        </w:rPr>
        <w:t>17.798</w:t>
      </w:r>
      <w:r w:rsidR="00F23C81" w:rsidRPr="009C4997">
        <w:rPr>
          <w:rFonts w:ascii="Palatino Linotype" w:hAnsi="Palatino Linotype" w:hint="default"/>
        </w:rPr>
        <w:t xml:space="preserve">, a todas aquellas personas que se encontraren 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 xml:space="preserve">formalizadas, procesadas, o condenadas por </w:t>
      </w:r>
      <w:r w:rsidR="00F23C81"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>crímenes de lesa humanidad</w:t>
      </w:r>
      <w:r w:rsidR="00F23C81" w:rsidRPr="009C4997">
        <w:rPr>
          <w:rFonts w:ascii="Palatino Linotype" w:eastAsia="monospace" w:hAnsi="Palatino Linotype" w:cs="Palatino Linotype" w:hint="default"/>
          <w:iCs/>
          <w:shd w:val="clear" w:color="auto" w:fill="FFFFFF"/>
          <w:lang w:val="es-CL"/>
        </w:rPr>
        <w:t xml:space="preserve">, </w:t>
      </w:r>
      <w:r w:rsidR="00F23C81"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>genocidio</w:t>
      </w:r>
      <w:r w:rsidR="00F23C81" w:rsidRPr="009C4997">
        <w:rPr>
          <w:rFonts w:ascii="Palatino Linotype" w:eastAsia="monospace" w:hAnsi="Palatino Linotype" w:cs="Palatino Linotype" w:hint="default"/>
          <w:iCs/>
          <w:shd w:val="clear" w:color="auto" w:fill="FFFFFF"/>
          <w:lang w:val="es-CL"/>
        </w:rPr>
        <w:t>, o</w:t>
      </w:r>
      <w:r w:rsidR="00F23C81"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 xml:space="preserve"> crímenes y delitos de guerra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>, cualquiera sea el grado de participación en ellos. Para ello</w:t>
      </w:r>
      <w:r w:rsidR="009C4997">
        <w:rPr>
          <w:rFonts w:ascii="Palatino Linotype" w:hAnsi="Palatino Linotype" w:cs="Palatino Linotype" w:hint="default"/>
          <w:iCs/>
          <w:lang w:val="es-CL"/>
        </w:rPr>
        <w:t>,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 xml:space="preserve"> se agrega una nueva letra g) al artículo 5 A de la ley modificada</w:t>
      </w:r>
      <w:r w:rsidR="009C4997">
        <w:rPr>
          <w:rFonts w:ascii="Palatino Linotype" w:hAnsi="Palatino Linotype" w:cs="Palatino Linotype" w:hint="default"/>
          <w:iCs/>
          <w:lang w:val="es-CL"/>
        </w:rPr>
        <w:t xml:space="preserve">, </w:t>
      </w:r>
      <w:r w:rsidR="00F60807">
        <w:rPr>
          <w:rFonts w:ascii="Palatino Linotype" w:hAnsi="Palatino Linotype" w:cs="Palatino Linotype" w:hint="default"/>
          <w:iCs/>
          <w:lang w:val="es-CL"/>
        </w:rPr>
        <w:t xml:space="preserve">en </w:t>
      </w:r>
      <w:r w:rsidR="009C4997">
        <w:rPr>
          <w:rFonts w:ascii="Palatino Linotype" w:hAnsi="Palatino Linotype" w:cs="Palatino Linotype" w:hint="default"/>
          <w:iCs/>
          <w:lang w:val="es-CL"/>
        </w:rPr>
        <w:t>el cual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 xml:space="preserve"> </w:t>
      </w:r>
      <w:r w:rsidR="00F60807">
        <w:rPr>
          <w:rFonts w:ascii="Palatino Linotype" w:hAnsi="Palatino Linotype" w:cs="Palatino Linotype" w:hint="default"/>
          <w:iCs/>
          <w:lang w:val="es-CL"/>
        </w:rPr>
        <w:t xml:space="preserve">se 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>establece</w:t>
      </w:r>
      <w:r w:rsidR="00F60807">
        <w:rPr>
          <w:rFonts w:ascii="Palatino Linotype" w:hAnsi="Palatino Linotype" w:cs="Palatino Linotype" w:hint="default"/>
          <w:iCs/>
          <w:lang w:val="es-CL"/>
        </w:rPr>
        <w:t>n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 xml:space="preserve"> las condiciones o requisitos que una persona </w:t>
      </w:r>
      <w:r w:rsidR="009C4997">
        <w:rPr>
          <w:rFonts w:ascii="Palatino Linotype" w:hAnsi="Palatino Linotype" w:cs="Palatino Linotype" w:hint="default"/>
          <w:iCs/>
          <w:lang w:val="es-CL"/>
        </w:rPr>
        <w:t>debe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 xml:space="preserve"> acreditar para que la </w:t>
      </w:r>
      <w:r w:rsidR="009C4997" w:rsidRPr="009C4997">
        <w:rPr>
          <w:rFonts w:ascii="Palatino Linotype" w:hAnsi="Palatino Linotype" w:cs="Palatino Linotype" w:hint="default"/>
          <w:iCs/>
          <w:lang w:val="es-CL"/>
        </w:rPr>
        <w:t>autoridad</w:t>
      </w:r>
      <w:r w:rsidR="00F23C81" w:rsidRPr="009C4997">
        <w:rPr>
          <w:rFonts w:ascii="Palatino Linotype" w:hAnsi="Palatino Linotype" w:cs="Palatino Linotype" w:hint="default"/>
          <w:iCs/>
          <w:lang w:val="es-CL"/>
        </w:rPr>
        <w:t xml:space="preserve"> competente permita la </w:t>
      </w:r>
      <w:r w:rsidR="00F23C81" w:rsidRPr="009C4997">
        <w:rPr>
          <w:rFonts w:ascii="Palatino Linotype" w:eastAsia="Times New Roman" w:hAnsi="Palatino Linotype" w:cs="Courier New" w:hint="default"/>
          <w:lang w:val="es-CL" w:eastAsia="es-CL"/>
        </w:rPr>
        <w:t>inscripción de una o más armas a su nombre.</w:t>
      </w:r>
    </w:p>
    <w:p w:rsidR="00F23C81" w:rsidRPr="009C4997" w:rsidRDefault="00F23C81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eastAsia="monospace" w:hAnsi="Palatino Linotype" w:cs="Palatino Linotype" w:hint="default"/>
          <w:iCs/>
          <w:shd w:val="clear" w:color="auto" w:fill="FFFFFF"/>
          <w:lang w:val="es-CL"/>
        </w:rPr>
      </w:pPr>
      <w:r w:rsidRPr="009C4997">
        <w:rPr>
          <w:rFonts w:ascii="Palatino Linotype" w:eastAsia="Times New Roman" w:hAnsi="Palatino Linotype" w:hint="default"/>
          <w:bCs/>
          <w:lang w:val="es-ES" w:eastAsia="es-ES" w:bidi="he-IL"/>
        </w:rPr>
        <w:t xml:space="preserve">Junto con lo anterior, y para efectos de darle contenido a esta limitación, se modifican los incisos quinto y final del </w:t>
      </w:r>
      <w:r w:rsidR="009C4997" w:rsidRPr="009C4997">
        <w:rPr>
          <w:rFonts w:ascii="Palatino Linotype" w:eastAsia="Times New Roman" w:hAnsi="Palatino Linotype" w:hint="default"/>
          <w:bCs/>
          <w:lang w:val="es-ES" w:eastAsia="es-ES" w:bidi="he-IL"/>
        </w:rPr>
        <w:t>artículo</w:t>
      </w:r>
      <w:r w:rsidRPr="009C4997">
        <w:rPr>
          <w:rFonts w:ascii="Palatino Linotype" w:eastAsia="Times New Roman" w:hAnsi="Palatino Linotype" w:hint="default"/>
          <w:bCs/>
          <w:lang w:val="es-ES" w:eastAsia="es-ES" w:bidi="he-IL"/>
        </w:rPr>
        <w:t xml:space="preserve"> 5 A, en el sentido de, por una parte, cancelar 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>la inscripción vigente de</w:t>
      </w:r>
      <w:r w:rsid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 xml:space="preserve"> armas a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 xml:space="preserve"> todas y todos aquellos que </w:t>
      </w:r>
      <w:r w:rsidRPr="009C4997">
        <w:rPr>
          <w:rFonts w:ascii="Palatino Linotype" w:hAnsi="Palatino Linotype" w:hint="default"/>
        </w:rPr>
        <w:t xml:space="preserve">se encontraren </w:t>
      </w:r>
      <w:r w:rsidR="009C4997">
        <w:rPr>
          <w:rFonts w:ascii="Palatino Linotype" w:hAnsi="Palatino Linotype" w:cs="Palatino Linotype" w:hint="default"/>
          <w:iCs/>
          <w:lang w:val="es-CL"/>
        </w:rPr>
        <w:t>formalizados, procesados, o condenado</w:t>
      </w:r>
      <w:r w:rsidRPr="009C4997">
        <w:rPr>
          <w:rFonts w:ascii="Palatino Linotype" w:hAnsi="Palatino Linotype" w:cs="Palatino Linotype" w:hint="default"/>
          <w:iCs/>
          <w:lang w:val="es-CL"/>
        </w:rPr>
        <w:t xml:space="preserve">s por 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>crímenes de lesa humanidad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  <w:lang w:val="es-CL"/>
        </w:rPr>
        <w:t xml:space="preserve">, 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>genocidio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  <w:lang w:val="es-CL"/>
        </w:rPr>
        <w:t>, o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 xml:space="preserve"> crímenes y delitos de guerra , sin </w:t>
      </w:r>
      <w:r w:rsid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>posibilidad de reempla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>zarla hasta que se dicte</w:t>
      </w:r>
      <w:r w:rsid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 xml:space="preserve"> a</w:t>
      </w:r>
      <w:r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 xml:space="preserve"> su favor una resolución o sentencia absolutoria; y por otra,</w:t>
      </w:r>
      <w:r w:rsidR="009C4997" w:rsidRPr="009C4997">
        <w:rPr>
          <w:rFonts w:ascii="Palatino Linotype" w:eastAsia="monospace" w:hAnsi="Palatino Linotype" w:cs="Palatino Linotype" w:hint="default"/>
          <w:iCs/>
          <w:shd w:val="clear" w:color="auto" w:fill="FFFFFF"/>
        </w:rPr>
        <w:t xml:space="preserve"> establecer la retención de las armas de fuego, sus municiones o cartuchos  y remitirlas al Depósito Central de Armas de Carabineros de Chile hasta el término del procedimiento penal que exima de responsabilidad al imputado, procesado o acusado por los mencionados delitos. </w:t>
      </w:r>
    </w:p>
    <w:p w:rsidR="00A64F45" w:rsidRPr="009C4997" w:rsidRDefault="00A64F45" w:rsidP="00F60807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A64F45" w:rsidRDefault="00A64F45" w:rsidP="00F60807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F60807" w:rsidRDefault="00F60807" w:rsidP="00F60807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A64F45" w:rsidRPr="00A64F45" w:rsidRDefault="00A64F45" w:rsidP="00F60807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D36C90" w:rsidRDefault="00D36C90" w:rsidP="00F60807">
      <w:pPr>
        <w:spacing w:after="0" w:line="360" w:lineRule="auto"/>
        <w:ind w:left="2124" w:firstLine="708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A64F45" w:rsidRPr="00A64F45" w:rsidRDefault="00A64F45" w:rsidP="00F60807">
      <w:pPr>
        <w:spacing w:after="0" w:line="360" w:lineRule="auto"/>
        <w:ind w:left="2124" w:firstLine="708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  <w:bookmarkStart w:id="0" w:name="_GoBack"/>
      <w:bookmarkEnd w:id="0"/>
      <w:r w:rsidRPr="00A64F45"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  <w:t>PROYECTO DE LEY:</w:t>
      </w:r>
    </w:p>
    <w:p w:rsidR="00897318" w:rsidRPr="00A64F45" w:rsidRDefault="00897318" w:rsidP="00F60807">
      <w:pPr>
        <w:spacing w:line="360" w:lineRule="auto"/>
        <w:rPr>
          <w:rFonts w:ascii="Palatino Linotype" w:hAnsi="Palatino Linotype"/>
          <w:lang w:val="es-CL"/>
        </w:rPr>
      </w:pPr>
    </w:p>
    <w:p w:rsidR="00897318" w:rsidRPr="00A64F45" w:rsidRDefault="00BB1221" w:rsidP="00F60807">
      <w:pPr>
        <w:spacing w:line="360" w:lineRule="auto"/>
        <w:rPr>
          <w:rFonts w:ascii="Palatino Linotype" w:hAnsi="Palatino Linotype" w:cs="Palatino Linotype"/>
          <w:sz w:val="24"/>
          <w:szCs w:val="24"/>
          <w:lang w:val="es-CL"/>
        </w:rPr>
      </w:pPr>
      <w:r w:rsidRPr="00A64F45">
        <w:rPr>
          <w:rFonts w:ascii="Palatino Linotype" w:hAnsi="Palatino Linotype" w:cs="Palatino Linotype"/>
          <w:sz w:val="24"/>
          <w:szCs w:val="24"/>
          <w:lang w:val="es-CL"/>
        </w:rPr>
        <w:t>Artículo único: i</w:t>
      </w:r>
      <w:r w:rsidRPr="00A64F45">
        <w:rPr>
          <w:rFonts w:ascii="Palatino Linotype" w:eastAsia="monospace" w:hAnsi="Palatino Linotype" w:cs="Palatino Linotype"/>
          <w:sz w:val="24"/>
          <w:szCs w:val="24"/>
          <w:shd w:val="clear" w:color="auto" w:fill="FFFFFF"/>
        </w:rPr>
        <w:t xml:space="preserve">ntrodúcense </w:t>
      </w:r>
      <w:r w:rsidR="00A64F45">
        <w:rPr>
          <w:rFonts w:ascii="Palatino Linotype" w:eastAsia="monospace" w:hAnsi="Palatino Linotype" w:cs="Palatino Linotype"/>
          <w:sz w:val="24"/>
          <w:szCs w:val="24"/>
          <w:shd w:val="clear" w:color="auto" w:fill="FFFFFF"/>
        </w:rPr>
        <w:t>las siguientes modificaciones a</w:t>
      </w:r>
      <w:r w:rsidRPr="00A64F45">
        <w:rPr>
          <w:rFonts w:ascii="Palatino Linotype" w:eastAsia="monospace" w:hAnsi="Palatino Linotype" w:cs="Palatino Linotype"/>
          <w:sz w:val="24"/>
          <w:szCs w:val="24"/>
          <w:shd w:val="clear" w:color="auto" w:fill="FFFFFF"/>
        </w:rPr>
        <w:t xml:space="preserve"> la ley Nº17.798, sobre Control de Armas, cuyo texto refundido, coordinado y sistematizado fue fijado por el </w:t>
      </w:r>
      <w:hyperlink r:id="rId11" w:history="1">
        <w:r w:rsidRPr="00A64F45">
          <w:rPr>
            <w:rStyle w:val="Hipervnculo"/>
            <w:rFonts w:ascii="Palatino Linotype" w:eastAsia="monospace" w:hAnsi="Palatino Linotype" w:cs="Palatino Linotype"/>
            <w:color w:val="auto"/>
            <w:sz w:val="24"/>
            <w:szCs w:val="24"/>
            <w:shd w:val="clear" w:color="auto" w:fill="FFFFFF"/>
          </w:rPr>
          <w:t>decreto Nº400, de 1978, del Ministerio de Defensa Nacional</w:t>
        </w:r>
      </w:hyperlink>
      <w:r w:rsidRPr="00A64F45">
        <w:rPr>
          <w:rFonts w:ascii="Palatino Linotype" w:eastAsia="monospace" w:hAnsi="Palatino Linotype" w:cs="Palatino Linotype"/>
          <w:sz w:val="24"/>
          <w:szCs w:val="24"/>
          <w:shd w:val="clear" w:color="auto" w:fill="FFFFFF"/>
        </w:rPr>
        <w:t>:</w:t>
      </w:r>
    </w:p>
    <w:p w:rsidR="00897318" w:rsidRPr="00A64F45" w:rsidRDefault="00897318" w:rsidP="00F60807">
      <w:pPr>
        <w:spacing w:line="360" w:lineRule="auto"/>
        <w:rPr>
          <w:rFonts w:ascii="Palatino Linotype" w:hAnsi="Palatino Linotype" w:cs="Palatino Linotype"/>
          <w:sz w:val="24"/>
          <w:szCs w:val="24"/>
          <w:lang w:val="es-CL"/>
        </w:rPr>
      </w:pPr>
    </w:p>
    <w:p w:rsidR="00897318" w:rsidRPr="00F60807" w:rsidRDefault="00597B6E" w:rsidP="00F60807">
      <w:pPr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sz w:val="24"/>
          <w:szCs w:val="24"/>
          <w:lang w:val="es-CL"/>
        </w:rPr>
      </w:pPr>
      <w:r>
        <w:rPr>
          <w:rFonts w:ascii="Palatino Linotype" w:hAnsi="Palatino Linotype" w:cs="Palatino Linotype"/>
          <w:sz w:val="24"/>
          <w:szCs w:val="24"/>
          <w:lang w:val="es-CL"/>
        </w:rPr>
        <w:t>Para agregar una nueva letra g</w:t>
      </w:r>
      <w:r w:rsidR="00BB1221" w:rsidRPr="00A64F45">
        <w:rPr>
          <w:rFonts w:ascii="Palatino Linotype" w:hAnsi="Palatino Linotype" w:cs="Palatino Linotype"/>
          <w:sz w:val="24"/>
          <w:szCs w:val="24"/>
          <w:lang w:val="es-CL"/>
        </w:rPr>
        <w:t>) al ar</w:t>
      </w:r>
      <w:r>
        <w:rPr>
          <w:rFonts w:ascii="Palatino Linotype" w:hAnsi="Palatino Linotype" w:cs="Palatino Linotype"/>
          <w:sz w:val="24"/>
          <w:szCs w:val="24"/>
          <w:lang w:val="es-CL"/>
        </w:rPr>
        <w:t>t. 5A, pasando la actual letra g) a ser letra h</w:t>
      </w:r>
      <w:r w:rsidR="00BB1221" w:rsidRPr="00A64F45">
        <w:rPr>
          <w:rFonts w:ascii="Palatino Linotype" w:hAnsi="Palatino Linotype" w:cs="Palatino Linotype"/>
          <w:sz w:val="24"/>
          <w:szCs w:val="24"/>
          <w:lang w:val="es-CL"/>
        </w:rPr>
        <w:t xml:space="preserve">), </w:t>
      </w:r>
      <w:r>
        <w:rPr>
          <w:rFonts w:ascii="Palatino Linotype" w:hAnsi="Palatino Linotype" w:cs="Palatino Linotype"/>
          <w:sz w:val="24"/>
          <w:szCs w:val="24"/>
          <w:lang w:val="es-CL"/>
        </w:rPr>
        <w:t xml:space="preserve">y así sucesivamente, </w:t>
      </w:r>
      <w:r w:rsidR="00BB1221" w:rsidRPr="00A64F45">
        <w:rPr>
          <w:rFonts w:ascii="Palatino Linotype" w:hAnsi="Palatino Linotype" w:cs="Palatino Linotype"/>
          <w:sz w:val="24"/>
          <w:szCs w:val="24"/>
          <w:lang w:val="es-CL"/>
        </w:rPr>
        <w:t>del siguiente tenor:</w:t>
      </w:r>
    </w:p>
    <w:p w:rsidR="00897318" w:rsidRPr="00A64F45" w:rsidRDefault="00BB1221" w:rsidP="00F60807">
      <w:pPr>
        <w:pStyle w:val="HTMLconformatoprevio"/>
        <w:shd w:val="clear" w:color="auto" w:fill="FFFFFF"/>
        <w:spacing w:after="0" w:line="360" w:lineRule="auto"/>
        <w:rPr>
          <w:rFonts w:ascii="Palatino Linotype" w:hAnsi="Palatino Linotype" w:cs="Palatino Linotype" w:hint="default"/>
          <w:i/>
          <w:iCs/>
          <w:lang w:val="es-CL"/>
        </w:rPr>
      </w:pPr>
      <w:r w:rsidRPr="00A64F45">
        <w:rPr>
          <w:rFonts w:ascii="Palatino Linotype" w:hAnsi="Palatino Linotype" w:cs="Palatino Linotype" w:hint="default"/>
          <w:i/>
          <w:iCs/>
          <w:lang w:val="es-CL"/>
        </w:rPr>
        <w:t>“</w:t>
      </w:r>
      <w:r w:rsidR="00597B6E">
        <w:rPr>
          <w:rFonts w:ascii="Palatino Linotype" w:hAnsi="Palatino Linotype" w:cs="Palatino Linotype" w:hint="default"/>
          <w:i/>
          <w:iCs/>
          <w:lang w:val="es-CL"/>
        </w:rPr>
        <w:t xml:space="preserve">g) </w:t>
      </w:r>
      <w:r w:rsidRPr="00A64F45">
        <w:rPr>
          <w:rFonts w:ascii="Palatino Linotype" w:hAnsi="Palatino Linotype" w:cs="Palatino Linotype" w:hint="default"/>
          <w:i/>
          <w:iCs/>
          <w:lang w:val="es-CL"/>
        </w:rPr>
        <w:t xml:space="preserve">no encontrarse formalizado, procesado, o condenado por 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crímenes de lesa humanidad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 xml:space="preserve">, 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genocidio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, o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 crímenes y delitos de guerra</w:t>
      </w:r>
      <w:r w:rsidRPr="00A64F45">
        <w:rPr>
          <w:rFonts w:ascii="Palatino Linotype" w:hAnsi="Palatino Linotype" w:cs="Palatino Linotype" w:hint="default"/>
          <w:i/>
          <w:iCs/>
          <w:lang w:val="es-CL"/>
        </w:rPr>
        <w:t xml:space="preserve">, cualquiera sea el grado de participación en ellos.”. </w:t>
      </w:r>
    </w:p>
    <w:p w:rsidR="00897318" w:rsidRPr="00A64F45" w:rsidRDefault="00897318" w:rsidP="00F60807">
      <w:pPr>
        <w:pStyle w:val="HTMLconformatoprevio"/>
        <w:shd w:val="clear" w:color="auto" w:fill="FFFFFF"/>
        <w:spacing w:after="0" w:line="360" w:lineRule="auto"/>
        <w:rPr>
          <w:rFonts w:ascii="Palatino Linotype" w:hAnsi="Palatino Linotype" w:cs="Palatino Linotype" w:hint="default"/>
          <w:lang w:val="es-CL"/>
        </w:rPr>
      </w:pPr>
    </w:p>
    <w:p w:rsidR="00897318" w:rsidRPr="00A64F45" w:rsidRDefault="00597B6E" w:rsidP="00F60807">
      <w:pPr>
        <w:pStyle w:val="HTMLconformatoprevio"/>
        <w:numPr>
          <w:ilvl w:val="0"/>
          <w:numId w:val="1"/>
        </w:numPr>
        <w:shd w:val="clear" w:color="auto" w:fill="FFFFFF"/>
        <w:spacing w:after="0" w:line="360" w:lineRule="auto"/>
        <w:rPr>
          <w:rFonts w:ascii="Palatino Linotype" w:hAnsi="Palatino Linotype" w:cs="Palatino Linotype" w:hint="default"/>
          <w:lang w:val="es-CL"/>
        </w:rPr>
      </w:pPr>
      <w:r>
        <w:rPr>
          <w:rFonts w:ascii="Palatino Linotype" w:hAnsi="Palatino Linotype" w:cs="Palatino Linotype" w:hint="default"/>
          <w:lang w:val="es-CL"/>
        </w:rPr>
        <w:t>Para reemplazar el inciso 5</w:t>
      </w:r>
      <w:r w:rsidR="00BB1221" w:rsidRPr="00A64F45">
        <w:rPr>
          <w:rFonts w:ascii="Palatino Linotype" w:hAnsi="Palatino Linotype" w:cs="Palatino Linotype" w:hint="default"/>
          <w:lang w:val="es-CL"/>
        </w:rPr>
        <w:t xml:space="preserve"> por el siguiente:</w:t>
      </w:r>
    </w:p>
    <w:p w:rsidR="00897318" w:rsidRPr="00A64F45" w:rsidRDefault="00897318" w:rsidP="00F60807">
      <w:pPr>
        <w:pStyle w:val="HTMLconformatoprevio"/>
        <w:shd w:val="clear" w:color="auto" w:fill="FFFFFF"/>
        <w:spacing w:after="0" w:line="360" w:lineRule="auto"/>
        <w:rPr>
          <w:rFonts w:ascii="Palatino Linotype" w:hAnsi="Palatino Linotype" w:cs="Palatino Linotype" w:hint="default"/>
          <w:i/>
          <w:iCs/>
          <w:lang w:val="es-CL"/>
        </w:rPr>
      </w:pPr>
    </w:p>
    <w:p w:rsidR="00F60807" w:rsidRDefault="00BB1221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</w:pP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“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Si, por circunstancia sobreviniente, el poseedor o tenedor de un arma inscrita pierde las aptitudes consignadas en la letra c)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,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 o es condenado en conformidad con la letra d), o bien sancionado en los procesos a que se refiere la letra </w:t>
      </w:r>
      <w:r w:rsidRPr="00597B6E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f),</w:t>
      </w:r>
      <w:r w:rsidRPr="00597B6E">
        <w:rPr>
          <w:rFonts w:ascii="Palatino Linotype" w:eastAsia="monospace" w:hAnsi="Palatino Linotype" w:cs="Palatino Linotype" w:hint="default"/>
          <w:b/>
          <w:i/>
          <w:iCs/>
          <w:shd w:val="clear" w:color="auto" w:fill="FFFFFF"/>
        </w:rPr>
        <w:t xml:space="preserve"> </w:t>
      </w:r>
      <w:r w:rsidR="00864DAF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la Dirección General de 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Movilización Nacional deberá proceder a cancelar la respectiva inscripción, reemplazándola por una nueva a nombre de la persona que el poseedor o tenedor original señale y que cuente con autorización para la posesión o tenencia de armas.</w:t>
      </w:r>
      <w:r w:rsidR="000F400B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 </w:t>
      </w:r>
      <w:r w:rsidR="000F400B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Tratándose de las circunstancias establecidas en la </w:t>
      </w:r>
      <w:r w:rsidR="000F400B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 xml:space="preserve">letra g), </w:t>
      </w:r>
      <w:r w:rsidR="000F400B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la Dirección General de Movilización Nacional procederá a cancelar la respectiva inscripción, sin que el poseedor o titular de un arma inscrita pueda reemplazarla por una nueva</w:t>
      </w:r>
      <w:r w:rsidR="00A65E01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, salvo que se dicte en su favor una resolución o sentencia absolutoria</w:t>
      </w:r>
      <w:r w:rsidR="00D00ABE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.</w:t>
      </w:r>
      <w:r w:rsidR="000F400B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”</w:t>
      </w:r>
      <w:r w:rsidR="00D00ABE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.</w:t>
      </w:r>
    </w:p>
    <w:p w:rsidR="00F60807" w:rsidRPr="00A64F45" w:rsidRDefault="00F60807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</w:pPr>
    </w:p>
    <w:p w:rsidR="00897318" w:rsidRPr="00A64F45" w:rsidRDefault="00BB1221" w:rsidP="00F60807">
      <w:pPr>
        <w:pStyle w:val="HTMLconformatoprevio"/>
        <w:numPr>
          <w:ilvl w:val="0"/>
          <w:numId w:val="1"/>
        </w:numPr>
        <w:shd w:val="clear" w:color="auto" w:fill="FFFFFF"/>
        <w:spacing w:after="0" w:line="360" w:lineRule="auto"/>
        <w:rPr>
          <w:rFonts w:ascii="Palatino Linotype" w:hAnsi="Palatino Linotype" w:cs="Palatino Linotype" w:hint="default"/>
          <w:lang w:val="es-CL"/>
        </w:rPr>
      </w:pPr>
      <w:r w:rsidRPr="00A64F45">
        <w:rPr>
          <w:rFonts w:ascii="Palatino Linotype" w:hAnsi="Palatino Linotype" w:cs="Palatino Linotype" w:hint="default"/>
          <w:lang w:val="es-CL"/>
        </w:rPr>
        <w:lastRenderedPageBreak/>
        <w:t>Para reemplazar el inciso final por el siguiente:</w:t>
      </w:r>
    </w:p>
    <w:p w:rsidR="00897318" w:rsidRPr="00A64F45" w:rsidRDefault="00897318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</w:pPr>
    </w:p>
    <w:p w:rsidR="00897318" w:rsidRDefault="00BB1221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</w:pP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“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Las armas de fuego que se encuentren inscritas a nombre de la persona respecto de la cual se hubiere decretado alguna de las medidas cautelares señaladas en la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s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 letra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s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 </w:t>
      </w:r>
      <w:r w:rsidRPr="00A64F45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 xml:space="preserve">h) </w:t>
      </w:r>
      <w:r w:rsidR="00A65E01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>o respecto de aquellas personas que se encuentren en alguna de las circunstancias señaladas en la letra g)</w:t>
      </w:r>
      <w:r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  <w:lang w:val="es-CL"/>
        </w:rPr>
        <w:t xml:space="preserve"> </w:t>
      </w:r>
      <w:r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de este artículo</w:t>
      </w:r>
      <w:r w:rsidR="00A65E01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, así como</w:t>
      </w:r>
      <w:r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 sus respectivas municiones o cartuchos</w:t>
      </w:r>
      <w:r w:rsidR="00A65E01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,</w:t>
      </w:r>
      <w:r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 serán retenidas provisoriamente por orden del tribunal respectivo y remitidas directamente al Depósito Central de Armas de Carabineros de Chile hasta el alzamiento de la </w:t>
      </w:r>
      <w:r w:rsidR="00A65E01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 xml:space="preserve">medida cautelar correspondiente, o el término del procedimiento penal que exima de responsabilidad al imputado, procesado o acusado. Una vez que cese la medida establecida en la letra h) o se dicte una resolución o sentencia absolutoria en los casos establecidos en la letra g), </w:t>
      </w:r>
      <w:r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el poseedor o tenedor del arma de fuego inscrita podrá solicitar su devolución, conjuntamente con sus municiones o cartuchos, previo pago de los derechos que correspondan.</w:t>
      </w:r>
      <w:r w:rsidR="00A65E01" w:rsidRPr="009C4997"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  <w:t>”.</w:t>
      </w:r>
    </w:p>
    <w:p w:rsidR="00F60807" w:rsidRDefault="00F60807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eastAsia="monospace" w:hAnsi="Palatino Linotype" w:cs="Palatino Linotype" w:hint="default"/>
          <w:i/>
          <w:iCs/>
          <w:shd w:val="clear" w:color="auto" w:fill="FFFFFF"/>
        </w:rPr>
      </w:pPr>
    </w:p>
    <w:p w:rsidR="00F60807" w:rsidRPr="00E0681C" w:rsidRDefault="00F60807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eastAsia="monospace" w:hAnsi="Palatino Linotype" w:cs="Palatino Linotype" w:hint="default"/>
          <w:b/>
          <w:i/>
          <w:iCs/>
          <w:sz w:val="28"/>
          <w:szCs w:val="28"/>
        </w:rPr>
      </w:pPr>
    </w:p>
    <w:p w:rsidR="00897318" w:rsidRPr="00E0681C" w:rsidRDefault="00E0681C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hAnsi="Palatino Linotype" w:cs="Palatino Linotype" w:hint="default"/>
          <w:b/>
          <w:iCs/>
          <w:sz w:val="28"/>
          <w:szCs w:val="28"/>
          <w:lang w:val="es-CL"/>
        </w:rPr>
      </w:pPr>
      <w:r w:rsidRPr="00E0681C">
        <w:rPr>
          <w:rFonts w:ascii="Palatino Linotype" w:hAnsi="Palatino Linotype" w:cs="Palatino Linotype" w:hint="default"/>
          <w:b/>
          <w:i/>
          <w:iCs/>
          <w:sz w:val="28"/>
          <w:szCs w:val="28"/>
          <w:lang w:val="es-CL"/>
        </w:rPr>
        <w:tab/>
      </w:r>
      <w:r w:rsidRPr="00E0681C">
        <w:rPr>
          <w:rFonts w:ascii="Palatino Linotype" w:hAnsi="Palatino Linotype" w:cs="Palatino Linotype" w:hint="default"/>
          <w:b/>
          <w:i/>
          <w:iCs/>
          <w:sz w:val="28"/>
          <w:szCs w:val="28"/>
          <w:lang w:val="es-CL"/>
        </w:rPr>
        <w:tab/>
      </w:r>
      <w:r w:rsidRPr="00E0681C">
        <w:rPr>
          <w:rFonts w:ascii="Palatino Linotype" w:hAnsi="Palatino Linotype" w:cs="Palatino Linotype" w:hint="default"/>
          <w:b/>
          <w:i/>
          <w:iCs/>
          <w:sz w:val="28"/>
          <w:szCs w:val="28"/>
          <w:lang w:val="es-CL"/>
        </w:rPr>
        <w:tab/>
        <w:t xml:space="preserve">  </w:t>
      </w:r>
      <w:r w:rsidRPr="00E0681C">
        <w:rPr>
          <w:rFonts w:ascii="Palatino Linotype" w:hAnsi="Palatino Linotype" w:cs="Palatino Linotype" w:hint="default"/>
          <w:b/>
          <w:iCs/>
          <w:sz w:val="28"/>
          <w:szCs w:val="28"/>
          <w:lang w:val="es-CL"/>
        </w:rPr>
        <w:t>Jaime Naranjo Ortiz.</w:t>
      </w:r>
    </w:p>
    <w:p w:rsidR="00E0681C" w:rsidRPr="00E0681C" w:rsidRDefault="00E0681C" w:rsidP="00F60807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hAnsi="Palatino Linotype" w:cs="Palatino Linotype" w:hint="default"/>
          <w:b/>
          <w:iCs/>
          <w:sz w:val="28"/>
          <w:szCs w:val="28"/>
          <w:lang w:val="es-CL"/>
        </w:rPr>
      </w:pPr>
      <w:r w:rsidRPr="00E0681C">
        <w:rPr>
          <w:rFonts w:ascii="Palatino Linotype" w:hAnsi="Palatino Linotype" w:cs="Palatino Linotype" w:hint="default"/>
          <w:b/>
          <w:iCs/>
          <w:sz w:val="28"/>
          <w:szCs w:val="28"/>
          <w:lang w:val="es-CL"/>
        </w:rPr>
        <w:tab/>
      </w:r>
      <w:r w:rsidRPr="00E0681C">
        <w:rPr>
          <w:rFonts w:ascii="Palatino Linotype" w:hAnsi="Palatino Linotype" w:cs="Palatino Linotype" w:hint="default"/>
          <w:b/>
          <w:iCs/>
          <w:sz w:val="28"/>
          <w:szCs w:val="28"/>
          <w:lang w:val="es-CL"/>
        </w:rPr>
        <w:tab/>
      </w:r>
      <w:r w:rsidRPr="00E0681C">
        <w:rPr>
          <w:rFonts w:ascii="Palatino Linotype" w:hAnsi="Palatino Linotype" w:cs="Palatino Linotype" w:hint="default"/>
          <w:b/>
          <w:iCs/>
          <w:sz w:val="28"/>
          <w:szCs w:val="28"/>
          <w:lang w:val="es-CL"/>
        </w:rPr>
        <w:tab/>
      </w:r>
      <w:r w:rsidRPr="00E0681C">
        <w:rPr>
          <w:rFonts w:ascii="Palatino Linotype" w:hAnsi="Palatino Linotype" w:cs="Palatino Linotype" w:hint="default"/>
          <w:b/>
          <w:iCs/>
          <w:sz w:val="28"/>
          <w:szCs w:val="28"/>
          <w:lang w:val="es-CL"/>
        </w:rPr>
        <w:tab/>
        <w:t xml:space="preserve">Diputado </w:t>
      </w:r>
    </w:p>
    <w:sectPr w:rsidR="00E0681C" w:rsidRPr="00E0681C" w:rsidSect="00D36C90">
      <w:footerReference w:type="default" r:id="rId12"/>
      <w:pgSz w:w="12240" w:h="15840" w:code="1"/>
      <w:pgMar w:top="127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BE" w:rsidRDefault="00B95EBE" w:rsidP="00E0681C">
      <w:pPr>
        <w:spacing w:after="0" w:line="240" w:lineRule="auto"/>
      </w:pPr>
      <w:r>
        <w:separator/>
      </w:r>
    </w:p>
  </w:endnote>
  <w:endnote w:type="continuationSeparator" w:id="0">
    <w:p w:rsidR="00B95EBE" w:rsidRDefault="00B95EBE" w:rsidP="00E0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space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80945"/>
      <w:docPartObj>
        <w:docPartGallery w:val="Page Numbers (Bottom of Page)"/>
        <w:docPartUnique/>
      </w:docPartObj>
    </w:sdtPr>
    <w:sdtEndPr/>
    <w:sdtContent>
      <w:p w:rsidR="00E0681C" w:rsidRDefault="00E068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90" w:rsidRPr="00D36C90">
          <w:rPr>
            <w:noProof/>
            <w:lang w:val="es-ES"/>
          </w:rPr>
          <w:t>1</w:t>
        </w:r>
        <w:r>
          <w:fldChar w:fldCharType="end"/>
        </w:r>
      </w:p>
    </w:sdtContent>
  </w:sdt>
  <w:p w:rsidR="00E0681C" w:rsidRDefault="00E06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BE" w:rsidRDefault="00B95EBE" w:rsidP="00E0681C">
      <w:pPr>
        <w:spacing w:after="0" w:line="240" w:lineRule="auto"/>
      </w:pPr>
      <w:r>
        <w:separator/>
      </w:r>
    </w:p>
  </w:footnote>
  <w:footnote w:type="continuationSeparator" w:id="0">
    <w:p w:rsidR="00B95EBE" w:rsidRDefault="00B95EBE" w:rsidP="00E06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933A57"/>
    <w:multiLevelType w:val="singleLevel"/>
    <w:tmpl w:val="89933A5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22E64AB"/>
    <w:multiLevelType w:val="hybridMultilevel"/>
    <w:tmpl w:val="57280C0C"/>
    <w:lvl w:ilvl="0" w:tplc="F7D0AE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17870"/>
    <w:rsid w:val="00061ED3"/>
    <w:rsid w:val="000F400B"/>
    <w:rsid w:val="003B0B45"/>
    <w:rsid w:val="003E19A1"/>
    <w:rsid w:val="003E4AF8"/>
    <w:rsid w:val="003F3D84"/>
    <w:rsid w:val="00597B6E"/>
    <w:rsid w:val="005E4156"/>
    <w:rsid w:val="00704D0A"/>
    <w:rsid w:val="007640EA"/>
    <w:rsid w:val="00864DAF"/>
    <w:rsid w:val="00897318"/>
    <w:rsid w:val="009C4997"/>
    <w:rsid w:val="00A64F45"/>
    <w:rsid w:val="00A65E01"/>
    <w:rsid w:val="00B95EBE"/>
    <w:rsid w:val="00BB1221"/>
    <w:rsid w:val="00D00ABE"/>
    <w:rsid w:val="00D36C90"/>
    <w:rsid w:val="00DC6F7D"/>
    <w:rsid w:val="00E0681C"/>
    <w:rsid w:val="00F23C81"/>
    <w:rsid w:val="00F60807"/>
    <w:rsid w:val="01810106"/>
    <w:rsid w:val="4EA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3741CC5-FAA2-49B2-99C3-57A62E6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link w:val="Ttulo1Car"/>
    <w:uiPriority w:val="9"/>
    <w:qFormat/>
    <w:rsid w:val="00A64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64F45"/>
    <w:rPr>
      <w:rFonts w:eastAsia="Times New Roman"/>
      <w:b/>
      <w:bCs/>
      <w:kern w:val="36"/>
      <w:sz w:val="48"/>
      <w:szCs w:val="48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64F45"/>
    <w:rPr>
      <w:rFonts w:ascii="SimSun" w:hAnsi="SimSun"/>
      <w:sz w:val="24"/>
      <w:szCs w:val="24"/>
      <w:lang w:val="en-US" w:eastAsia="zh-CN"/>
    </w:rPr>
  </w:style>
  <w:style w:type="paragraph" w:styleId="Prrafodelista">
    <w:name w:val="List Paragraph"/>
    <w:basedOn w:val="Normal"/>
    <w:uiPriority w:val="34"/>
    <w:qFormat/>
    <w:rsid w:val="00A64F4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A6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65E0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Encabezado">
    <w:name w:val="header"/>
    <w:basedOn w:val="Normal"/>
    <w:link w:val="EncabezadoCar"/>
    <w:rsid w:val="00E06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0681C"/>
    <w:rPr>
      <w:rFonts w:asciiTheme="minorHAnsi" w:eastAsiaTheme="minorEastAsia" w:hAnsiTheme="minorHAnsi" w:cstheme="minorBidi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E06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81C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ychile.cl/javascript:void(0);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ACD22-B362-4F63-AB91-3A6DBA22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Leonardo Lueiza Ureta</cp:lastModifiedBy>
  <cp:revision>10</cp:revision>
  <cp:lastPrinted>2018-11-07T19:21:00Z</cp:lastPrinted>
  <dcterms:created xsi:type="dcterms:W3CDTF">2018-11-05T12:20:00Z</dcterms:created>
  <dcterms:modified xsi:type="dcterms:W3CDTF">2018-11-27T15:47:00Z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