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E9" w:rsidRDefault="0007348D">
      <w:r>
        <w:rPr>
          <w:noProof/>
          <w:lang w:eastAsia="es-CL"/>
        </w:rPr>
        <w:drawing>
          <wp:inline distT="0" distB="0" distL="0" distR="0" wp14:anchorId="6DD7C81A" wp14:editId="0A247779">
            <wp:extent cx="1019175" cy="1009650"/>
            <wp:effectExtent l="0" t="0" r="9525" b="0"/>
            <wp:docPr id="1" name="Imagen 1" descr="Logo de la Cámara de Diputados de 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de la Cámara de Diputados de Chi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21" w:rsidRDefault="006A407F" w:rsidP="006A407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A407F">
        <w:rPr>
          <w:rFonts w:ascii="Bookman Old Style" w:hAnsi="Bookman Old Style"/>
          <w:b/>
          <w:sz w:val="24"/>
          <w:szCs w:val="24"/>
        </w:rPr>
        <w:t>Modifica la ley N° 20.422, que Establece normas sobre igualdad de oportunidades e inclusión social de personas con discapacidad, en el sentido de establecer un plazo para cumplir con la exigencia de accesibilidad aplicable a edificios públicos y otros que presten servicios a la comunidad</w:t>
      </w:r>
    </w:p>
    <w:p w:rsidR="006A407F" w:rsidRDefault="006A407F" w:rsidP="006A407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Boletín N°12283-31</w:t>
      </w:r>
    </w:p>
    <w:p w:rsidR="006F3421" w:rsidRDefault="006F3421" w:rsidP="006F3421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IDEAS GENERALES.</w:t>
      </w:r>
    </w:p>
    <w:p w:rsidR="006F3421" w:rsidRDefault="00927C10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 año 2005 se inicia la tramitación de la Ley N°20.422, que establece normas sobre igualdad de oportunidades e inclusión social de personas con discapacidad. Esta iniciativa legislativa se perfiló como un antecedente vital para lograr condiciones de igualdad y eliminar la discriminación hacia las personas que se encuentran en situación de discapacidad. A mayor abundamiento, los antecedentes legislativos de la misma, señalan que</w:t>
      </w:r>
      <w:r w:rsidR="004A405C">
        <w:rPr>
          <w:rFonts w:ascii="Bookman Old Style" w:hAnsi="Bookman Old Style"/>
          <w:sz w:val="24"/>
          <w:szCs w:val="24"/>
        </w:rPr>
        <w:t xml:space="preserve"> “</w:t>
      </w:r>
      <w:r w:rsidR="004A405C" w:rsidRPr="004A405C">
        <w:rPr>
          <w:rFonts w:ascii="Bookman Old Style" w:hAnsi="Bookman Old Style" w:cs="DejaVuSansCondensed"/>
          <w:i/>
          <w:sz w:val="24"/>
          <w:szCs w:val="24"/>
        </w:rPr>
        <w:t>Nuestro país requiere eliminar gradualmente los obstáculos, aún subsistentes, a la plena integración de las personas con discapacidad y corregir las distorsiones institucionales presentes en distintos cuerpos legales que constituyen restricciones y discriminación, así como la manifestación de criterios y prácticas que niegan, en los hecho</w:t>
      </w:r>
      <w:r w:rsidR="004A405C">
        <w:rPr>
          <w:rFonts w:ascii="Bookman Old Style" w:hAnsi="Bookman Old Style" w:cs="DejaVuSansCondensed"/>
          <w:i/>
          <w:sz w:val="24"/>
          <w:szCs w:val="24"/>
        </w:rPr>
        <w:t>s, la igualdad de oportunidades.”</w:t>
      </w:r>
    </w:p>
    <w:p w:rsidR="004A405C" w:rsidRDefault="004A405C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i/>
          <w:sz w:val="24"/>
          <w:szCs w:val="24"/>
        </w:rPr>
      </w:pPr>
    </w:p>
    <w:p w:rsidR="004A405C" w:rsidRDefault="004A405C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  <w:r>
        <w:rPr>
          <w:rFonts w:ascii="Bookman Old Style" w:hAnsi="Bookman Old Style" w:cs="DejaVuSansCondensed"/>
          <w:sz w:val="24"/>
          <w:szCs w:val="24"/>
        </w:rPr>
        <w:t>Así, la ley N°20.422, tenía</w:t>
      </w:r>
      <w:r w:rsidR="00B4600D">
        <w:rPr>
          <w:rFonts w:ascii="Bookman Old Style" w:hAnsi="Bookman Old Style" w:cs="DejaVuSansCondensed"/>
          <w:sz w:val="24"/>
          <w:szCs w:val="24"/>
        </w:rPr>
        <w:t xml:space="preserve"> por idea matriz, reemplazar la legislación vigente en aquella época, con el objeto de adecuar a los nuevos paradigmas, a las </w:t>
      </w:r>
      <w:r w:rsidR="00B4600D">
        <w:rPr>
          <w:rFonts w:ascii="Bookman Old Style" w:hAnsi="Bookman Old Style" w:cs="DejaVuSansCondensed"/>
          <w:sz w:val="24"/>
          <w:szCs w:val="24"/>
        </w:rPr>
        <w:lastRenderedPageBreak/>
        <w:t>exigencias del ordenamiento jurídico internacional, con el objeto de lograr integración social y acceso igualitario de las personas con discapacidad</w:t>
      </w:r>
      <w:r w:rsidR="00B4600D">
        <w:rPr>
          <w:rStyle w:val="Refdenotaalpie"/>
          <w:rFonts w:ascii="Bookman Old Style" w:hAnsi="Bookman Old Style" w:cs="DejaVuSansCondensed"/>
          <w:sz w:val="24"/>
          <w:szCs w:val="24"/>
        </w:rPr>
        <w:footnoteReference w:id="1"/>
      </w:r>
      <w:r w:rsidR="00B4600D">
        <w:rPr>
          <w:rFonts w:ascii="Bookman Old Style" w:hAnsi="Bookman Old Style" w:cs="DejaVuSansCondensed"/>
          <w:sz w:val="24"/>
          <w:szCs w:val="24"/>
        </w:rPr>
        <w:t>.</w:t>
      </w:r>
    </w:p>
    <w:p w:rsidR="00B4600D" w:rsidRDefault="00B4600D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</w:p>
    <w:p w:rsidR="00B4600D" w:rsidRDefault="00B4600D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  <w:r>
        <w:rPr>
          <w:rFonts w:ascii="Bookman Old Style" w:hAnsi="Bookman Old Style" w:cs="DejaVuSansCondensed"/>
          <w:sz w:val="24"/>
          <w:szCs w:val="24"/>
        </w:rPr>
        <w:t>En este sentido, uno de los grandes avances que trae consigo la legislación, es propender al acceso</w:t>
      </w:r>
      <w:r w:rsidR="00026799">
        <w:rPr>
          <w:rFonts w:ascii="Bookman Old Style" w:hAnsi="Bookman Old Style" w:cs="DejaVuSansCondensed"/>
          <w:sz w:val="24"/>
          <w:szCs w:val="24"/>
        </w:rPr>
        <w:t xml:space="preserve"> universal, entendiendo por tal un  acto de reivindicación de los derechos de las personas que se encuentran en situación de discapacidad, no pueden relacionarse con el entorno o con otras personas en igualdad de condiciones. De esta forma, el concepto de accesibilidad se asimila a la supresión de barreras que limitan a las personas con discapacidad</w:t>
      </w:r>
      <w:r w:rsidR="00026799">
        <w:rPr>
          <w:rStyle w:val="Refdenotaalpie"/>
          <w:rFonts w:ascii="Bookman Old Style" w:hAnsi="Bookman Old Style" w:cs="DejaVuSansCondensed"/>
          <w:sz w:val="24"/>
          <w:szCs w:val="24"/>
        </w:rPr>
        <w:footnoteReference w:id="2"/>
      </w:r>
      <w:r w:rsidR="00026799">
        <w:rPr>
          <w:rFonts w:ascii="Bookman Old Style" w:hAnsi="Bookman Old Style" w:cs="DejaVuSansCondensed"/>
          <w:sz w:val="24"/>
          <w:szCs w:val="24"/>
        </w:rPr>
        <w:t>.</w:t>
      </w:r>
    </w:p>
    <w:p w:rsidR="00026799" w:rsidRDefault="00026799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</w:p>
    <w:p w:rsidR="00026799" w:rsidRDefault="00026799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  <w:r>
        <w:rPr>
          <w:rFonts w:ascii="Bookman Old Style" w:hAnsi="Bookman Old Style" w:cs="DejaVuSansCondensed"/>
          <w:sz w:val="24"/>
          <w:szCs w:val="24"/>
        </w:rPr>
        <w:t xml:space="preserve">Dentro del gran concepto de accesibilidad, se subsume en este, una acepción de accesibilidad que es más limitada y que se identifica con prestaciones específicas que han de proveer las edificaciones y entornos públicos para determinadas personas. </w:t>
      </w:r>
    </w:p>
    <w:p w:rsidR="00026799" w:rsidRDefault="00026799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</w:p>
    <w:p w:rsidR="006A407F" w:rsidRDefault="006A407F" w:rsidP="00A418A6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ejaVuSansCondensed"/>
          <w:sz w:val="24"/>
          <w:szCs w:val="24"/>
        </w:rPr>
      </w:pPr>
      <w:bookmarkStart w:id="0" w:name="_GoBack"/>
      <w:bookmarkEnd w:id="0"/>
    </w:p>
    <w:p w:rsidR="00A418A6" w:rsidRPr="00A418A6" w:rsidRDefault="00026799" w:rsidP="00A418A6">
      <w:pPr>
        <w:pStyle w:val="HTMLconformatoprevio"/>
        <w:shd w:val="clear" w:color="auto" w:fill="FFFFFF"/>
        <w:spacing w:line="480" w:lineRule="auto"/>
        <w:jc w:val="both"/>
        <w:rPr>
          <w:color w:val="666666"/>
          <w:sz w:val="18"/>
          <w:szCs w:val="18"/>
        </w:rPr>
      </w:pPr>
      <w:r>
        <w:rPr>
          <w:rFonts w:ascii="Bookman Old Style" w:hAnsi="Bookman Old Style" w:cs="DejaVuSansCondensed"/>
          <w:sz w:val="24"/>
          <w:szCs w:val="24"/>
        </w:rPr>
        <w:t xml:space="preserve">Es en este contexto que se enmarca el presente proyecto de ley, toda vez que la ley N°20.422, </w:t>
      </w:r>
      <w:r w:rsidR="00A418A6">
        <w:rPr>
          <w:rFonts w:ascii="Bookman Old Style" w:hAnsi="Bookman Old Style" w:cs="DejaVuSansCondensed"/>
          <w:sz w:val="24"/>
          <w:szCs w:val="24"/>
        </w:rPr>
        <w:t>introdujo</w:t>
      </w:r>
      <w:r>
        <w:rPr>
          <w:rFonts w:ascii="Bookman Old Style" w:hAnsi="Bookman Old Style" w:cs="DejaVuSansCondensed"/>
          <w:sz w:val="24"/>
          <w:szCs w:val="24"/>
        </w:rPr>
        <w:t xml:space="preserve"> en el artículo 28 del mismo cuerpo legal, la obligación </w:t>
      </w:r>
      <w:r w:rsidR="00A418A6">
        <w:rPr>
          <w:rFonts w:ascii="Bookman Old Style" w:hAnsi="Bookman Old Style" w:cs="DejaVuSansCondensed"/>
          <w:sz w:val="24"/>
          <w:szCs w:val="24"/>
        </w:rPr>
        <w:t>de que “</w:t>
      </w:r>
      <w:r w:rsidR="00A418A6" w:rsidRPr="00A418A6">
        <w:rPr>
          <w:rFonts w:ascii="Bookman Old Style" w:hAnsi="Bookman Old Style" w:cs="DejaVuSansCondensed"/>
          <w:i/>
          <w:sz w:val="24"/>
          <w:szCs w:val="24"/>
        </w:rPr>
        <w:t>todo</w:t>
      </w:r>
      <w:r w:rsidR="00A418A6" w:rsidRPr="00A418A6">
        <w:rPr>
          <w:color w:val="666666"/>
          <w:sz w:val="18"/>
          <w:szCs w:val="18"/>
        </w:rPr>
        <w:t xml:space="preserve"> </w:t>
      </w:r>
      <w:r w:rsidR="00A418A6" w:rsidRPr="00A418A6">
        <w:rPr>
          <w:rFonts w:ascii="Bookman Old Style" w:hAnsi="Bookman Old Style"/>
          <w:i/>
          <w:sz w:val="24"/>
          <w:szCs w:val="24"/>
        </w:rPr>
        <w:t xml:space="preserve">edificio de uso público y todo aquel que, sin importar su carga de ocupación, preste un servicio a la comunidad, así como </w:t>
      </w:r>
      <w:proofErr w:type="gramStart"/>
      <w:r w:rsidR="00A418A6" w:rsidRPr="00A418A6">
        <w:rPr>
          <w:rFonts w:ascii="Bookman Old Style" w:hAnsi="Bookman Old Style"/>
          <w:i/>
          <w:sz w:val="24"/>
          <w:szCs w:val="24"/>
        </w:rPr>
        <w:lastRenderedPageBreak/>
        <w:t>toda</w:t>
      </w:r>
      <w:proofErr w:type="gramEnd"/>
      <w:r w:rsidR="00A418A6" w:rsidRPr="00A418A6">
        <w:rPr>
          <w:rFonts w:ascii="Bookman Old Style" w:hAnsi="Bookman Old Style"/>
          <w:i/>
          <w:sz w:val="24"/>
          <w:szCs w:val="24"/>
        </w:rPr>
        <w:t xml:space="preserve"> nueva edificación colectiva, deberán ser accesibles y utilizables en forma </w:t>
      </w:r>
      <w:proofErr w:type="spellStart"/>
      <w:r w:rsidR="00A418A6" w:rsidRPr="00A418A6">
        <w:rPr>
          <w:rFonts w:ascii="Bookman Old Style" w:hAnsi="Bookman Old Style"/>
          <w:i/>
          <w:sz w:val="24"/>
          <w:szCs w:val="24"/>
        </w:rPr>
        <w:t>autovalente</w:t>
      </w:r>
      <w:proofErr w:type="spellEnd"/>
      <w:r w:rsidR="00A418A6" w:rsidRPr="00A418A6">
        <w:rPr>
          <w:rFonts w:ascii="Bookman Old Style" w:hAnsi="Bookman Old Style"/>
          <w:i/>
          <w:sz w:val="24"/>
          <w:szCs w:val="24"/>
        </w:rPr>
        <w:t xml:space="preserve"> y sin dificultad por personas con discapacidad, especialmente por aquellas con movilidad reducida.</w:t>
      </w:r>
      <w:r w:rsidR="00A418A6">
        <w:rPr>
          <w:rFonts w:ascii="Bookman Old Style" w:hAnsi="Bookman Old Style"/>
          <w:i/>
          <w:sz w:val="24"/>
          <w:szCs w:val="24"/>
        </w:rPr>
        <w:t>”</w:t>
      </w:r>
    </w:p>
    <w:p w:rsidR="00026799" w:rsidRDefault="00026799" w:rsidP="004A405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DejaVuSansCondensed"/>
          <w:sz w:val="24"/>
          <w:szCs w:val="24"/>
        </w:rPr>
      </w:pPr>
      <w:r>
        <w:rPr>
          <w:rFonts w:ascii="Bookman Old Style" w:hAnsi="Bookman Old Style" w:cs="DejaVuSansCondensed"/>
          <w:sz w:val="24"/>
          <w:szCs w:val="24"/>
        </w:rPr>
        <w:t xml:space="preserve"> </w:t>
      </w:r>
    </w:p>
    <w:p w:rsidR="00B4600D" w:rsidRDefault="00B4600D" w:rsidP="004A405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DejaVuSansCondensed"/>
          <w:sz w:val="24"/>
          <w:szCs w:val="24"/>
        </w:rPr>
      </w:pPr>
    </w:p>
    <w:p w:rsidR="00B4600D" w:rsidRPr="004A405C" w:rsidRDefault="00B4600D" w:rsidP="004A405C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18"/>
          <w:szCs w:val="18"/>
        </w:rPr>
      </w:pPr>
    </w:p>
    <w:p w:rsidR="006F3421" w:rsidRDefault="006F3421" w:rsidP="006F3421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CONSIDERANDO.</w:t>
      </w:r>
    </w:p>
    <w:p w:rsidR="00A418A6" w:rsidRDefault="00A418A6" w:rsidP="00A418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Que, la obligación contenida en la disposición en comento, a saber, el artículo 28 de la Ley N°20.422, no ha sido cumplida a cabalidad. En efecto, al día de hoy, es posible encontrar una gran cantidad de edificios públicos que no cuentan con mínimos para asegurar las condiciones básicas de accesibilidad para personas con movilidad reducida.</w:t>
      </w:r>
    </w:p>
    <w:p w:rsidR="00A418A6" w:rsidRPr="00A418A6" w:rsidRDefault="00A418A6" w:rsidP="00A418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Que, lo anterior, no sólo constituye una obligación legal, sino que a su vez, es un mandato constitucional, ya que la Constitución Política de la República, en su artículo 1°, señala que </w:t>
      </w:r>
      <w:r w:rsidRPr="00A418A6">
        <w:rPr>
          <w:rFonts w:ascii="Bookman Old Style" w:hAnsi="Bookman Old Style"/>
          <w:i/>
          <w:sz w:val="24"/>
          <w:szCs w:val="24"/>
        </w:rPr>
        <w:t>“El Estado está al servicio de la persona humana y su finalidad es promover el bien común, para lo cual debe contribuir a creas las condiciones sociales que permitan a todos y a cada uno de los integrantes de la comunidad nacional su mayor realización espiritual y material posible.”</w:t>
      </w:r>
    </w:p>
    <w:p w:rsidR="00A418A6" w:rsidRDefault="00A418A6" w:rsidP="003B2981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Que, </w:t>
      </w:r>
      <w:r w:rsidR="003B2981">
        <w:rPr>
          <w:rFonts w:ascii="Bookman Old Style" w:hAnsi="Bookman Old Style"/>
          <w:sz w:val="24"/>
          <w:szCs w:val="24"/>
        </w:rPr>
        <w:t>resulta evidente que la accesibilidad requiere involucrar a la sociedad en su conjunto para conseguir que todas las personas tengan las mismas oportunidades y beneficios en el uso y disfrute de los espacios y entornos, especialmente cuando ellos son de propiedad estatal.</w:t>
      </w:r>
    </w:p>
    <w:p w:rsidR="003B2981" w:rsidRDefault="003B2981" w:rsidP="00DB1835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De esta forma, resulta menester renovar los esfuerzos en esta materia, y avanzar verdaderamente hacia la remoción total de barreras físicas que se han creado, y prevenir la creación de nuevas barreras que limitan el libre acceso, y el acceso independiente de las personas que se encuentran en situación de discapacidad a los edificios públicos. </w:t>
      </w:r>
    </w:p>
    <w:p w:rsidR="003B2981" w:rsidRDefault="003B2981" w:rsidP="00DB1835">
      <w:pPr>
        <w:pStyle w:val="Prrafodelista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 anterior, cobra especial importancia, cuando </w:t>
      </w:r>
      <w:r w:rsidR="00DB1835">
        <w:rPr>
          <w:rFonts w:ascii="Bookman Old Style" w:hAnsi="Bookman Old Style"/>
          <w:sz w:val="24"/>
          <w:szCs w:val="24"/>
        </w:rPr>
        <w:t>hoy vemos que se ha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B1835">
        <w:rPr>
          <w:rFonts w:ascii="Bookman Old Style" w:hAnsi="Bookman Old Style"/>
          <w:sz w:val="24"/>
          <w:szCs w:val="24"/>
        </w:rPr>
        <w:t>sostenido un</w:t>
      </w:r>
      <w:r>
        <w:rPr>
          <w:rFonts w:ascii="Bookman Old Style" w:hAnsi="Bookman Old Style"/>
          <w:sz w:val="24"/>
          <w:szCs w:val="24"/>
        </w:rPr>
        <w:t xml:space="preserve"> desconocimiento</w:t>
      </w:r>
      <w:r w:rsidR="00DB1835">
        <w:rPr>
          <w:rFonts w:ascii="Bookman Old Style" w:hAnsi="Bookman Old Style"/>
          <w:sz w:val="24"/>
          <w:szCs w:val="24"/>
        </w:rPr>
        <w:t xml:space="preserve"> reiterado</w:t>
      </w:r>
      <w:r>
        <w:rPr>
          <w:rFonts w:ascii="Bookman Old Style" w:hAnsi="Bookman Old Style"/>
          <w:sz w:val="24"/>
          <w:szCs w:val="24"/>
        </w:rPr>
        <w:t xml:space="preserve"> de las obligaciones legales imperante, </w:t>
      </w:r>
      <w:r w:rsidR="00DB1835">
        <w:rPr>
          <w:rFonts w:ascii="Bookman Old Style" w:hAnsi="Bookman Old Style"/>
          <w:sz w:val="24"/>
          <w:szCs w:val="24"/>
        </w:rPr>
        <w:t>en orden a acondicionar los edificios para que estos sean accesibles universalmente, transformando la ley en letra muerta.</w:t>
      </w:r>
    </w:p>
    <w:p w:rsidR="00DB1835" w:rsidRDefault="00DB1835" w:rsidP="00DB1835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lo tanto, con el objeto de darle pleno valor y eficacia a la ley, es que proponemos una reforma legal en orden a establecer un plazo límite para que los edificios públicos cumplan con la obligación de hacer sus edificios accesibles, bajo el apercibimiento de ser clausurados los mismos, por incumplimiento grave y reiterado a la ley.</w:t>
      </w:r>
    </w:p>
    <w:p w:rsidR="00A418A6" w:rsidRPr="00A418A6" w:rsidRDefault="00A418A6" w:rsidP="00A418A6">
      <w:pPr>
        <w:pStyle w:val="Prrafodelista"/>
        <w:jc w:val="both"/>
        <w:rPr>
          <w:rFonts w:ascii="Bookman Old Style" w:hAnsi="Bookman Old Style"/>
          <w:sz w:val="24"/>
          <w:szCs w:val="24"/>
        </w:rPr>
      </w:pPr>
    </w:p>
    <w:p w:rsidR="006F3421" w:rsidRDefault="006F3421" w:rsidP="006F3421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CONTENIDO DEL PROYECTO DE LEY.</w:t>
      </w:r>
    </w:p>
    <w:p w:rsidR="00DB1835" w:rsidRDefault="00DB1835" w:rsidP="00DB183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 presente proyecto de ley introduce modificaciones al artículo 28 de la ley N°20.422, con el objeto de establecer un período de tiempo, para que los edificios mencionados en dicho artículo, procedan a reacondicionar sus accesos y eliminar todo tipo de barrera física que constituya un límite al acceso universal. Para esto, se considera una sanción legal de cierre del </w:t>
      </w:r>
      <w:r>
        <w:rPr>
          <w:rFonts w:ascii="Bookman Old Style" w:hAnsi="Bookman Old Style"/>
          <w:sz w:val="24"/>
          <w:szCs w:val="24"/>
        </w:rPr>
        <w:lastRenderedPageBreak/>
        <w:t>edificio, si transcurrido el plazo no se han realizado las modificaciones necesarias.</w:t>
      </w:r>
    </w:p>
    <w:p w:rsidR="002760EC" w:rsidRPr="00DB1835" w:rsidRDefault="002760EC" w:rsidP="00DB183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6F3421" w:rsidRDefault="006F3421" w:rsidP="006F3421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PROYECTO DE LEY.</w:t>
      </w:r>
    </w:p>
    <w:p w:rsidR="00940CC7" w:rsidRPr="00940CC7" w:rsidRDefault="00DB1835" w:rsidP="00940CC7">
      <w:pPr>
        <w:pStyle w:val="HTMLconformatoprevio"/>
        <w:shd w:val="clear" w:color="auto" w:fill="FFFFFF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940CC7">
        <w:rPr>
          <w:rFonts w:ascii="Bookman Old Style" w:hAnsi="Bookman Old Style"/>
          <w:sz w:val="24"/>
          <w:szCs w:val="24"/>
        </w:rPr>
        <w:t xml:space="preserve">Agréguese en el artículo 28 de la ley N°20.422, </w:t>
      </w:r>
      <w:r w:rsidR="00940CC7" w:rsidRPr="00940CC7">
        <w:rPr>
          <w:rFonts w:ascii="Bookman Old Style" w:hAnsi="Bookman Old Style"/>
          <w:sz w:val="24"/>
          <w:szCs w:val="24"/>
        </w:rPr>
        <w:t xml:space="preserve">inmediatamente </w:t>
      </w:r>
      <w:r w:rsidRPr="00940CC7">
        <w:rPr>
          <w:rFonts w:ascii="Bookman Old Style" w:hAnsi="Bookman Old Style"/>
          <w:sz w:val="24"/>
          <w:szCs w:val="24"/>
        </w:rPr>
        <w:t xml:space="preserve">a continuación de la frase “especialmente por aquellas con movilidad reducida.” </w:t>
      </w:r>
      <w:r w:rsidR="00940CC7" w:rsidRPr="00940CC7">
        <w:rPr>
          <w:rFonts w:ascii="Bookman Old Style" w:hAnsi="Bookman Old Style"/>
          <w:sz w:val="24"/>
          <w:szCs w:val="24"/>
        </w:rPr>
        <w:t>La siguiente:</w:t>
      </w:r>
    </w:p>
    <w:p w:rsidR="00940CC7" w:rsidRPr="00940CC7" w:rsidRDefault="00940CC7" w:rsidP="00940CC7">
      <w:pPr>
        <w:pStyle w:val="HTMLconformatoprevio"/>
        <w:shd w:val="clear" w:color="auto" w:fill="FFFFFF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940CC7">
        <w:rPr>
          <w:rFonts w:ascii="Bookman Old Style" w:hAnsi="Bookman Old Style"/>
          <w:sz w:val="24"/>
          <w:szCs w:val="24"/>
        </w:rPr>
        <w:t>Los edificios anteriormente mencionados, tendrán el plazo de 30 días para adecuar los mismos</w:t>
      </w:r>
      <w:r>
        <w:rPr>
          <w:rFonts w:ascii="Bookman Old Style" w:hAnsi="Bookman Old Style"/>
          <w:sz w:val="24"/>
          <w:szCs w:val="24"/>
        </w:rPr>
        <w:t xml:space="preserve"> y</w:t>
      </w:r>
      <w:r w:rsidRPr="00940CC7">
        <w:rPr>
          <w:rFonts w:ascii="Bookman Old Style" w:hAnsi="Bookman Old Style"/>
          <w:sz w:val="24"/>
          <w:szCs w:val="24"/>
        </w:rPr>
        <w:t xml:space="preserve"> hacerlos accesibles universalmente. En caso de no dar cum</w:t>
      </w:r>
      <w:r w:rsidR="00A815B6">
        <w:rPr>
          <w:rFonts w:ascii="Bookman Old Style" w:hAnsi="Bookman Old Style"/>
          <w:sz w:val="24"/>
          <w:szCs w:val="24"/>
        </w:rPr>
        <w:t>plimiento a esta obligación, será sancionado con multa de 10 a 120 UTM, y con el</w:t>
      </w:r>
      <w:r w:rsidRPr="00940CC7">
        <w:rPr>
          <w:rFonts w:ascii="Bookman Old Style" w:hAnsi="Bookman Old Style"/>
          <w:sz w:val="24"/>
          <w:szCs w:val="24"/>
        </w:rPr>
        <w:t xml:space="preserve"> cierre definitivo </w:t>
      </w:r>
      <w:r>
        <w:rPr>
          <w:rFonts w:ascii="Bookman Old Style" w:hAnsi="Bookman Old Style"/>
          <w:sz w:val="24"/>
          <w:szCs w:val="24"/>
        </w:rPr>
        <w:t>del edificio</w:t>
      </w:r>
      <w:r w:rsidRPr="00940CC7">
        <w:rPr>
          <w:rFonts w:ascii="Bookman Old Style" w:hAnsi="Bookman Old Style"/>
          <w:sz w:val="24"/>
          <w:szCs w:val="24"/>
        </w:rPr>
        <w:t xml:space="preserve">, hasta el cumplimiento cabal de </w:t>
      </w:r>
      <w:r>
        <w:rPr>
          <w:rFonts w:ascii="Bookman Old Style" w:hAnsi="Bookman Old Style"/>
          <w:sz w:val="24"/>
          <w:szCs w:val="24"/>
        </w:rPr>
        <w:t>dicha obligación</w:t>
      </w:r>
      <w:r w:rsidRPr="00940CC7">
        <w:rPr>
          <w:rFonts w:ascii="Bookman Old Style" w:hAnsi="Bookman Old Style"/>
          <w:sz w:val="24"/>
          <w:szCs w:val="24"/>
        </w:rPr>
        <w:t>.</w:t>
      </w:r>
    </w:p>
    <w:p w:rsidR="00DB1835" w:rsidRDefault="00DB1835" w:rsidP="00DB18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420C5" w:rsidRDefault="002420C5" w:rsidP="00DB18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420C5" w:rsidRDefault="002420C5" w:rsidP="00DB18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420C5" w:rsidRDefault="002420C5" w:rsidP="00DB18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420C5" w:rsidRDefault="002420C5" w:rsidP="00DB18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420C5" w:rsidRDefault="004C6AE3" w:rsidP="002420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JUAN MANUEL FUENZALIDA.</w:t>
      </w:r>
    </w:p>
    <w:p w:rsidR="004C6AE3" w:rsidRPr="00DB1835" w:rsidRDefault="004C6AE3" w:rsidP="002420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DIPUTADO.</w:t>
      </w:r>
    </w:p>
    <w:sectPr w:rsidR="004C6AE3" w:rsidRPr="00DB1835" w:rsidSect="006A407F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2A" w:rsidRDefault="0020102A" w:rsidP="00B4600D">
      <w:pPr>
        <w:spacing w:after="0" w:line="240" w:lineRule="auto"/>
      </w:pPr>
      <w:r>
        <w:separator/>
      </w:r>
    </w:p>
  </w:endnote>
  <w:endnote w:type="continuationSeparator" w:id="0">
    <w:p w:rsidR="0020102A" w:rsidRDefault="0020102A" w:rsidP="00B4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2A" w:rsidRDefault="0020102A" w:rsidP="00B4600D">
      <w:pPr>
        <w:spacing w:after="0" w:line="240" w:lineRule="auto"/>
      </w:pPr>
      <w:r>
        <w:separator/>
      </w:r>
    </w:p>
  </w:footnote>
  <w:footnote w:type="continuationSeparator" w:id="0">
    <w:p w:rsidR="0020102A" w:rsidRDefault="0020102A" w:rsidP="00B4600D">
      <w:pPr>
        <w:spacing w:after="0" w:line="240" w:lineRule="auto"/>
      </w:pPr>
      <w:r>
        <w:continuationSeparator/>
      </w:r>
    </w:p>
  </w:footnote>
  <w:footnote w:id="1">
    <w:p w:rsidR="00B4600D" w:rsidRDefault="00B4600D" w:rsidP="00B4600D">
      <w:pPr>
        <w:pStyle w:val="Textonotapie"/>
        <w:jc w:val="both"/>
      </w:pPr>
      <w:r>
        <w:rPr>
          <w:rStyle w:val="Refdenotaalpie"/>
        </w:rPr>
        <w:footnoteRef/>
      </w:r>
      <w:r>
        <w:t xml:space="preserve"> Historia fidedigna de la ley N°20.422, que establece normas sobre igualdad de oportunidades e inclusión social de las personas con discapacidad. Disponible en: </w:t>
      </w:r>
      <w:r w:rsidRPr="00B4600D">
        <w:t>https://www.bcn.cl/historiadelaley/nc/historia-de-la-ley/4802/</w:t>
      </w:r>
    </w:p>
  </w:footnote>
  <w:footnote w:id="2">
    <w:p w:rsidR="00026799" w:rsidRPr="00026799" w:rsidRDefault="00026799">
      <w:pPr>
        <w:pStyle w:val="Textonotapie"/>
      </w:pPr>
      <w:r>
        <w:rPr>
          <w:rStyle w:val="Refdenotaalpie"/>
        </w:rPr>
        <w:footnoteRef/>
      </w:r>
      <w:r>
        <w:t xml:space="preserve">Alonso Fernando, </w:t>
      </w:r>
      <w:r>
        <w:rPr>
          <w:i/>
        </w:rPr>
        <w:t>Algo más que suprimir barreras: Conceptos y argumentos para una accesibilidad universal.</w:t>
      </w:r>
      <w:r>
        <w:t xml:space="preserve"> Revista </w:t>
      </w:r>
      <w:proofErr w:type="spellStart"/>
      <w:r>
        <w:t>Trans</w:t>
      </w:r>
      <w:proofErr w:type="spellEnd"/>
      <w:r>
        <w:t>, N°2, Barcelona, 2007. Páginas 15-30.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4980"/>
    <w:multiLevelType w:val="hybridMultilevel"/>
    <w:tmpl w:val="AA425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595"/>
    <w:multiLevelType w:val="hybridMultilevel"/>
    <w:tmpl w:val="B4C2EF10"/>
    <w:lvl w:ilvl="0" w:tplc="B2BC5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8D"/>
    <w:rsid w:val="00026799"/>
    <w:rsid w:val="0007348D"/>
    <w:rsid w:val="000E5AB0"/>
    <w:rsid w:val="0020102A"/>
    <w:rsid w:val="002420C5"/>
    <w:rsid w:val="002760EC"/>
    <w:rsid w:val="002E0BE9"/>
    <w:rsid w:val="003B2981"/>
    <w:rsid w:val="00477955"/>
    <w:rsid w:val="004A405C"/>
    <w:rsid w:val="004C6AE3"/>
    <w:rsid w:val="006A407F"/>
    <w:rsid w:val="006F3421"/>
    <w:rsid w:val="00927C10"/>
    <w:rsid w:val="00940CC7"/>
    <w:rsid w:val="0099264A"/>
    <w:rsid w:val="00A418A6"/>
    <w:rsid w:val="00A815B6"/>
    <w:rsid w:val="00B4600D"/>
    <w:rsid w:val="00C91CD6"/>
    <w:rsid w:val="00DB1835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11D08B-F7D9-44EA-BD8F-1F928637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460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60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600D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41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418A6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6505-C706-4E2C-8A51-ECD4DACD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Jesús Serey</dc:creator>
  <cp:lastModifiedBy>Leonardo Lueiza Ureta</cp:lastModifiedBy>
  <cp:revision>6</cp:revision>
  <dcterms:created xsi:type="dcterms:W3CDTF">2018-11-28T15:17:00Z</dcterms:created>
  <dcterms:modified xsi:type="dcterms:W3CDTF">2018-12-11T20:38:00Z</dcterms:modified>
</cp:coreProperties>
</file>