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23" w:rsidRDefault="003159D6" w:rsidP="003159D6">
      <w:pPr>
        <w:jc w:val="center"/>
        <w:rPr>
          <w:rFonts w:ascii="Century Gothic" w:hAnsi="Century Gothic"/>
          <w:b/>
          <w:sz w:val="24"/>
          <w:szCs w:val="24"/>
        </w:rPr>
      </w:pPr>
      <w:r w:rsidRPr="003159D6">
        <w:rPr>
          <w:rFonts w:ascii="Century Gothic" w:hAnsi="Century Gothic"/>
          <w:b/>
          <w:sz w:val="24"/>
          <w:szCs w:val="24"/>
        </w:rPr>
        <w:t>Modifica la Carta Fundamental con el objeto de establecer la iniciativa ciudadana para presentar proyectos de ley y de reforma constitucional</w:t>
      </w:r>
    </w:p>
    <w:p w:rsidR="003159D6" w:rsidRPr="003159D6" w:rsidRDefault="003159D6" w:rsidP="003159D6">
      <w:pPr>
        <w:jc w:val="center"/>
        <w:rPr>
          <w:rFonts w:ascii="Century Gothic" w:hAnsi="Century Gothic"/>
          <w:b/>
          <w:sz w:val="24"/>
          <w:szCs w:val="24"/>
        </w:rPr>
      </w:pPr>
      <w:r w:rsidRPr="003159D6">
        <w:rPr>
          <w:rFonts w:ascii="Century Gothic" w:hAnsi="Century Gothic"/>
          <w:b/>
          <w:sz w:val="24"/>
          <w:szCs w:val="24"/>
        </w:rPr>
        <w:t>Boletín N°12310-07</w:t>
      </w:r>
    </w:p>
    <w:p w:rsidR="00BF6323" w:rsidRDefault="00BF6323" w:rsidP="000E3329">
      <w:pPr>
        <w:jc w:val="center"/>
        <w:rPr>
          <w:rFonts w:ascii="Century Gothic" w:hAnsi="Century Gothic"/>
          <w:b/>
          <w:sz w:val="24"/>
          <w:szCs w:val="24"/>
        </w:rPr>
      </w:pPr>
      <w:r w:rsidRPr="00BF6323">
        <w:rPr>
          <w:rFonts w:ascii="Century Gothic" w:hAnsi="Century Gothic"/>
          <w:b/>
          <w:sz w:val="24"/>
          <w:szCs w:val="24"/>
        </w:rPr>
        <w:t>EXPOSICIÓN DE MOTIVOS</w:t>
      </w:r>
      <w:bookmarkStart w:id="0" w:name="_GoBack"/>
      <w:bookmarkEnd w:id="0"/>
    </w:p>
    <w:p w:rsidR="002C0F78" w:rsidRPr="000E3329" w:rsidRDefault="002C0F78" w:rsidP="000E3329">
      <w:pPr>
        <w:jc w:val="center"/>
        <w:rPr>
          <w:rFonts w:ascii="Century Gothic" w:hAnsi="Century Gothic"/>
          <w:b/>
          <w:sz w:val="24"/>
          <w:szCs w:val="24"/>
        </w:rPr>
      </w:pPr>
    </w:p>
    <w:p w:rsidR="000E3329" w:rsidRPr="000E3329" w:rsidRDefault="000E3329" w:rsidP="00B44C32">
      <w:pPr>
        <w:spacing w:line="276" w:lineRule="auto"/>
        <w:jc w:val="both"/>
        <w:rPr>
          <w:rFonts w:ascii="Century Gothic" w:hAnsi="Century Gothic"/>
          <w:b/>
          <w:sz w:val="24"/>
          <w:szCs w:val="24"/>
        </w:rPr>
      </w:pPr>
      <w:r>
        <w:rPr>
          <w:rFonts w:ascii="Century Gothic" w:hAnsi="Century Gothic"/>
          <w:b/>
          <w:sz w:val="24"/>
          <w:szCs w:val="24"/>
        </w:rPr>
        <w:t xml:space="preserve">a) </w:t>
      </w:r>
      <w:r w:rsidRPr="002C0F78">
        <w:rPr>
          <w:rFonts w:ascii="Century Gothic" w:hAnsi="Century Gothic"/>
          <w:b/>
          <w:sz w:val="24"/>
          <w:szCs w:val="24"/>
          <w:u w:val="single"/>
        </w:rPr>
        <w:t>DEMOCRACIA DIRECTA Y PARTICIPACIÓN</w:t>
      </w:r>
    </w:p>
    <w:p w:rsidR="00BF6323" w:rsidRDefault="000E3329" w:rsidP="00B44C32">
      <w:pPr>
        <w:spacing w:line="276" w:lineRule="auto"/>
        <w:jc w:val="both"/>
        <w:rPr>
          <w:rFonts w:ascii="Century Gothic" w:hAnsi="Century Gothic"/>
          <w:sz w:val="24"/>
          <w:szCs w:val="24"/>
        </w:rPr>
      </w:pPr>
      <w:r>
        <w:rPr>
          <w:rFonts w:ascii="Century Gothic" w:hAnsi="Century Gothic"/>
          <w:sz w:val="24"/>
          <w:szCs w:val="24"/>
        </w:rPr>
        <w:t xml:space="preserve">I.- </w:t>
      </w:r>
      <w:r w:rsidR="00BF6323" w:rsidRPr="00BF6323">
        <w:rPr>
          <w:rFonts w:ascii="Century Gothic" w:hAnsi="Century Gothic"/>
          <w:sz w:val="24"/>
          <w:szCs w:val="24"/>
        </w:rPr>
        <w:t>Nuestro sistema político ha optado por una sana mezcla de modelos de participación, entre los cuales ha primado la democracia representativa. Es así como periódicamente los chilenos concurrimos a las urnas con el fin de ejercer nuestros derechos, que la Carta Fundamental nos entrega como ciudadanos</w:t>
      </w:r>
      <w:r w:rsidR="007C3378">
        <w:rPr>
          <w:rFonts w:ascii="Century Gothic" w:hAnsi="Century Gothic"/>
          <w:sz w:val="24"/>
          <w:szCs w:val="24"/>
        </w:rPr>
        <w:t xml:space="preserve"> con el objeto de escoger a quienes llevarán la voz de nuestros intereses, particularmente en el Poder Ejecutivo y en el Poder Legislativo</w:t>
      </w:r>
      <w:r w:rsidR="00BF6323" w:rsidRPr="00BF6323">
        <w:rPr>
          <w:rFonts w:ascii="Century Gothic" w:hAnsi="Century Gothic"/>
          <w:sz w:val="24"/>
          <w:szCs w:val="24"/>
        </w:rPr>
        <w:t>. No obstante, dentro de este sistema de convocatoria democrática situamos ciertos matices tales como la posibilidad de plebiscitos, que van desde lo local en la Ley Orgánica Constitucional de Municipalidades se propicia la posibilidad de que las autoridades edilicias, los representantes de organizaciones de la sociedad civil o bien la comunidad misma pueda iniciar un proceso plebiscitario cumpliendo determinados requisitos en temáticas de interés local.</w:t>
      </w:r>
    </w:p>
    <w:p w:rsidR="007C3378" w:rsidRDefault="00BF6323" w:rsidP="00B44C32">
      <w:pPr>
        <w:spacing w:line="276" w:lineRule="auto"/>
        <w:jc w:val="both"/>
        <w:rPr>
          <w:rFonts w:ascii="Century Gothic" w:hAnsi="Century Gothic"/>
          <w:sz w:val="24"/>
          <w:szCs w:val="24"/>
        </w:rPr>
      </w:pPr>
      <w:r>
        <w:rPr>
          <w:rFonts w:ascii="Century Gothic" w:hAnsi="Century Gothic"/>
          <w:sz w:val="24"/>
          <w:szCs w:val="24"/>
        </w:rPr>
        <w:t xml:space="preserve">En el mismo sentido discurre el artículo 128 de la Constitución Política de la República, por lo cual no debemos dejar de considerar que avanzar en más y mejores formulas de participación institucional </w:t>
      </w:r>
      <w:r w:rsidR="007C3378">
        <w:rPr>
          <w:rFonts w:ascii="Century Gothic" w:hAnsi="Century Gothic"/>
          <w:sz w:val="24"/>
          <w:szCs w:val="24"/>
        </w:rPr>
        <w:t>resulta necesario, especialmente en medio de un proceso histórico que se ha caracterizado por la relevancia que han tomado las comunicaciones, que, junto con ayudar a la fluidez de las relaciones interpersonales, dinamizan el manejo de la información.</w:t>
      </w:r>
    </w:p>
    <w:p w:rsidR="00E20279" w:rsidRDefault="00E20279" w:rsidP="00B44C32">
      <w:pPr>
        <w:spacing w:line="276" w:lineRule="auto"/>
        <w:jc w:val="both"/>
        <w:rPr>
          <w:rFonts w:ascii="Century Gothic" w:hAnsi="Century Gothic"/>
          <w:sz w:val="24"/>
          <w:szCs w:val="24"/>
        </w:rPr>
      </w:pPr>
      <w:r>
        <w:rPr>
          <w:rFonts w:ascii="Century Gothic" w:hAnsi="Century Gothic"/>
          <w:sz w:val="24"/>
          <w:szCs w:val="24"/>
        </w:rPr>
        <w:t>En este contexto socio-político los partidos políticos resultan ser los principales interlocutores entre la ciudadanía y la institucionalidad estatal, no obstante, solo 1.223.000 chilenos militan en estas entidades lo cual representa un 8,5% del padrón electoral total, por lo cual con el fin de asegurar una participación integral, cercana e institucional, es la norma base la que debe dar respuestas significativas.</w:t>
      </w:r>
    </w:p>
    <w:p w:rsidR="000E3329" w:rsidRPr="000E3329" w:rsidRDefault="000E3329" w:rsidP="00B44C32">
      <w:pPr>
        <w:spacing w:line="276" w:lineRule="auto"/>
        <w:jc w:val="both"/>
        <w:rPr>
          <w:rFonts w:ascii="Century Gothic" w:hAnsi="Century Gothic"/>
          <w:b/>
          <w:sz w:val="24"/>
          <w:szCs w:val="24"/>
        </w:rPr>
      </w:pPr>
      <w:r>
        <w:rPr>
          <w:rFonts w:ascii="Century Gothic" w:hAnsi="Century Gothic"/>
          <w:b/>
          <w:sz w:val="24"/>
          <w:szCs w:val="24"/>
        </w:rPr>
        <w:t xml:space="preserve">b) </w:t>
      </w:r>
      <w:r w:rsidRPr="002C0F78">
        <w:rPr>
          <w:rFonts w:ascii="Century Gothic" w:hAnsi="Century Gothic"/>
          <w:b/>
          <w:sz w:val="24"/>
          <w:szCs w:val="24"/>
          <w:u w:val="single"/>
        </w:rPr>
        <w:t>LA LEY Y LA SOBERANÍA</w:t>
      </w:r>
    </w:p>
    <w:p w:rsidR="007C3378" w:rsidRDefault="000E3329" w:rsidP="00B44C32">
      <w:pPr>
        <w:spacing w:line="276" w:lineRule="auto"/>
        <w:jc w:val="both"/>
        <w:rPr>
          <w:rFonts w:ascii="Century Gothic" w:hAnsi="Century Gothic"/>
          <w:sz w:val="24"/>
          <w:szCs w:val="24"/>
        </w:rPr>
      </w:pPr>
      <w:r>
        <w:rPr>
          <w:rFonts w:ascii="Century Gothic" w:hAnsi="Century Gothic"/>
          <w:sz w:val="24"/>
          <w:szCs w:val="24"/>
        </w:rPr>
        <w:lastRenderedPageBreak/>
        <w:t xml:space="preserve">II.- </w:t>
      </w:r>
      <w:r w:rsidR="007C3378">
        <w:rPr>
          <w:rFonts w:ascii="Century Gothic" w:hAnsi="Century Gothic"/>
          <w:sz w:val="24"/>
          <w:szCs w:val="24"/>
        </w:rPr>
        <w:t xml:space="preserve">En nuestro ordenamiento jurídico la estructura normativa por antonomasia es la ley, que fuese definida por Tomás de Aquino como </w:t>
      </w:r>
      <w:r w:rsidR="007C3378" w:rsidRPr="007C3378">
        <w:rPr>
          <w:rFonts w:ascii="Century Gothic" w:hAnsi="Century Gothic"/>
          <w:i/>
          <w:iCs/>
          <w:sz w:val="24"/>
          <w:szCs w:val="24"/>
        </w:rPr>
        <w:t>"</w:t>
      </w:r>
      <w:proofErr w:type="spellStart"/>
      <w:r w:rsidR="007C3378">
        <w:rPr>
          <w:rFonts w:ascii="Century Gothic" w:hAnsi="Century Gothic"/>
          <w:i/>
          <w:iCs/>
          <w:sz w:val="24"/>
          <w:szCs w:val="24"/>
        </w:rPr>
        <w:t>est</w:t>
      </w:r>
      <w:proofErr w:type="spellEnd"/>
      <w:r w:rsid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rationis</w:t>
      </w:r>
      <w:proofErr w:type="spellEnd"/>
      <w:r w:rsidR="007C3378" w:rsidRP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ordinatio</w:t>
      </w:r>
      <w:proofErr w:type="spellEnd"/>
      <w:r w:rsidR="007C3378" w:rsidRPr="007C3378">
        <w:rPr>
          <w:rFonts w:ascii="Century Gothic" w:hAnsi="Century Gothic"/>
          <w:i/>
          <w:iCs/>
          <w:sz w:val="24"/>
          <w:szCs w:val="24"/>
        </w:rPr>
        <w:t xml:space="preserve"> ad </w:t>
      </w:r>
      <w:proofErr w:type="spellStart"/>
      <w:r w:rsidR="007C3378" w:rsidRPr="007C3378">
        <w:rPr>
          <w:rFonts w:ascii="Century Gothic" w:hAnsi="Century Gothic"/>
          <w:i/>
          <w:iCs/>
          <w:sz w:val="24"/>
          <w:szCs w:val="24"/>
        </w:rPr>
        <w:t>bonum</w:t>
      </w:r>
      <w:proofErr w:type="spellEnd"/>
      <w:r w:rsidR="007C3378" w:rsidRP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commune</w:t>
      </w:r>
      <w:proofErr w:type="spellEnd"/>
      <w:r w:rsidR="007C3378" w:rsidRPr="007C3378">
        <w:rPr>
          <w:rFonts w:ascii="Century Gothic" w:hAnsi="Century Gothic"/>
          <w:i/>
          <w:iCs/>
          <w:sz w:val="24"/>
          <w:szCs w:val="24"/>
        </w:rPr>
        <w:t xml:space="preserve"> ab </w:t>
      </w:r>
      <w:proofErr w:type="spellStart"/>
      <w:r w:rsidR="007C3378" w:rsidRPr="007C3378">
        <w:rPr>
          <w:rFonts w:ascii="Century Gothic" w:hAnsi="Century Gothic"/>
          <w:i/>
          <w:iCs/>
          <w:sz w:val="24"/>
          <w:szCs w:val="24"/>
        </w:rPr>
        <w:t>eo</w:t>
      </w:r>
      <w:proofErr w:type="spellEnd"/>
      <w:r w:rsidR="007C3378" w:rsidRP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qui</w:t>
      </w:r>
      <w:proofErr w:type="spellEnd"/>
      <w:r w:rsidR="007C3378" w:rsidRP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curam</w:t>
      </w:r>
      <w:proofErr w:type="spellEnd"/>
      <w:r w:rsidR="007C3378" w:rsidRP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communitatis</w:t>
      </w:r>
      <w:proofErr w:type="spellEnd"/>
      <w:r w:rsidR="007C3378" w:rsidRP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habet</w:t>
      </w:r>
      <w:proofErr w:type="spellEnd"/>
      <w:r w:rsidR="007C3378" w:rsidRP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solemniter</w:t>
      </w:r>
      <w:proofErr w:type="spellEnd"/>
      <w:r w:rsidR="007C3378" w:rsidRPr="007C3378">
        <w:rPr>
          <w:rFonts w:ascii="Century Gothic" w:hAnsi="Century Gothic"/>
          <w:i/>
          <w:iCs/>
          <w:sz w:val="24"/>
          <w:szCs w:val="24"/>
        </w:rPr>
        <w:t xml:space="preserve"> </w:t>
      </w:r>
      <w:proofErr w:type="spellStart"/>
      <w:r w:rsidR="007C3378" w:rsidRPr="007C3378">
        <w:rPr>
          <w:rFonts w:ascii="Century Gothic" w:hAnsi="Century Gothic"/>
          <w:i/>
          <w:iCs/>
          <w:sz w:val="24"/>
          <w:szCs w:val="24"/>
        </w:rPr>
        <w:t>promulgata</w:t>
      </w:r>
      <w:proofErr w:type="spellEnd"/>
      <w:r w:rsidR="007C3378" w:rsidRPr="007C3378">
        <w:rPr>
          <w:rFonts w:ascii="Century Gothic" w:hAnsi="Century Gothic"/>
          <w:sz w:val="24"/>
          <w:szCs w:val="24"/>
        </w:rPr>
        <w:t>"</w:t>
      </w:r>
      <w:r w:rsidR="007C3378">
        <w:rPr>
          <w:rFonts w:ascii="Century Gothic" w:hAnsi="Century Gothic"/>
          <w:sz w:val="24"/>
          <w:szCs w:val="24"/>
        </w:rPr>
        <w:t>, cuya traducción es</w:t>
      </w:r>
      <w:r w:rsidR="007C3378" w:rsidRPr="007C3378">
        <w:rPr>
          <w:rFonts w:ascii="Century Gothic" w:hAnsi="Century Gothic"/>
          <w:i/>
          <w:iCs/>
          <w:sz w:val="24"/>
          <w:szCs w:val="24"/>
        </w:rPr>
        <w:t xml:space="preserve"> </w:t>
      </w:r>
      <w:r w:rsidR="007C3378">
        <w:rPr>
          <w:rFonts w:ascii="Century Gothic" w:hAnsi="Century Gothic"/>
          <w:i/>
          <w:iCs/>
          <w:sz w:val="24"/>
          <w:szCs w:val="24"/>
        </w:rPr>
        <w:t>“</w:t>
      </w:r>
      <w:r w:rsidR="007C3378" w:rsidRPr="007C3378">
        <w:rPr>
          <w:rFonts w:ascii="Century Gothic" w:hAnsi="Century Gothic"/>
          <w:i/>
          <w:iCs/>
          <w:sz w:val="24"/>
          <w:szCs w:val="24"/>
        </w:rPr>
        <w:t>una ordenación racional tendente al bien común, promulgada solemnemente por quien tiene a su cargo la comunidad</w:t>
      </w:r>
      <w:r w:rsidR="007C3378" w:rsidRPr="007C3378">
        <w:rPr>
          <w:rFonts w:ascii="Century Gothic" w:hAnsi="Century Gothic"/>
          <w:sz w:val="24"/>
          <w:szCs w:val="24"/>
        </w:rPr>
        <w:t>"</w:t>
      </w:r>
      <w:r w:rsidR="007C3378">
        <w:rPr>
          <w:rFonts w:ascii="Century Gothic" w:hAnsi="Century Gothic"/>
          <w:sz w:val="24"/>
          <w:szCs w:val="24"/>
        </w:rPr>
        <w:t>.</w:t>
      </w:r>
    </w:p>
    <w:p w:rsidR="007C3378" w:rsidRDefault="007C3378" w:rsidP="00B44C32">
      <w:pPr>
        <w:spacing w:line="276" w:lineRule="auto"/>
        <w:jc w:val="both"/>
        <w:rPr>
          <w:rFonts w:ascii="Century Gothic" w:hAnsi="Century Gothic"/>
          <w:sz w:val="24"/>
          <w:szCs w:val="24"/>
        </w:rPr>
      </w:pPr>
      <w:r>
        <w:rPr>
          <w:rFonts w:ascii="Century Gothic" w:hAnsi="Century Gothic"/>
          <w:sz w:val="24"/>
          <w:szCs w:val="24"/>
        </w:rPr>
        <w:t>Es nuestro legislador civil, quien nos entrega una definición de esta fuente del derecho al reseñarla como una</w:t>
      </w:r>
      <w:r w:rsidRPr="007C3378">
        <w:rPr>
          <w:rFonts w:ascii="Century Gothic" w:hAnsi="Century Gothic"/>
          <w:sz w:val="24"/>
          <w:szCs w:val="24"/>
        </w:rPr>
        <w:t xml:space="preserve"> </w:t>
      </w:r>
      <w:r>
        <w:rPr>
          <w:rFonts w:ascii="Century Gothic" w:hAnsi="Century Gothic"/>
          <w:sz w:val="24"/>
          <w:szCs w:val="24"/>
        </w:rPr>
        <w:t>“</w:t>
      </w:r>
      <w:r w:rsidRPr="007C3378">
        <w:rPr>
          <w:rFonts w:ascii="Century Gothic" w:hAnsi="Century Gothic"/>
          <w:i/>
          <w:sz w:val="24"/>
          <w:szCs w:val="24"/>
        </w:rPr>
        <w:t>declaración de la voluntad soberana que, manifestada en la forma prescrita por la Constitución, manda, prohíbe o permite</w:t>
      </w:r>
      <w:r>
        <w:rPr>
          <w:rFonts w:ascii="Century Gothic" w:hAnsi="Century Gothic"/>
          <w:i/>
          <w:sz w:val="24"/>
          <w:szCs w:val="24"/>
        </w:rPr>
        <w:t>”</w:t>
      </w:r>
      <w:r>
        <w:rPr>
          <w:rFonts w:ascii="Century Gothic" w:hAnsi="Century Gothic"/>
          <w:sz w:val="24"/>
          <w:szCs w:val="24"/>
        </w:rPr>
        <w:t xml:space="preserve"> en ambas definiciones aparece el concepto de  </w:t>
      </w:r>
      <w:r w:rsidR="000E3329">
        <w:rPr>
          <w:rFonts w:ascii="Century Gothic" w:hAnsi="Century Gothic"/>
          <w:sz w:val="24"/>
          <w:szCs w:val="24"/>
        </w:rPr>
        <w:t>soberanía, que conforme a nuestra Carta Fundamental reside esencialmente en la Nación, entendida este en termino de Weber como el elemento humano del Estado, en definitiva es la reunión de las voluntades humanas que confluyen al Estado, en quienes descansan las decisiones finales en cuanto a la conducción de la República, son los ciudadanos quienes han mandatado a los dirigentes, pero quienes también pueden con todo derecho determinar el contenido, en un proceso democrático, de las normas jurídicas que consideren relevantes, pues están mandan, prohíben o permiten</w:t>
      </w:r>
      <w:r w:rsidRPr="007C3378">
        <w:rPr>
          <w:rFonts w:ascii="Century Gothic" w:hAnsi="Century Gothic"/>
          <w:i/>
          <w:sz w:val="24"/>
          <w:szCs w:val="24"/>
        </w:rPr>
        <w:t>.</w:t>
      </w:r>
      <w:r w:rsidR="000E3329">
        <w:rPr>
          <w:rFonts w:ascii="Century Gothic" w:hAnsi="Century Gothic"/>
          <w:sz w:val="24"/>
          <w:szCs w:val="24"/>
        </w:rPr>
        <w:t xml:space="preserve"> </w:t>
      </w:r>
    </w:p>
    <w:p w:rsidR="0082406E" w:rsidRDefault="0082406E" w:rsidP="00B44C32">
      <w:pPr>
        <w:spacing w:line="276" w:lineRule="auto"/>
        <w:jc w:val="both"/>
        <w:rPr>
          <w:rFonts w:ascii="Century Gothic" w:hAnsi="Century Gothic"/>
          <w:b/>
          <w:sz w:val="24"/>
          <w:szCs w:val="24"/>
        </w:rPr>
      </w:pPr>
      <w:r w:rsidRPr="0082406E">
        <w:rPr>
          <w:rFonts w:ascii="Century Gothic" w:hAnsi="Century Gothic"/>
          <w:b/>
          <w:sz w:val="24"/>
          <w:szCs w:val="24"/>
        </w:rPr>
        <w:t>c)</w:t>
      </w:r>
      <w:r>
        <w:rPr>
          <w:rFonts w:ascii="Century Gothic" w:hAnsi="Century Gothic"/>
          <w:sz w:val="24"/>
          <w:szCs w:val="24"/>
        </w:rPr>
        <w:t xml:space="preserve"> </w:t>
      </w:r>
      <w:r w:rsidRPr="002C0F78">
        <w:rPr>
          <w:rFonts w:ascii="Century Gothic" w:hAnsi="Century Gothic"/>
          <w:b/>
          <w:sz w:val="24"/>
          <w:szCs w:val="24"/>
          <w:u w:val="single"/>
        </w:rPr>
        <w:t>NOMOGÉNESIS EN CHILE</w:t>
      </w:r>
    </w:p>
    <w:p w:rsidR="00A36CB7" w:rsidRPr="00A36CB7" w:rsidRDefault="00A36CB7" w:rsidP="00B44C32">
      <w:pPr>
        <w:spacing w:line="276" w:lineRule="auto"/>
        <w:jc w:val="both"/>
        <w:rPr>
          <w:rFonts w:ascii="Century Gothic" w:hAnsi="Century Gothic"/>
          <w:sz w:val="24"/>
          <w:szCs w:val="24"/>
        </w:rPr>
      </w:pPr>
      <w:r>
        <w:rPr>
          <w:rFonts w:ascii="Century Gothic" w:hAnsi="Century Gothic"/>
          <w:sz w:val="24"/>
          <w:szCs w:val="24"/>
        </w:rPr>
        <w:t>En nuestro país l</w:t>
      </w:r>
      <w:r w:rsidRPr="00A36CB7">
        <w:rPr>
          <w:rFonts w:ascii="Century Gothic" w:hAnsi="Century Gothic"/>
          <w:sz w:val="24"/>
          <w:szCs w:val="24"/>
        </w:rPr>
        <w:t xml:space="preserve">as leyes pueden tener origen en la Cámara de Diputados o en el Senado, por mensaje que dirija el Presidente de la República o por moción de cualquiera de </w:t>
      </w:r>
      <w:r>
        <w:rPr>
          <w:rFonts w:ascii="Century Gothic" w:hAnsi="Century Gothic"/>
          <w:sz w:val="24"/>
          <w:szCs w:val="24"/>
        </w:rPr>
        <w:t>los parlamentarios</w:t>
      </w:r>
      <w:r w:rsidRPr="00A36CB7">
        <w:rPr>
          <w:rFonts w:ascii="Century Gothic" w:hAnsi="Century Gothic"/>
          <w:sz w:val="24"/>
          <w:szCs w:val="24"/>
        </w:rPr>
        <w:t>. Las mociones no pueden ser firmadas por más de diez diputados ni por más de cinco senadores.</w:t>
      </w:r>
    </w:p>
    <w:p w:rsidR="000E3329" w:rsidRDefault="0082406E" w:rsidP="00B44C32">
      <w:pPr>
        <w:spacing w:line="276" w:lineRule="auto"/>
        <w:jc w:val="both"/>
        <w:rPr>
          <w:rFonts w:ascii="Century Gothic" w:hAnsi="Century Gothic"/>
          <w:b/>
          <w:sz w:val="24"/>
          <w:szCs w:val="24"/>
        </w:rPr>
      </w:pPr>
      <w:r>
        <w:rPr>
          <w:rFonts w:ascii="Century Gothic" w:hAnsi="Century Gothic"/>
          <w:b/>
          <w:sz w:val="24"/>
          <w:szCs w:val="24"/>
        </w:rPr>
        <w:t>d</w:t>
      </w:r>
      <w:r w:rsidR="000E3329" w:rsidRPr="000E3329">
        <w:rPr>
          <w:rFonts w:ascii="Century Gothic" w:hAnsi="Century Gothic"/>
          <w:b/>
          <w:sz w:val="24"/>
          <w:szCs w:val="24"/>
        </w:rPr>
        <w:t xml:space="preserve">) </w:t>
      </w:r>
      <w:r w:rsidR="000E3329" w:rsidRPr="002C0F78">
        <w:rPr>
          <w:rFonts w:ascii="Century Gothic" w:hAnsi="Century Gothic"/>
          <w:b/>
          <w:sz w:val="24"/>
          <w:szCs w:val="24"/>
          <w:u w:val="single"/>
        </w:rPr>
        <w:t>DERECHO COMPARADO</w:t>
      </w:r>
    </w:p>
    <w:p w:rsidR="000E3329" w:rsidRDefault="00D87E50" w:rsidP="00B44C32">
      <w:pPr>
        <w:spacing w:line="276" w:lineRule="auto"/>
        <w:jc w:val="both"/>
        <w:rPr>
          <w:rFonts w:ascii="Century Gothic" w:hAnsi="Century Gothic"/>
          <w:sz w:val="24"/>
          <w:szCs w:val="24"/>
        </w:rPr>
      </w:pPr>
      <w:r>
        <w:rPr>
          <w:rFonts w:ascii="Century Gothic" w:hAnsi="Century Gothic"/>
          <w:sz w:val="24"/>
          <w:szCs w:val="24"/>
        </w:rPr>
        <w:t>De un total de 186 ordenamientos jurídicos, el 23,7% de los países de catastrados por el Instituto Internacional por la Democracia y Asistencia Electoral detenta disposiciones legales o constitucionales que facultan la iniciativa popular de ley, más de la mitad de ellos en Europa.</w:t>
      </w:r>
    </w:p>
    <w:p w:rsidR="00D87E50" w:rsidRDefault="00D87E50" w:rsidP="00B44C32">
      <w:pPr>
        <w:spacing w:line="276" w:lineRule="auto"/>
        <w:jc w:val="both"/>
        <w:rPr>
          <w:rFonts w:ascii="Century Gothic" w:hAnsi="Century Gothic"/>
          <w:sz w:val="24"/>
          <w:szCs w:val="24"/>
        </w:rPr>
      </w:pPr>
      <w:r>
        <w:rPr>
          <w:rFonts w:ascii="Century Gothic" w:hAnsi="Century Gothic"/>
          <w:sz w:val="24"/>
          <w:szCs w:val="24"/>
        </w:rPr>
        <w:t xml:space="preserve">Dispares son las formalidades y requisitos </w:t>
      </w:r>
      <w:r w:rsidRPr="00D87E50">
        <w:rPr>
          <w:rFonts w:ascii="Century Gothic" w:hAnsi="Century Gothic"/>
          <w:sz w:val="24"/>
          <w:szCs w:val="24"/>
        </w:rPr>
        <w:t xml:space="preserve">que se debe cumplir, es así como en nuestro continente Venezuela exige el patrocinio de un 0,1% de la población electoral, mientras que Nicaragua requiere de 5.000 firmantes. La Constitución Uruguaya requiere un considerable 25% del padrón electoral siendo una de las exigencias más altas del mundo junto con la del estado de </w:t>
      </w:r>
      <w:r w:rsidRPr="00D87E50">
        <w:rPr>
          <w:rFonts w:ascii="Century Gothic" w:hAnsi="Century Gothic"/>
          <w:sz w:val="24"/>
          <w:szCs w:val="24"/>
          <w:lang w:val="es-ES"/>
        </w:rPr>
        <w:t>Wyoming</w:t>
      </w:r>
      <w:r>
        <w:rPr>
          <w:rFonts w:ascii="Century Gothic" w:hAnsi="Century Gothic"/>
          <w:sz w:val="24"/>
          <w:szCs w:val="24"/>
          <w:lang w:val="es-ES"/>
        </w:rPr>
        <w:t xml:space="preserve"> que requiere del patrocinio de al menos 15% de los sufragios </w:t>
      </w:r>
      <w:r>
        <w:rPr>
          <w:rFonts w:ascii="Century Gothic" w:hAnsi="Century Gothic"/>
          <w:sz w:val="24"/>
          <w:szCs w:val="24"/>
          <w:lang w:val="es-ES"/>
        </w:rPr>
        <w:lastRenderedPageBreak/>
        <w:t>de la última elección general</w:t>
      </w:r>
      <w:r w:rsidRPr="00D87E50">
        <w:rPr>
          <w:rFonts w:ascii="Century Gothic" w:hAnsi="Century Gothic"/>
          <w:sz w:val="24"/>
          <w:szCs w:val="24"/>
        </w:rPr>
        <w:t>.</w:t>
      </w:r>
      <w:r w:rsidR="0082406E">
        <w:rPr>
          <w:rFonts w:ascii="Century Gothic" w:hAnsi="Century Gothic"/>
          <w:sz w:val="24"/>
          <w:szCs w:val="24"/>
        </w:rPr>
        <w:t xml:space="preserve"> Por su parte la constitución mexicana dispone en su artículo 71° N°4 que deberá contarse con un equivalente al 0,13% de la lista nominal de electores.</w:t>
      </w:r>
      <w:r w:rsidR="00A36CB7">
        <w:rPr>
          <w:rFonts w:ascii="Century Gothic" w:hAnsi="Century Gothic"/>
          <w:sz w:val="24"/>
          <w:szCs w:val="24"/>
        </w:rPr>
        <w:t xml:space="preserve"> Argentina por su parte considera una norma del 1,5% del padrón y Brasil el 1%.</w:t>
      </w:r>
    </w:p>
    <w:p w:rsidR="00A36CB7" w:rsidRDefault="00A36CB7" w:rsidP="00B44C32">
      <w:pPr>
        <w:spacing w:line="276" w:lineRule="auto"/>
        <w:jc w:val="both"/>
        <w:rPr>
          <w:rFonts w:ascii="Century Gothic" w:hAnsi="Century Gothic"/>
          <w:sz w:val="24"/>
          <w:szCs w:val="24"/>
        </w:rPr>
      </w:pPr>
      <w:r>
        <w:rPr>
          <w:rFonts w:ascii="Century Gothic" w:hAnsi="Century Gothic"/>
          <w:sz w:val="24"/>
          <w:szCs w:val="24"/>
        </w:rPr>
        <w:t>En Europa se ha optado particularmente por número cerrados, es el caso de Suiza con 500.000 ciudadanos al igual que España, mientras que en Italia con 50.000 se puede dar comienzo a una iniciativa legislativa popular, del mismo modo lado las leyes comunitarias pueden ser planteadas por 1.000.000 de electores. Llama la atención de que en reino Unido no se requiera de un número de firmas determinado.</w:t>
      </w:r>
    </w:p>
    <w:p w:rsidR="0082406E" w:rsidRDefault="0082406E" w:rsidP="00B44C32">
      <w:pPr>
        <w:spacing w:line="276" w:lineRule="auto"/>
        <w:jc w:val="both"/>
        <w:rPr>
          <w:rFonts w:ascii="Century Gothic" w:hAnsi="Century Gothic"/>
          <w:sz w:val="24"/>
          <w:szCs w:val="24"/>
        </w:rPr>
      </w:pPr>
      <w:r>
        <w:rPr>
          <w:rFonts w:ascii="Century Gothic" w:hAnsi="Century Gothic"/>
          <w:sz w:val="24"/>
          <w:szCs w:val="24"/>
        </w:rPr>
        <w:t>Las formalidades de presentación también son variadas exigiéndose en Perú e Italia una formación completa que incluya el articulado de la norma propuesto, mientras que en otras latitudes puede entregarse únicamente el tema sobre el cual la ciudadanía está requiriendo un pronunciamiento legislativo del cual tendrá que hacerse cargo la autoridad. También podemos encontrar requerimiento de orden territorial, tal como la representación porcentual en una o más de las diferentes divisiones territoriales o administrativas de un país.</w:t>
      </w:r>
    </w:p>
    <w:p w:rsidR="00892E8C" w:rsidRPr="002C0F78" w:rsidRDefault="00892E8C" w:rsidP="00B44C32">
      <w:pPr>
        <w:spacing w:line="276" w:lineRule="auto"/>
        <w:jc w:val="both"/>
        <w:rPr>
          <w:rFonts w:ascii="Century Gothic" w:hAnsi="Century Gothic"/>
          <w:b/>
          <w:sz w:val="24"/>
          <w:szCs w:val="24"/>
        </w:rPr>
      </w:pPr>
      <w:r w:rsidRPr="002C0F78">
        <w:rPr>
          <w:rFonts w:ascii="Century Gothic" w:hAnsi="Century Gothic"/>
          <w:b/>
          <w:sz w:val="24"/>
          <w:szCs w:val="24"/>
        </w:rPr>
        <w:t xml:space="preserve">e) </w:t>
      </w:r>
      <w:r w:rsidRPr="002C0F78">
        <w:rPr>
          <w:rFonts w:ascii="Century Gothic" w:hAnsi="Century Gothic"/>
          <w:b/>
          <w:sz w:val="24"/>
          <w:szCs w:val="24"/>
          <w:u w:val="single"/>
        </w:rPr>
        <w:t>LIMITACIONES A LA INICI</w:t>
      </w:r>
      <w:r w:rsidR="002C0F78" w:rsidRPr="002C0F78">
        <w:rPr>
          <w:rFonts w:ascii="Century Gothic" w:hAnsi="Century Gothic"/>
          <w:b/>
          <w:sz w:val="24"/>
          <w:szCs w:val="24"/>
          <w:u w:val="single"/>
        </w:rPr>
        <w:t>A</w:t>
      </w:r>
      <w:r w:rsidRPr="002C0F78">
        <w:rPr>
          <w:rFonts w:ascii="Century Gothic" w:hAnsi="Century Gothic"/>
          <w:b/>
          <w:sz w:val="24"/>
          <w:szCs w:val="24"/>
          <w:u w:val="single"/>
        </w:rPr>
        <w:t>T</w:t>
      </w:r>
      <w:r w:rsidR="002C0F78" w:rsidRPr="002C0F78">
        <w:rPr>
          <w:rFonts w:ascii="Century Gothic" w:hAnsi="Century Gothic"/>
          <w:b/>
          <w:sz w:val="24"/>
          <w:szCs w:val="24"/>
          <w:u w:val="single"/>
        </w:rPr>
        <w:t>I</w:t>
      </w:r>
      <w:r w:rsidRPr="002C0F78">
        <w:rPr>
          <w:rFonts w:ascii="Century Gothic" w:hAnsi="Century Gothic"/>
          <w:b/>
          <w:sz w:val="24"/>
          <w:szCs w:val="24"/>
          <w:u w:val="single"/>
        </w:rPr>
        <w:t>VA POPULAR DE</w:t>
      </w:r>
      <w:r w:rsidR="002C0F78" w:rsidRPr="002C0F78">
        <w:rPr>
          <w:rFonts w:ascii="Century Gothic" w:hAnsi="Century Gothic"/>
          <w:b/>
          <w:sz w:val="24"/>
          <w:szCs w:val="24"/>
          <w:u w:val="single"/>
        </w:rPr>
        <w:t xml:space="preserve"> </w:t>
      </w:r>
      <w:r w:rsidRPr="002C0F78">
        <w:rPr>
          <w:rFonts w:ascii="Century Gothic" w:hAnsi="Century Gothic"/>
          <w:b/>
          <w:sz w:val="24"/>
          <w:szCs w:val="24"/>
          <w:u w:val="single"/>
        </w:rPr>
        <w:t>LEY</w:t>
      </w:r>
    </w:p>
    <w:p w:rsidR="007C3378" w:rsidRDefault="002C0F78" w:rsidP="00B44C32">
      <w:pPr>
        <w:spacing w:line="276" w:lineRule="auto"/>
        <w:jc w:val="both"/>
        <w:rPr>
          <w:rFonts w:ascii="Century Gothic" w:hAnsi="Century Gothic"/>
          <w:sz w:val="24"/>
          <w:szCs w:val="24"/>
        </w:rPr>
      </w:pPr>
      <w:r w:rsidRPr="002C0F78">
        <w:rPr>
          <w:rFonts w:ascii="Century Gothic" w:hAnsi="Century Gothic"/>
          <w:sz w:val="24"/>
          <w:szCs w:val="24"/>
        </w:rPr>
        <w:t>La Constitución Política en su artículo 65 dispone de ciertas limitaciones que se traducen en la iniciativa exclusiva en determinadas áreas para el Presidente de la República, particularmente aquellas que dicen relación con gastos o administración financiera del Estado</w:t>
      </w:r>
      <w:r>
        <w:rPr>
          <w:rFonts w:ascii="Century Gothic" w:hAnsi="Century Gothic"/>
          <w:sz w:val="24"/>
          <w:szCs w:val="24"/>
        </w:rPr>
        <w:t xml:space="preserve"> y tributos</w:t>
      </w:r>
      <w:r w:rsidR="00E20279">
        <w:rPr>
          <w:rFonts w:ascii="Century Gothic" w:hAnsi="Century Gothic"/>
          <w:sz w:val="24"/>
          <w:szCs w:val="24"/>
        </w:rPr>
        <w:t>, dichas limitaciones deben replicarse y modificarse en el mismo sentido, la representación no puede ir más allá de la capacidad del soberano original y viceversa.</w:t>
      </w:r>
    </w:p>
    <w:p w:rsidR="00E20279" w:rsidRDefault="00E20279" w:rsidP="00B44C32">
      <w:pPr>
        <w:spacing w:line="276" w:lineRule="auto"/>
        <w:jc w:val="both"/>
        <w:rPr>
          <w:rFonts w:ascii="Century Gothic" w:hAnsi="Century Gothic"/>
          <w:b/>
          <w:sz w:val="24"/>
          <w:szCs w:val="24"/>
        </w:rPr>
      </w:pPr>
      <w:r w:rsidRPr="00E20279">
        <w:rPr>
          <w:rFonts w:ascii="Century Gothic" w:hAnsi="Century Gothic"/>
          <w:b/>
          <w:sz w:val="24"/>
          <w:szCs w:val="24"/>
        </w:rPr>
        <w:t>f) OTRAS INICIATIVAS</w:t>
      </w:r>
    </w:p>
    <w:p w:rsidR="00E20279" w:rsidRDefault="00E20279" w:rsidP="00B44C32">
      <w:pPr>
        <w:spacing w:line="276" w:lineRule="auto"/>
        <w:jc w:val="both"/>
        <w:rPr>
          <w:rFonts w:ascii="Century Gothic" w:hAnsi="Century Gothic"/>
          <w:sz w:val="24"/>
          <w:szCs w:val="24"/>
        </w:rPr>
      </w:pPr>
      <w:r>
        <w:rPr>
          <w:rFonts w:ascii="Century Gothic" w:hAnsi="Century Gothic"/>
          <w:sz w:val="24"/>
          <w:szCs w:val="24"/>
        </w:rPr>
        <w:t xml:space="preserve">Desde el año 1995 encontramos al menos diez proyectos de reforma constitucional que buscan avanzar en determinar la formulación de proyectos de ley por el canal ciudadano, la primera de ellas </w:t>
      </w:r>
      <w:r w:rsidR="0036128C">
        <w:rPr>
          <w:rFonts w:ascii="Century Gothic" w:hAnsi="Century Gothic"/>
          <w:sz w:val="24"/>
          <w:szCs w:val="24"/>
        </w:rPr>
        <w:t>impulsada</w:t>
      </w:r>
      <w:r>
        <w:rPr>
          <w:rFonts w:ascii="Century Gothic" w:hAnsi="Century Gothic"/>
          <w:sz w:val="24"/>
          <w:szCs w:val="24"/>
        </w:rPr>
        <w:t xml:space="preserve"> por el ex Senador Bitar, el actual diputado Matta y el ex Senador Núñez</w:t>
      </w:r>
      <w:r w:rsidR="0036128C">
        <w:rPr>
          <w:rFonts w:ascii="Century Gothic" w:hAnsi="Century Gothic"/>
          <w:sz w:val="24"/>
          <w:szCs w:val="24"/>
        </w:rPr>
        <w:t>, mientras que la última fue planteada por la Senadoras</w:t>
      </w:r>
      <w:r w:rsidR="0036128C" w:rsidRPr="0036128C">
        <w:rPr>
          <w:rFonts w:ascii="Century Gothic" w:hAnsi="Century Gothic"/>
          <w:sz w:val="24"/>
          <w:szCs w:val="24"/>
        </w:rPr>
        <w:t xml:space="preserve"> Allende, Muñoz y Provoste</w:t>
      </w:r>
      <w:r w:rsidR="0036128C">
        <w:rPr>
          <w:rFonts w:ascii="Century Gothic" w:hAnsi="Century Gothic"/>
          <w:sz w:val="24"/>
          <w:szCs w:val="24"/>
        </w:rPr>
        <w:t xml:space="preserve"> y por los senadores </w:t>
      </w:r>
      <w:r w:rsidR="0036128C" w:rsidRPr="0036128C">
        <w:rPr>
          <w:rFonts w:ascii="Century Gothic" w:hAnsi="Century Gothic"/>
          <w:sz w:val="24"/>
          <w:szCs w:val="24"/>
        </w:rPr>
        <w:t>Guillier</w:t>
      </w:r>
      <w:r w:rsidR="0036128C">
        <w:rPr>
          <w:rFonts w:ascii="Century Gothic" w:hAnsi="Century Gothic"/>
          <w:sz w:val="24"/>
          <w:szCs w:val="24"/>
        </w:rPr>
        <w:t xml:space="preserve"> Bianchi. En el intertanto una propuesta transversal fue generada por los entonces diputados </w:t>
      </w:r>
      <w:r w:rsidR="0036128C" w:rsidRPr="0036128C">
        <w:rPr>
          <w:rFonts w:ascii="Century Gothic" w:hAnsi="Century Gothic"/>
          <w:sz w:val="24"/>
          <w:szCs w:val="24"/>
        </w:rPr>
        <w:t>Navarro, Sánchez, Longton</w:t>
      </w:r>
      <w:r w:rsidR="0036128C">
        <w:rPr>
          <w:rFonts w:ascii="Century Gothic" w:hAnsi="Century Gothic"/>
          <w:sz w:val="24"/>
          <w:szCs w:val="24"/>
        </w:rPr>
        <w:t xml:space="preserve"> </w:t>
      </w:r>
      <w:r w:rsidR="0036128C">
        <w:rPr>
          <w:rFonts w:ascii="Century Gothic" w:hAnsi="Century Gothic"/>
          <w:sz w:val="24"/>
          <w:szCs w:val="24"/>
        </w:rPr>
        <w:lastRenderedPageBreak/>
        <w:t>Guerrero</w:t>
      </w:r>
      <w:r w:rsidR="0036128C" w:rsidRPr="0036128C">
        <w:rPr>
          <w:rFonts w:ascii="Century Gothic" w:hAnsi="Century Gothic"/>
          <w:sz w:val="24"/>
          <w:szCs w:val="24"/>
        </w:rPr>
        <w:t xml:space="preserve">, </w:t>
      </w:r>
      <w:proofErr w:type="spellStart"/>
      <w:r w:rsidR="0036128C" w:rsidRPr="0036128C">
        <w:rPr>
          <w:rFonts w:ascii="Century Gothic" w:hAnsi="Century Gothic"/>
          <w:sz w:val="24"/>
          <w:szCs w:val="24"/>
        </w:rPr>
        <w:t>Aguiló</w:t>
      </w:r>
      <w:proofErr w:type="spellEnd"/>
      <w:r w:rsidR="0036128C" w:rsidRPr="0036128C">
        <w:rPr>
          <w:rFonts w:ascii="Century Gothic" w:hAnsi="Century Gothic"/>
          <w:sz w:val="24"/>
          <w:szCs w:val="24"/>
        </w:rPr>
        <w:t xml:space="preserve">, Álvarez-Salamanca, </w:t>
      </w:r>
      <w:proofErr w:type="spellStart"/>
      <w:r w:rsidR="0036128C" w:rsidRPr="0036128C">
        <w:rPr>
          <w:rFonts w:ascii="Century Gothic" w:hAnsi="Century Gothic"/>
          <w:sz w:val="24"/>
          <w:szCs w:val="24"/>
        </w:rPr>
        <w:t>Arratia</w:t>
      </w:r>
      <w:proofErr w:type="spellEnd"/>
      <w:r w:rsidR="0036128C" w:rsidRPr="0036128C">
        <w:rPr>
          <w:rFonts w:ascii="Century Gothic" w:hAnsi="Century Gothic"/>
          <w:sz w:val="24"/>
          <w:szCs w:val="24"/>
        </w:rPr>
        <w:t xml:space="preserve">, </w:t>
      </w:r>
      <w:proofErr w:type="spellStart"/>
      <w:r w:rsidR="0036128C" w:rsidRPr="0036128C">
        <w:rPr>
          <w:rFonts w:ascii="Century Gothic" w:hAnsi="Century Gothic"/>
          <w:sz w:val="24"/>
          <w:szCs w:val="24"/>
        </w:rPr>
        <w:t>Barrueto</w:t>
      </w:r>
      <w:proofErr w:type="spellEnd"/>
      <w:r w:rsidR="0036128C" w:rsidRPr="0036128C">
        <w:rPr>
          <w:rFonts w:ascii="Century Gothic" w:hAnsi="Century Gothic"/>
          <w:sz w:val="24"/>
          <w:szCs w:val="24"/>
        </w:rPr>
        <w:t>, Rojas, Jarpa y Letelier</w:t>
      </w:r>
      <w:r w:rsidR="0036128C">
        <w:rPr>
          <w:rFonts w:ascii="Century Gothic" w:hAnsi="Century Gothic"/>
          <w:sz w:val="24"/>
          <w:szCs w:val="24"/>
        </w:rPr>
        <w:t>.</w:t>
      </w:r>
    </w:p>
    <w:p w:rsidR="0036128C" w:rsidRDefault="0036128C" w:rsidP="00B44C32">
      <w:pPr>
        <w:spacing w:line="276" w:lineRule="auto"/>
        <w:jc w:val="both"/>
        <w:rPr>
          <w:rFonts w:ascii="Century Gothic" w:hAnsi="Century Gothic"/>
          <w:sz w:val="24"/>
          <w:szCs w:val="24"/>
        </w:rPr>
      </w:pPr>
      <w:r>
        <w:rPr>
          <w:rFonts w:ascii="Century Gothic" w:hAnsi="Century Gothic"/>
          <w:sz w:val="24"/>
          <w:szCs w:val="24"/>
        </w:rPr>
        <w:t xml:space="preserve">Las exigencias que contemplan estas iniciativas van desde un 5% a un 1% del padrón electoral, con previa certificación del Servicio Electoral, sin embargo, todas reconocen la necesidad de contemplar esta herramienta como parte de los mecanismos democráticos, que fortalecen nuestra institucionalidad, la cual debe adecuarse a la realidad que requiere cada vez de más participación social. </w:t>
      </w:r>
    </w:p>
    <w:p w:rsidR="002C0F78" w:rsidRPr="007C3378" w:rsidRDefault="002C0F78" w:rsidP="00B44C32">
      <w:pPr>
        <w:spacing w:line="276" w:lineRule="auto"/>
        <w:jc w:val="center"/>
        <w:rPr>
          <w:rFonts w:ascii="Century Gothic" w:hAnsi="Century Gothic"/>
          <w:b/>
          <w:sz w:val="24"/>
          <w:szCs w:val="24"/>
        </w:rPr>
      </w:pPr>
      <w:r>
        <w:rPr>
          <w:rFonts w:ascii="Century Gothic" w:hAnsi="Century Gothic"/>
          <w:b/>
          <w:sz w:val="24"/>
          <w:szCs w:val="24"/>
        </w:rPr>
        <w:t>REFORMA</w:t>
      </w:r>
      <w:r w:rsidRPr="002C0F78">
        <w:rPr>
          <w:rFonts w:ascii="Century Gothic" w:hAnsi="Century Gothic"/>
          <w:b/>
          <w:sz w:val="24"/>
          <w:szCs w:val="24"/>
        </w:rPr>
        <w:t xml:space="preserve"> PROPUESTAS</w:t>
      </w:r>
    </w:p>
    <w:p w:rsidR="007C3378" w:rsidRDefault="00E20279" w:rsidP="00B44C32">
      <w:pPr>
        <w:spacing w:line="276" w:lineRule="auto"/>
        <w:jc w:val="both"/>
        <w:rPr>
          <w:rFonts w:ascii="Century Gothic" w:hAnsi="Century Gothic"/>
          <w:sz w:val="24"/>
          <w:szCs w:val="24"/>
        </w:rPr>
      </w:pPr>
      <w:r>
        <w:rPr>
          <w:rFonts w:ascii="Century Gothic" w:hAnsi="Century Gothic"/>
          <w:sz w:val="24"/>
          <w:szCs w:val="24"/>
        </w:rPr>
        <w:t>La presente iniciativa busca, resguardando criterios de validación social, permitir que los ciudadanos</w:t>
      </w:r>
      <w:r w:rsidR="0036128C">
        <w:rPr>
          <w:rFonts w:ascii="Century Gothic" w:hAnsi="Century Gothic"/>
          <w:sz w:val="24"/>
          <w:szCs w:val="24"/>
        </w:rPr>
        <w:t xml:space="preserve"> proponer proyectos de ley, cumpliendo con los mismos requisitos que se han de cumplir para la presentación de una candidatura presidencial independiente, cumpliendo con los mismos requisitos formales de adherencia, pues creemos que este es un margen mínimo de respaldo ciudadano que legitime la temática que se pondrá a disposición de los poderes colegisladores.</w:t>
      </w:r>
    </w:p>
    <w:p w:rsidR="0036128C" w:rsidRDefault="0036128C" w:rsidP="00B44C32">
      <w:pPr>
        <w:spacing w:line="276" w:lineRule="auto"/>
        <w:jc w:val="both"/>
        <w:rPr>
          <w:rFonts w:ascii="Century Gothic" w:hAnsi="Century Gothic"/>
          <w:sz w:val="24"/>
          <w:szCs w:val="24"/>
        </w:rPr>
      </w:pPr>
      <w:r>
        <w:rPr>
          <w:rFonts w:ascii="Century Gothic" w:hAnsi="Century Gothic"/>
          <w:sz w:val="24"/>
          <w:szCs w:val="24"/>
        </w:rPr>
        <w:t>La materialización viene dada por una modificación a los artículos 65 y 127 de la Constitución Política de la República</w:t>
      </w:r>
      <w:r w:rsidR="000F21F0">
        <w:rPr>
          <w:rFonts w:ascii="Century Gothic" w:hAnsi="Century Gothic"/>
          <w:sz w:val="24"/>
          <w:szCs w:val="24"/>
        </w:rPr>
        <w:t>, en orden a incluir la iniciativa ciudadana de ley como forma de poner en tramitación proyectos de ley o destinados a reformar la Constitución.</w:t>
      </w:r>
    </w:p>
    <w:p w:rsidR="00B44C32" w:rsidRDefault="00B44C32" w:rsidP="00B44C32">
      <w:pPr>
        <w:spacing w:line="276" w:lineRule="auto"/>
        <w:jc w:val="both"/>
        <w:rPr>
          <w:rFonts w:ascii="Century Gothic" w:hAnsi="Century Gothic"/>
          <w:sz w:val="24"/>
          <w:szCs w:val="24"/>
        </w:rPr>
      </w:pPr>
      <w:r>
        <w:rPr>
          <w:rFonts w:ascii="Century Gothic" w:hAnsi="Century Gothic"/>
          <w:sz w:val="24"/>
          <w:szCs w:val="24"/>
        </w:rPr>
        <w:t>Creemos que la presentación debe cumplir con requisitos formales idénticos a la presentación de candidaturas independientes para la máxima magistratura debiendo a su vez encontrarse refrendada por igual porcentaje de patrocinantes. También nos asiste la convicción de que la reforma a la Carta fundamental debe contar con un respaldo en su inicio superior al de la ley y así lo hemos fijado en la exigencia referida a la cantidad de patrocinantes requeridos para ella.</w:t>
      </w:r>
    </w:p>
    <w:p w:rsidR="00B44C32" w:rsidRPr="00B44C32" w:rsidRDefault="00B44C32" w:rsidP="00B44C32">
      <w:pPr>
        <w:spacing w:line="276" w:lineRule="auto"/>
        <w:jc w:val="both"/>
        <w:rPr>
          <w:rFonts w:ascii="Century Gothic" w:hAnsi="Century Gothic"/>
          <w:sz w:val="24"/>
          <w:szCs w:val="24"/>
        </w:rPr>
      </w:pPr>
      <w:r>
        <w:rPr>
          <w:rFonts w:ascii="Century Gothic" w:hAnsi="Century Gothic"/>
          <w:sz w:val="24"/>
          <w:szCs w:val="24"/>
        </w:rPr>
        <w:t xml:space="preserve">De este modo, el inciso primero del artículo 65 sería del siguiente tenor: </w:t>
      </w:r>
      <w:r w:rsidRPr="00B44C32">
        <w:rPr>
          <w:rFonts w:ascii="Century Gothic" w:hAnsi="Century Gothic"/>
          <w:i/>
          <w:sz w:val="24"/>
          <w:szCs w:val="24"/>
        </w:rPr>
        <w:t xml:space="preserve">“Las leyes pueden tener origen en la Cámara de Diputados o en el Senado, por mensaje que dirija el Presidente de la República, por moción de cualquiera de sus miembros o iniciativa ciudadana. Las mociones no pueden ser firmadas por más de diez diputados ni por más de cinco senadores. </w:t>
      </w:r>
      <w:r w:rsidRPr="00B44C32">
        <w:rPr>
          <w:rFonts w:ascii="Century Gothic" w:hAnsi="Century Gothic"/>
          <w:i/>
          <w:sz w:val="24"/>
          <w:szCs w:val="24"/>
          <w:lang w:val="es-ES_tradnl"/>
        </w:rPr>
        <w:t>En el caso de la iniciativa ciudadana, estas deberán cumplir con las mismas formalidades que determina la ley para la presentación y patrocinio de candidaturas independientes a Presidente de la República.”.</w:t>
      </w:r>
    </w:p>
    <w:p w:rsidR="00B44C32" w:rsidRPr="00B44C32" w:rsidRDefault="00B44C32" w:rsidP="00B44C32">
      <w:pPr>
        <w:spacing w:line="276" w:lineRule="auto"/>
        <w:jc w:val="both"/>
        <w:rPr>
          <w:rFonts w:ascii="Century Gothic" w:hAnsi="Century Gothic"/>
          <w:sz w:val="24"/>
          <w:szCs w:val="24"/>
        </w:rPr>
      </w:pPr>
      <w:r>
        <w:rPr>
          <w:rFonts w:ascii="Century Gothic" w:hAnsi="Century Gothic"/>
          <w:sz w:val="24"/>
          <w:szCs w:val="24"/>
        </w:rPr>
        <w:lastRenderedPageBreak/>
        <w:t xml:space="preserve">Mientras que el primer inciso del artículo 127 de la carta quedaría del siguiente modo: </w:t>
      </w:r>
      <w:r w:rsidRPr="00B44C32">
        <w:rPr>
          <w:rFonts w:ascii="Century Gothic" w:hAnsi="Century Gothic"/>
          <w:i/>
          <w:sz w:val="24"/>
          <w:szCs w:val="24"/>
        </w:rPr>
        <w:t>“Los proyectos de reforma de la Constitución podrán ser iniciados por mensaje del Presidente de la República, por moción de cualquiera de los miembros del Congreso Nacional o por iniciativa ciudadana con las limitaciones señaladas en el inciso primero del artículo 65.</w:t>
      </w:r>
      <w:r w:rsidRPr="00B44C32">
        <w:rPr>
          <w:rFonts w:ascii="Century Gothic" w:hAnsi="Century Gothic"/>
          <w:i/>
          <w:sz w:val="24"/>
          <w:szCs w:val="24"/>
          <w:lang w:val="es-ES_tradnl"/>
        </w:rPr>
        <w:t xml:space="preserve"> En el caso de la iniciativa ciudadana, estas deberán cumplir con las mismas formalidades que determina la ley para la presentación de candidaturas independientes debiendo contar con el patrocinio de al menos de un equivalente al dos por ciento de</w:t>
      </w:r>
      <w:r w:rsidRPr="00B44C32">
        <w:rPr>
          <w:rFonts w:ascii="Century Gothic" w:hAnsi="Century Gothic"/>
          <w:i/>
          <w:sz w:val="24"/>
          <w:szCs w:val="24"/>
        </w:rPr>
        <w:t xml:space="preserve"> los que hubieren sufragado en la anterior elección periódica de diputados, de acuerdo con el escrutinio general practicado por el Tribunal Calificador de Elecciones.</w:t>
      </w:r>
    </w:p>
    <w:p w:rsidR="000F21F0" w:rsidRDefault="000F21F0" w:rsidP="00B44C32">
      <w:pPr>
        <w:spacing w:line="276" w:lineRule="auto"/>
        <w:jc w:val="both"/>
        <w:rPr>
          <w:rFonts w:ascii="Century Gothic" w:hAnsi="Century Gothic"/>
          <w:sz w:val="24"/>
          <w:szCs w:val="24"/>
        </w:rPr>
      </w:pPr>
      <w:r>
        <w:rPr>
          <w:rFonts w:ascii="Century Gothic" w:hAnsi="Century Gothic"/>
          <w:sz w:val="24"/>
          <w:szCs w:val="24"/>
        </w:rPr>
        <w:t>ES POR LO ANTERIOR QUE VENIMOS EN PRESENTAR A ESTA HONORABLE CÁMARA DE DIPUTADOS EL SIGUIENTE:</w:t>
      </w:r>
    </w:p>
    <w:p w:rsidR="000F21F0" w:rsidRPr="000F21F0" w:rsidRDefault="000F21F0" w:rsidP="00B44C32">
      <w:pPr>
        <w:spacing w:line="276" w:lineRule="auto"/>
        <w:jc w:val="center"/>
        <w:rPr>
          <w:rFonts w:ascii="Century Gothic" w:hAnsi="Century Gothic"/>
          <w:b/>
          <w:sz w:val="24"/>
          <w:szCs w:val="24"/>
        </w:rPr>
      </w:pPr>
      <w:r w:rsidRPr="000F21F0">
        <w:rPr>
          <w:rFonts w:ascii="Century Gothic" w:hAnsi="Century Gothic"/>
          <w:b/>
          <w:sz w:val="24"/>
          <w:szCs w:val="24"/>
        </w:rPr>
        <w:t>PROYECTO DE REFORMA CONSTITUCIONAL</w:t>
      </w:r>
    </w:p>
    <w:p w:rsidR="000F21F0" w:rsidRPr="000F21F0" w:rsidRDefault="00BF6323" w:rsidP="00B44C32">
      <w:pPr>
        <w:spacing w:line="276" w:lineRule="auto"/>
        <w:jc w:val="both"/>
        <w:rPr>
          <w:rFonts w:ascii="Century Gothic" w:hAnsi="Century Gothic"/>
          <w:sz w:val="24"/>
          <w:szCs w:val="24"/>
          <w:lang w:val="es-ES"/>
        </w:rPr>
      </w:pPr>
      <w:r>
        <w:rPr>
          <w:rFonts w:ascii="Century Gothic" w:hAnsi="Century Gothic"/>
          <w:sz w:val="24"/>
          <w:szCs w:val="24"/>
        </w:rPr>
        <w:t xml:space="preserve"> </w:t>
      </w:r>
      <w:r w:rsidR="000F21F0" w:rsidRPr="000F21F0">
        <w:rPr>
          <w:rFonts w:ascii="Century Gothic" w:hAnsi="Century Gothic"/>
          <w:sz w:val="24"/>
          <w:szCs w:val="24"/>
          <w:lang w:val="es-ES"/>
        </w:rPr>
        <w:t xml:space="preserve">Artículo único.- Refórmese la Constitución Política de la República </w:t>
      </w:r>
      <w:r w:rsidR="000F21F0">
        <w:rPr>
          <w:rFonts w:ascii="Century Gothic" w:hAnsi="Century Gothic"/>
          <w:sz w:val="24"/>
          <w:szCs w:val="24"/>
          <w:lang w:val="es-ES"/>
        </w:rPr>
        <w:t>como a continuación se indica</w:t>
      </w:r>
      <w:r w:rsidR="000F21F0" w:rsidRPr="000F21F0">
        <w:rPr>
          <w:rFonts w:ascii="Century Gothic" w:hAnsi="Century Gothic"/>
          <w:sz w:val="24"/>
          <w:szCs w:val="24"/>
          <w:lang w:val="es-ES"/>
        </w:rPr>
        <w:t>:</w:t>
      </w:r>
    </w:p>
    <w:p w:rsidR="000F21F0" w:rsidRPr="000F21F0" w:rsidRDefault="000F21F0" w:rsidP="00B44C32">
      <w:pPr>
        <w:spacing w:line="276" w:lineRule="auto"/>
        <w:jc w:val="both"/>
        <w:rPr>
          <w:rFonts w:ascii="Century Gothic" w:hAnsi="Century Gothic"/>
          <w:sz w:val="24"/>
          <w:szCs w:val="24"/>
          <w:lang w:val="es-ES"/>
        </w:rPr>
      </w:pPr>
      <w:r w:rsidRPr="000F21F0">
        <w:rPr>
          <w:rFonts w:ascii="Century Gothic" w:hAnsi="Century Gothic"/>
          <w:sz w:val="24"/>
          <w:szCs w:val="24"/>
          <w:lang w:val="es-ES"/>
        </w:rPr>
        <w:t>1.</w:t>
      </w:r>
      <w:r w:rsidRPr="000F21F0">
        <w:rPr>
          <w:rFonts w:ascii="Century Gothic" w:hAnsi="Century Gothic"/>
          <w:sz w:val="24"/>
          <w:szCs w:val="24"/>
          <w:lang w:val="es-ES"/>
        </w:rPr>
        <w:tab/>
      </w:r>
      <w:proofErr w:type="spellStart"/>
      <w:r w:rsidRPr="000F21F0">
        <w:rPr>
          <w:rFonts w:ascii="Century Gothic" w:hAnsi="Century Gothic"/>
          <w:sz w:val="24"/>
          <w:szCs w:val="24"/>
          <w:lang w:val="es-ES"/>
        </w:rPr>
        <w:t>Modifícase</w:t>
      </w:r>
      <w:proofErr w:type="spellEnd"/>
      <w:r w:rsidRPr="000F21F0">
        <w:rPr>
          <w:rFonts w:ascii="Century Gothic" w:hAnsi="Century Gothic"/>
          <w:sz w:val="24"/>
          <w:szCs w:val="24"/>
          <w:lang w:val="es-ES"/>
        </w:rPr>
        <w:t xml:space="preserve"> el artículo 6</w:t>
      </w:r>
      <w:r>
        <w:rPr>
          <w:rFonts w:ascii="Century Gothic" w:hAnsi="Century Gothic"/>
          <w:sz w:val="24"/>
          <w:szCs w:val="24"/>
          <w:lang w:val="es-ES"/>
        </w:rPr>
        <w:t>5</w:t>
      </w:r>
      <w:r w:rsidRPr="000F21F0">
        <w:rPr>
          <w:rFonts w:ascii="Century Gothic" w:hAnsi="Century Gothic"/>
          <w:sz w:val="24"/>
          <w:szCs w:val="24"/>
          <w:lang w:val="es-ES"/>
        </w:rPr>
        <w:t xml:space="preserve"> en la siguiente forma:</w:t>
      </w:r>
    </w:p>
    <w:p w:rsidR="000F21F0" w:rsidRPr="000F21F0" w:rsidRDefault="000F21F0" w:rsidP="00B44C32">
      <w:pPr>
        <w:spacing w:line="276" w:lineRule="auto"/>
        <w:jc w:val="both"/>
        <w:rPr>
          <w:rFonts w:ascii="Century Gothic" w:hAnsi="Century Gothic"/>
          <w:sz w:val="24"/>
          <w:szCs w:val="24"/>
          <w:lang w:val="es-ES_tradnl"/>
        </w:rPr>
      </w:pPr>
      <w:r w:rsidRPr="000F21F0">
        <w:rPr>
          <w:rFonts w:ascii="Century Gothic" w:hAnsi="Century Gothic"/>
          <w:sz w:val="24"/>
          <w:szCs w:val="24"/>
          <w:lang w:val="es-ES_tradnl"/>
        </w:rPr>
        <w:t>a)</w:t>
      </w:r>
      <w:r w:rsidRPr="000F21F0">
        <w:rPr>
          <w:rFonts w:ascii="Century Gothic" w:hAnsi="Century Gothic"/>
          <w:sz w:val="24"/>
          <w:szCs w:val="24"/>
          <w:lang w:val="es-ES_tradnl"/>
        </w:rPr>
        <w:tab/>
      </w:r>
      <w:r>
        <w:rPr>
          <w:rFonts w:ascii="Century Gothic" w:hAnsi="Century Gothic"/>
          <w:sz w:val="24"/>
          <w:szCs w:val="24"/>
          <w:lang w:val="es-ES_tradnl"/>
        </w:rPr>
        <w:t>Sustitúyase</w:t>
      </w:r>
      <w:r w:rsidRPr="000F21F0">
        <w:rPr>
          <w:rFonts w:ascii="Century Gothic" w:hAnsi="Century Gothic"/>
          <w:sz w:val="24"/>
          <w:szCs w:val="24"/>
          <w:lang w:val="es-ES_tradnl"/>
        </w:rPr>
        <w:t xml:space="preserve"> en </w:t>
      </w:r>
      <w:r>
        <w:rPr>
          <w:rFonts w:ascii="Century Gothic" w:hAnsi="Century Gothic"/>
          <w:sz w:val="24"/>
          <w:szCs w:val="24"/>
          <w:lang w:val="es-ES_tradnl"/>
        </w:rPr>
        <w:t>el</w:t>
      </w:r>
      <w:r w:rsidRPr="000F21F0">
        <w:rPr>
          <w:rFonts w:ascii="Century Gothic" w:hAnsi="Century Gothic"/>
          <w:sz w:val="24"/>
          <w:szCs w:val="24"/>
          <w:lang w:val="es-ES_tradnl"/>
        </w:rPr>
        <w:t xml:space="preserve"> inciso primero la letra “o”</w:t>
      </w:r>
      <w:r>
        <w:rPr>
          <w:rFonts w:ascii="Century Gothic" w:hAnsi="Century Gothic"/>
          <w:sz w:val="24"/>
          <w:szCs w:val="24"/>
          <w:lang w:val="es-ES_tradnl"/>
        </w:rPr>
        <w:t xml:space="preserve"> </w:t>
      </w:r>
      <w:r w:rsidRPr="000F21F0">
        <w:rPr>
          <w:rFonts w:ascii="Century Gothic" w:hAnsi="Century Gothic"/>
          <w:sz w:val="24"/>
          <w:szCs w:val="24"/>
          <w:lang w:val="es-ES_tradnl"/>
        </w:rPr>
        <w:t>por una coma “,”.</w:t>
      </w:r>
    </w:p>
    <w:p w:rsidR="000F21F0" w:rsidRPr="000F21F0" w:rsidRDefault="000F21F0" w:rsidP="00B44C32">
      <w:pPr>
        <w:spacing w:line="276" w:lineRule="auto"/>
        <w:jc w:val="both"/>
        <w:rPr>
          <w:rFonts w:ascii="Century Gothic" w:hAnsi="Century Gothic"/>
          <w:sz w:val="24"/>
          <w:szCs w:val="24"/>
          <w:lang w:val="es-ES_tradnl"/>
        </w:rPr>
      </w:pPr>
      <w:r w:rsidRPr="000F21F0">
        <w:rPr>
          <w:rFonts w:ascii="Century Gothic" w:hAnsi="Century Gothic"/>
          <w:sz w:val="24"/>
          <w:szCs w:val="24"/>
          <w:lang w:val="es-ES_tradnl"/>
        </w:rPr>
        <w:t>b)</w:t>
      </w:r>
      <w:r w:rsidRPr="000F21F0">
        <w:rPr>
          <w:rFonts w:ascii="Century Gothic" w:hAnsi="Century Gothic"/>
          <w:sz w:val="24"/>
          <w:szCs w:val="24"/>
          <w:lang w:val="es-ES_tradnl"/>
        </w:rPr>
        <w:tab/>
      </w:r>
      <w:r>
        <w:rPr>
          <w:rFonts w:ascii="Century Gothic" w:hAnsi="Century Gothic"/>
          <w:sz w:val="24"/>
          <w:szCs w:val="24"/>
          <w:lang w:val="es-ES_tradnl"/>
        </w:rPr>
        <w:t>Eliminase</w:t>
      </w:r>
      <w:r w:rsidRPr="000F21F0">
        <w:rPr>
          <w:rFonts w:ascii="Century Gothic" w:hAnsi="Century Gothic"/>
          <w:sz w:val="24"/>
          <w:szCs w:val="24"/>
          <w:lang w:val="es-ES_tradnl"/>
        </w:rPr>
        <w:t xml:space="preserve"> en su inciso primero el punto seguido </w:t>
      </w:r>
      <w:r>
        <w:rPr>
          <w:rFonts w:ascii="Century Gothic" w:hAnsi="Century Gothic"/>
          <w:sz w:val="24"/>
          <w:szCs w:val="24"/>
          <w:lang w:val="es-ES_tradnl"/>
        </w:rPr>
        <w:t>agregando una nueva frase del siguiente</w:t>
      </w:r>
      <w:r w:rsidR="00B44C32">
        <w:rPr>
          <w:rFonts w:ascii="Century Gothic" w:hAnsi="Century Gothic"/>
          <w:sz w:val="24"/>
          <w:szCs w:val="24"/>
          <w:lang w:val="es-ES_tradnl"/>
        </w:rPr>
        <w:t xml:space="preserve"> tenor</w:t>
      </w:r>
      <w:r w:rsidRPr="000F21F0">
        <w:rPr>
          <w:rFonts w:ascii="Century Gothic" w:hAnsi="Century Gothic"/>
          <w:sz w:val="24"/>
          <w:szCs w:val="24"/>
          <w:lang w:val="es-ES_tradnl"/>
        </w:rPr>
        <w:t>:</w:t>
      </w:r>
      <w:r w:rsidR="00B44C32">
        <w:rPr>
          <w:rFonts w:ascii="Century Gothic" w:hAnsi="Century Gothic"/>
          <w:sz w:val="24"/>
          <w:szCs w:val="24"/>
          <w:lang w:val="es-ES_tradnl"/>
        </w:rPr>
        <w:t xml:space="preserve"> </w:t>
      </w:r>
      <w:r w:rsidRPr="000F21F0">
        <w:rPr>
          <w:rFonts w:ascii="Century Gothic" w:hAnsi="Century Gothic"/>
          <w:sz w:val="24"/>
          <w:szCs w:val="24"/>
          <w:lang w:val="es-ES_tradnl"/>
        </w:rPr>
        <w:t xml:space="preserve">“o por iniciativa </w:t>
      </w:r>
      <w:r>
        <w:rPr>
          <w:rFonts w:ascii="Century Gothic" w:hAnsi="Century Gothic"/>
          <w:sz w:val="24"/>
          <w:szCs w:val="24"/>
          <w:lang w:val="es-ES_tradnl"/>
        </w:rPr>
        <w:t>ciudadana</w:t>
      </w:r>
      <w:r w:rsidRPr="000F21F0">
        <w:rPr>
          <w:rFonts w:ascii="Century Gothic" w:hAnsi="Century Gothic"/>
          <w:sz w:val="24"/>
          <w:szCs w:val="24"/>
          <w:lang w:val="es-ES_tradnl"/>
        </w:rPr>
        <w:t>”.</w:t>
      </w:r>
    </w:p>
    <w:p w:rsidR="000F21F0" w:rsidRPr="000F21F0" w:rsidRDefault="000F21F0" w:rsidP="00B44C32">
      <w:pPr>
        <w:spacing w:line="276" w:lineRule="auto"/>
        <w:jc w:val="both"/>
        <w:rPr>
          <w:rFonts w:ascii="Century Gothic" w:hAnsi="Century Gothic"/>
          <w:sz w:val="24"/>
          <w:szCs w:val="24"/>
          <w:lang w:val="es-ES_tradnl"/>
        </w:rPr>
      </w:pPr>
      <w:r w:rsidRPr="000F21F0">
        <w:rPr>
          <w:rFonts w:ascii="Century Gothic" w:hAnsi="Century Gothic"/>
          <w:sz w:val="24"/>
          <w:szCs w:val="24"/>
          <w:lang w:val="es-ES_tradnl"/>
        </w:rPr>
        <w:t>c)</w:t>
      </w:r>
      <w:r w:rsidRPr="000F21F0">
        <w:rPr>
          <w:rFonts w:ascii="Century Gothic" w:hAnsi="Century Gothic"/>
          <w:sz w:val="24"/>
          <w:szCs w:val="24"/>
          <w:lang w:val="es-ES_tradnl"/>
        </w:rPr>
        <w:tab/>
      </w:r>
      <w:proofErr w:type="spellStart"/>
      <w:r w:rsidRPr="000F21F0">
        <w:rPr>
          <w:rFonts w:ascii="Century Gothic" w:hAnsi="Century Gothic"/>
          <w:sz w:val="24"/>
          <w:szCs w:val="24"/>
          <w:lang w:val="es-ES_tradnl"/>
        </w:rPr>
        <w:t>Agrégase</w:t>
      </w:r>
      <w:proofErr w:type="spellEnd"/>
      <w:r w:rsidRPr="000F21F0">
        <w:rPr>
          <w:rFonts w:ascii="Century Gothic" w:hAnsi="Century Gothic"/>
          <w:sz w:val="24"/>
          <w:szCs w:val="24"/>
          <w:lang w:val="es-ES_tradnl"/>
        </w:rPr>
        <w:t xml:space="preserve"> al final del inciso primero del artículo 6</w:t>
      </w:r>
      <w:r>
        <w:rPr>
          <w:rFonts w:ascii="Century Gothic" w:hAnsi="Century Gothic"/>
          <w:sz w:val="24"/>
          <w:szCs w:val="24"/>
          <w:lang w:val="es-ES_tradnl"/>
        </w:rPr>
        <w:t>5</w:t>
      </w:r>
      <w:r w:rsidRPr="000F21F0">
        <w:rPr>
          <w:rFonts w:ascii="Century Gothic" w:hAnsi="Century Gothic"/>
          <w:sz w:val="24"/>
          <w:szCs w:val="24"/>
          <w:lang w:val="es-ES_tradnl"/>
        </w:rPr>
        <w:t xml:space="preserve"> la siguiente frase:</w:t>
      </w:r>
    </w:p>
    <w:p w:rsidR="000F21F0" w:rsidRPr="000F21F0" w:rsidRDefault="000F21F0" w:rsidP="00B44C32">
      <w:pPr>
        <w:spacing w:line="276" w:lineRule="auto"/>
        <w:jc w:val="both"/>
        <w:rPr>
          <w:rFonts w:ascii="Century Gothic" w:hAnsi="Century Gothic"/>
          <w:i/>
          <w:sz w:val="24"/>
          <w:szCs w:val="24"/>
          <w:lang w:val="es-ES_tradnl"/>
        </w:rPr>
      </w:pPr>
      <w:r w:rsidRPr="000F21F0">
        <w:rPr>
          <w:rFonts w:ascii="Century Gothic" w:hAnsi="Century Gothic"/>
          <w:sz w:val="24"/>
          <w:szCs w:val="24"/>
          <w:lang w:val="es-ES_tradnl"/>
        </w:rPr>
        <w:t>“</w:t>
      </w:r>
      <w:r w:rsidRPr="00B44C32">
        <w:rPr>
          <w:rFonts w:ascii="Century Gothic" w:hAnsi="Century Gothic"/>
          <w:i/>
          <w:sz w:val="24"/>
          <w:szCs w:val="24"/>
          <w:lang w:val="es-ES_tradnl"/>
        </w:rPr>
        <w:t>En el caso de la iniciativa ciudadana, estas deberán cumplir con las mismas formalidades que determina la ley para la presentación y patrocinio de candidaturas independientes a Presidente de la República</w:t>
      </w:r>
      <w:r w:rsidRPr="000F21F0">
        <w:rPr>
          <w:rFonts w:ascii="Century Gothic" w:hAnsi="Century Gothic"/>
          <w:i/>
          <w:sz w:val="24"/>
          <w:szCs w:val="24"/>
          <w:lang w:val="es-ES_tradnl"/>
        </w:rPr>
        <w:t>”.</w:t>
      </w:r>
    </w:p>
    <w:p w:rsidR="000F21F0" w:rsidRDefault="000F21F0" w:rsidP="00B44C32">
      <w:pPr>
        <w:spacing w:line="276" w:lineRule="auto"/>
        <w:jc w:val="both"/>
        <w:rPr>
          <w:rFonts w:ascii="Century Gothic" w:hAnsi="Century Gothic"/>
          <w:sz w:val="24"/>
          <w:szCs w:val="24"/>
          <w:lang w:val="es-ES_tradnl"/>
        </w:rPr>
      </w:pPr>
      <w:r w:rsidRPr="000F21F0">
        <w:rPr>
          <w:rFonts w:ascii="Century Gothic" w:hAnsi="Century Gothic"/>
          <w:sz w:val="24"/>
          <w:szCs w:val="24"/>
          <w:lang w:val="es-ES_tradnl"/>
        </w:rPr>
        <w:t>2.</w:t>
      </w:r>
      <w:r w:rsidRPr="000F21F0">
        <w:rPr>
          <w:rFonts w:ascii="Century Gothic" w:hAnsi="Century Gothic"/>
          <w:sz w:val="24"/>
          <w:szCs w:val="24"/>
          <w:lang w:val="es-ES_tradnl"/>
        </w:rPr>
        <w:tab/>
      </w:r>
      <w:proofErr w:type="spellStart"/>
      <w:r w:rsidRPr="000F21F0">
        <w:rPr>
          <w:rFonts w:ascii="Century Gothic" w:hAnsi="Century Gothic"/>
          <w:sz w:val="24"/>
          <w:szCs w:val="24"/>
          <w:lang w:val="es-ES"/>
        </w:rPr>
        <w:t>Modifícase</w:t>
      </w:r>
      <w:proofErr w:type="spellEnd"/>
      <w:r w:rsidRPr="000F21F0">
        <w:rPr>
          <w:rFonts w:ascii="Century Gothic" w:hAnsi="Century Gothic"/>
          <w:sz w:val="24"/>
          <w:szCs w:val="24"/>
          <w:lang w:val="es-ES"/>
        </w:rPr>
        <w:t xml:space="preserve"> el artículo </w:t>
      </w:r>
      <w:r>
        <w:rPr>
          <w:rFonts w:ascii="Century Gothic" w:hAnsi="Century Gothic"/>
          <w:sz w:val="24"/>
          <w:szCs w:val="24"/>
          <w:lang w:val="es-ES"/>
        </w:rPr>
        <w:t>127</w:t>
      </w:r>
      <w:r w:rsidRPr="000F21F0">
        <w:rPr>
          <w:rFonts w:ascii="Century Gothic" w:hAnsi="Century Gothic"/>
          <w:sz w:val="24"/>
          <w:szCs w:val="24"/>
          <w:lang w:val="es-ES"/>
        </w:rPr>
        <w:t xml:space="preserve"> en la siguiente forma:</w:t>
      </w:r>
    </w:p>
    <w:p w:rsidR="00BF6323" w:rsidRDefault="000F21F0" w:rsidP="00B44C32">
      <w:pPr>
        <w:spacing w:line="276" w:lineRule="auto"/>
        <w:jc w:val="both"/>
        <w:rPr>
          <w:rFonts w:ascii="Century Gothic" w:hAnsi="Century Gothic"/>
          <w:sz w:val="24"/>
          <w:szCs w:val="24"/>
          <w:lang w:val="es-ES_tradnl"/>
        </w:rPr>
      </w:pPr>
      <w:r>
        <w:rPr>
          <w:rFonts w:ascii="Century Gothic" w:hAnsi="Century Gothic"/>
          <w:sz w:val="24"/>
          <w:szCs w:val="24"/>
          <w:lang w:val="es-ES_tradnl"/>
        </w:rPr>
        <w:t xml:space="preserve">a) </w:t>
      </w:r>
      <w:r>
        <w:rPr>
          <w:rFonts w:ascii="Century Gothic" w:hAnsi="Century Gothic"/>
          <w:sz w:val="24"/>
          <w:szCs w:val="24"/>
          <w:lang w:val="es-ES_tradnl"/>
        </w:rPr>
        <w:tab/>
        <w:t>Sustitúyase</w:t>
      </w:r>
      <w:r w:rsidRPr="000F21F0">
        <w:rPr>
          <w:rFonts w:ascii="Century Gothic" w:hAnsi="Century Gothic"/>
          <w:sz w:val="24"/>
          <w:szCs w:val="24"/>
          <w:lang w:val="es-ES_tradnl"/>
        </w:rPr>
        <w:t xml:space="preserve"> en </w:t>
      </w:r>
      <w:r>
        <w:rPr>
          <w:rFonts w:ascii="Century Gothic" w:hAnsi="Century Gothic"/>
          <w:sz w:val="24"/>
          <w:szCs w:val="24"/>
          <w:lang w:val="es-ES_tradnl"/>
        </w:rPr>
        <w:t>el</w:t>
      </w:r>
      <w:r w:rsidRPr="000F21F0">
        <w:rPr>
          <w:rFonts w:ascii="Century Gothic" w:hAnsi="Century Gothic"/>
          <w:sz w:val="24"/>
          <w:szCs w:val="24"/>
          <w:lang w:val="es-ES_tradnl"/>
        </w:rPr>
        <w:t xml:space="preserve"> inciso primero la letra “o”</w:t>
      </w:r>
      <w:r>
        <w:rPr>
          <w:rFonts w:ascii="Century Gothic" w:hAnsi="Century Gothic"/>
          <w:sz w:val="24"/>
          <w:szCs w:val="24"/>
          <w:lang w:val="es-ES_tradnl"/>
        </w:rPr>
        <w:t xml:space="preserve"> </w:t>
      </w:r>
      <w:r w:rsidRPr="000F21F0">
        <w:rPr>
          <w:rFonts w:ascii="Century Gothic" w:hAnsi="Century Gothic"/>
          <w:sz w:val="24"/>
          <w:szCs w:val="24"/>
          <w:lang w:val="es-ES_tradnl"/>
        </w:rPr>
        <w:t>por una coma “,”.</w:t>
      </w:r>
    </w:p>
    <w:p w:rsidR="000F21F0" w:rsidRDefault="000F21F0" w:rsidP="00B44C32">
      <w:pPr>
        <w:spacing w:line="276" w:lineRule="auto"/>
        <w:jc w:val="both"/>
        <w:rPr>
          <w:rFonts w:ascii="Century Gothic" w:hAnsi="Century Gothic"/>
          <w:sz w:val="24"/>
          <w:szCs w:val="24"/>
          <w:lang w:val="es-ES_tradnl"/>
        </w:rPr>
      </w:pPr>
      <w:r>
        <w:rPr>
          <w:rFonts w:ascii="Century Gothic" w:hAnsi="Century Gothic"/>
          <w:sz w:val="24"/>
          <w:szCs w:val="24"/>
        </w:rPr>
        <w:t>b)</w:t>
      </w:r>
      <w:r>
        <w:rPr>
          <w:rFonts w:ascii="Century Gothic" w:hAnsi="Century Gothic"/>
          <w:sz w:val="24"/>
          <w:szCs w:val="24"/>
        </w:rPr>
        <w:tab/>
      </w:r>
      <w:r>
        <w:rPr>
          <w:rFonts w:ascii="Century Gothic" w:hAnsi="Century Gothic"/>
          <w:sz w:val="24"/>
          <w:szCs w:val="24"/>
          <w:lang w:val="es-ES_tradnl"/>
        </w:rPr>
        <w:t>Sustitúyase</w:t>
      </w:r>
      <w:r w:rsidRPr="000F21F0">
        <w:rPr>
          <w:rFonts w:ascii="Century Gothic" w:hAnsi="Century Gothic"/>
          <w:sz w:val="24"/>
          <w:szCs w:val="24"/>
          <w:lang w:val="es-ES_tradnl"/>
        </w:rPr>
        <w:t xml:space="preserve"> </w:t>
      </w:r>
      <w:r>
        <w:rPr>
          <w:rFonts w:ascii="Century Gothic" w:hAnsi="Century Gothic"/>
          <w:sz w:val="24"/>
          <w:szCs w:val="24"/>
          <w:lang w:val="es-ES_tradnl"/>
        </w:rPr>
        <w:t xml:space="preserve">también </w:t>
      </w:r>
      <w:r w:rsidRPr="000F21F0">
        <w:rPr>
          <w:rFonts w:ascii="Century Gothic" w:hAnsi="Century Gothic"/>
          <w:sz w:val="24"/>
          <w:szCs w:val="24"/>
          <w:lang w:val="es-ES_tradnl"/>
        </w:rPr>
        <w:t xml:space="preserve">en </w:t>
      </w:r>
      <w:r>
        <w:rPr>
          <w:rFonts w:ascii="Century Gothic" w:hAnsi="Century Gothic"/>
          <w:sz w:val="24"/>
          <w:szCs w:val="24"/>
          <w:lang w:val="es-ES_tradnl"/>
        </w:rPr>
        <w:t>el</w:t>
      </w:r>
      <w:r w:rsidRPr="000F21F0">
        <w:rPr>
          <w:rFonts w:ascii="Century Gothic" w:hAnsi="Century Gothic"/>
          <w:sz w:val="24"/>
          <w:szCs w:val="24"/>
          <w:lang w:val="es-ES_tradnl"/>
        </w:rPr>
        <w:t xml:space="preserve"> inciso primero</w:t>
      </w:r>
      <w:r>
        <w:rPr>
          <w:rFonts w:ascii="Century Gothic" w:hAnsi="Century Gothic"/>
          <w:sz w:val="24"/>
          <w:szCs w:val="24"/>
          <w:lang w:val="es-ES_tradnl"/>
        </w:rPr>
        <w:t xml:space="preserve"> la coma “,” que sucede a las expresiones “Congreso Nacional”, por la frase: “</w:t>
      </w:r>
      <w:r w:rsidRPr="00B44C32">
        <w:rPr>
          <w:rFonts w:ascii="Century Gothic" w:hAnsi="Century Gothic"/>
          <w:i/>
          <w:sz w:val="24"/>
          <w:szCs w:val="24"/>
          <w:lang w:val="es-ES_tradnl"/>
        </w:rPr>
        <w:t>o</w:t>
      </w:r>
      <w:r w:rsidR="00B44C32">
        <w:rPr>
          <w:rFonts w:ascii="Century Gothic" w:hAnsi="Century Gothic"/>
          <w:i/>
          <w:sz w:val="24"/>
          <w:szCs w:val="24"/>
          <w:lang w:val="es-ES_tradnl"/>
        </w:rPr>
        <w:t xml:space="preserve"> por</w:t>
      </w:r>
      <w:r w:rsidRPr="00B44C32">
        <w:rPr>
          <w:rFonts w:ascii="Century Gothic" w:hAnsi="Century Gothic"/>
          <w:i/>
          <w:sz w:val="24"/>
          <w:szCs w:val="24"/>
          <w:lang w:val="es-ES_tradnl"/>
        </w:rPr>
        <w:t xml:space="preserve"> iniciativa ciudadana</w:t>
      </w:r>
      <w:r>
        <w:rPr>
          <w:rFonts w:ascii="Century Gothic" w:hAnsi="Century Gothic"/>
          <w:sz w:val="24"/>
          <w:szCs w:val="24"/>
          <w:lang w:val="es-ES_tradnl"/>
        </w:rPr>
        <w:t>”.</w:t>
      </w:r>
    </w:p>
    <w:p w:rsidR="000F21F0" w:rsidRPr="000F21F0" w:rsidRDefault="000F21F0" w:rsidP="00B44C32">
      <w:pPr>
        <w:spacing w:line="276" w:lineRule="auto"/>
        <w:jc w:val="both"/>
        <w:rPr>
          <w:rFonts w:ascii="Century Gothic" w:hAnsi="Century Gothic"/>
          <w:sz w:val="24"/>
          <w:szCs w:val="24"/>
          <w:lang w:val="es-ES_tradnl"/>
        </w:rPr>
      </w:pPr>
      <w:r w:rsidRPr="000F21F0">
        <w:rPr>
          <w:rFonts w:ascii="Century Gothic" w:hAnsi="Century Gothic"/>
          <w:sz w:val="24"/>
          <w:szCs w:val="24"/>
          <w:lang w:val="es-ES_tradnl"/>
        </w:rPr>
        <w:t>c)</w:t>
      </w:r>
      <w:r w:rsidRPr="000F21F0">
        <w:rPr>
          <w:rFonts w:ascii="Century Gothic" w:hAnsi="Century Gothic"/>
          <w:sz w:val="24"/>
          <w:szCs w:val="24"/>
          <w:lang w:val="es-ES_tradnl"/>
        </w:rPr>
        <w:tab/>
      </w:r>
      <w:proofErr w:type="spellStart"/>
      <w:r w:rsidRPr="000F21F0">
        <w:rPr>
          <w:rFonts w:ascii="Century Gothic" w:hAnsi="Century Gothic"/>
          <w:sz w:val="24"/>
          <w:szCs w:val="24"/>
          <w:lang w:val="es-ES_tradnl"/>
        </w:rPr>
        <w:t>Agrégase</w:t>
      </w:r>
      <w:proofErr w:type="spellEnd"/>
      <w:r w:rsidRPr="000F21F0">
        <w:rPr>
          <w:rFonts w:ascii="Century Gothic" w:hAnsi="Century Gothic"/>
          <w:sz w:val="24"/>
          <w:szCs w:val="24"/>
          <w:lang w:val="es-ES_tradnl"/>
        </w:rPr>
        <w:t xml:space="preserve"> al final del inciso primero del artículo </w:t>
      </w:r>
      <w:r>
        <w:rPr>
          <w:rFonts w:ascii="Century Gothic" w:hAnsi="Century Gothic"/>
          <w:sz w:val="24"/>
          <w:szCs w:val="24"/>
          <w:lang w:val="es-ES_tradnl"/>
        </w:rPr>
        <w:t>127</w:t>
      </w:r>
      <w:r w:rsidRPr="000F21F0">
        <w:rPr>
          <w:rFonts w:ascii="Century Gothic" w:hAnsi="Century Gothic"/>
          <w:sz w:val="24"/>
          <w:szCs w:val="24"/>
          <w:lang w:val="es-ES_tradnl"/>
        </w:rPr>
        <w:t xml:space="preserve"> la siguiente frase:</w:t>
      </w:r>
    </w:p>
    <w:p w:rsidR="000F21F0" w:rsidRPr="00B44C32" w:rsidRDefault="000F21F0" w:rsidP="00B44C32">
      <w:pPr>
        <w:spacing w:line="276" w:lineRule="auto"/>
        <w:jc w:val="both"/>
        <w:rPr>
          <w:rFonts w:ascii="Century Gothic" w:hAnsi="Century Gothic"/>
          <w:i/>
          <w:sz w:val="24"/>
          <w:szCs w:val="24"/>
          <w:lang w:val="es-ES_tradnl"/>
        </w:rPr>
      </w:pPr>
      <w:r w:rsidRPr="000F21F0">
        <w:rPr>
          <w:rFonts w:ascii="Century Gothic" w:hAnsi="Century Gothic"/>
          <w:i/>
          <w:sz w:val="24"/>
          <w:szCs w:val="24"/>
          <w:lang w:val="es-ES_tradnl"/>
        </w:rPr>
        <w:t>“</w:t>
      </w:r>
      <w:r w:rsidRPr="00B44C32">
        <w:rPr>
          <w:rFonts w:ascii="Century Gothic" w:hAnsi="Century Gothic"/>
          <w:i/>
          <w:sz w:val="24"/>
          <w:szCs w:val="24"/>
          <w:lang w:val="es-ES_tradnl"/>
        </w:rPr>
        <w:t>En el caso de la iniciativa ciudadana, estas deberán cumplir con las mismas formalidades que determina la ley para la presentación de candidaturas independientes</w:t>
      </w:r>
      <w:r w:rsidR="00B44C32">
        <w:rPr>
          <w:rFonts w:ascii="Century Gothic" w:hAnsi="Century Gothic"/>
          <w:i/>
          <w:sz w:val="24"/>
          <w:szCs w:val="24"/>
          <w:lang w:val="es-ES_tradnl"/>
        </w:rPr>
        <w:t>,</w:t>
      </w:r>
      <w:r w:rsidRPr="00B44C32">
        <w:rPr>
          <w:rFonts w:ascii="Century Gothic" w:hAnsi="Century Gothic"/>
          <w:i/>
          <w:sz w:val="24"/>
          <w:szCs w:val="24"/>
          <w:lang w:val="es-ES_tradnl"/>
        </w:rPr>
        <w:t xml:space="preserve"> </w:t>
      </w:r>
      <w:r w:rsidR="00B44C32" w:rsidRPr="00B44C32">
        <w:rPr>
          <w:rFonts w:ascii="Century Gothic" w:hAnsi="Century Gothic"/>
          <w:i/>
          <w:sz w:val="24"/>
          <w:szCs w:val="24"/>
          <w:lang w:val="es-ES_tradnl"/>
        </w:rPr>
        <w:t xml:space="preserve">debiendo contar </w:t>
      </w:r>
      <w:r w:rsidR="00B44C32">
        <w:rPr>
          <w:rFonts w:ascii="Century Gothic" w:hAnsi="Century Gothic"/>
          <w:i/>
          <w:sz w:val="24"/>
          <w:szCs w:val="24"/>
          <w:lang w:val="es-ES_tradnl"/>
        </w:rPr>
        <w:t xml:space="preserve">además </w:t>
      </w:r>
      <w:r w:rsidR="00B44C32" w:rsidRPr="00B44C32">
        <w:rPr>
          <w:rFonts w:ascii="Century Gothic" w:hAnsi="Century Gothic"/>
          <w:i/>
          <w:sz w:val="24"/>
          <w:szCs w:val="24"/>
          <w:lang w:val="es-ES_tradnl"/>
        </w:rPr>
        <w:t xml:space="preserve">con el patrocinio de al menos de </w:t>
      </w:r>
      <w:r w:rsidR="00B44C32" w:rsidRPr="00B44C32">
        <w:rPr>
          <w:rFonts w:ascii="Century Gothic" w:hAnsi="Century Gothic"/>
          <w:i/>
          <w:sz w:val="24"/>
          <w:szCs w:val="24"/>
          <w:lang w:val="es-ES_tradnl"/>
        </w:rPr>
        <w:lastRenderedPageBreak/>
        <w:t>un equivalente al dos por ciento de</w:t>
      </w:r>
      <w:r w:rsidR="00B44C32" w:rsidRPr="00B44C32">
        <w:rPr>
          <w:rFonts w:ascii="Courier New" w:eastAsia="Times New Roman" w:hAnsi="Courier New" w:cs="Courier New"/>
          <w:i/>
          <w:color w:val="666666"/>
          <w:sz w:val="18"/>
          <w:szCs w:val="18"/>
          <w:lang w:eastAsia="es-CL"/>
        </w:rPr>
        <w:t xml:space="preserve"> </w:t>
      </w:r>
      <w:r w:rsidR="00B44C32" w:rsidRPr="00B44C32">
        <w:rPr>
          <w:rFonts w:ascii="Century Gothic" w:hAnsi="Century Gothic"/>
          <w:i/>
          <w:sz w:val="24"/>
          <w:szCs w:val="24"/>
        </w:rPr>
        <w:t>los que hubieren sufragado en la anterior elección periódica de diputados, de acuerdo con el escrutinio general practicado por el Tribunal Calificador de Elecciones.</w:t>
      </w:r>
      <w:r w:rsidRPr="000F21F0">
        <w:rPr>
          <w:rFonts w:ascii="Century Gothic" w:hAnsi="Century Gothic"/>
          <w:i/>
          <w:sz w:val="24"/>
          <w:szCs w:val="24"/>
          <w:lang w:val="es-ES_tradnl"/>
        </w:rPr>
        <w:t>”.</w:t>
      </w:r>
    </w:p>
    <w:p w:rsidR="00B44C32" w:rsidRDefault="00B44C32" w:rsidP="000F21F0">
      <w:pPr>
        <w:spacing w:line="360" w:lineRule="auto"/>
        <w:jc w:val="both"/>
        <w:rPr>
          <w:rFonts w:ascii="Century Gothic" w:hAnsi="Century Gothic"/>
          <w:sz w:val="24"/>
          <w:szCs w:val="24"/>
        </w:rPr>
      </w:pPr>
    </w:p>
    <w:p w:rsidR="00B44C32" w:rsidRDefault="00B44C32" w:rsidP="000F21F0">
      <w:pPr>
        <w:spacing w:line="360" w:lineRule="auto"/>
        <w:jc w:val="both"/>
        <w:rPr>
          <w:rFonts w:ascii="Century Gothic" w:hAnsi="Century Gothic"/>
          <w:sz w:val="24"/>
          <w:szCs w:val="24"/>
        </w:rPr>
      </w:pPr>
    </w:p>
    <w:p w:rsidR="00B44C32" w:rsidRDefault="00B44C32" w:rsidP="000F21F0">
      <w:pPr>
        <w:spacing w:line="360" w:lineRule="auto"/>
        <w:jc w:val="both"/>
        <w:rPr>
          <w:rFonts w:ascii="Century Gothic" w:hAnsi="Century Gothic"/>
          <w:sz w:val="24"/>
          <w:szCs w:val="24"/>
        </w:rPr>
      </w:pPr>
    </w:p>
    <w:p w:rsidR="00B44C32" w:rsidRDefault="00B44C32" w:rsidP="000F21F0">
      <w:pPr>
        <w:spacing w:line="360" w:lineRule="auto"/>
        <w:jc w:val="both"/>
        <w:rPr>
          <w:rFonts w:ascii="Century Gothic" w:hAnsi="Century Gothic"/>
          <w:sz w:val="24"/>
          <w:szCs w:val="24"/>
        </w:rPr>
      </w:pPr>
    </w:p>
    <w:p w:rsidR="00B44C32" w:rsidRDefault="00B44C32" w:rsidP="000F21F0">
      <w:pPr>
        <w:spacing w:line="360" w:lineRule="auto"/>
        <w:jc w:val="both"/>
        <w:rPr>
          <w:rFonts w:ascii="Century Gothic" w:hAnsi="Century Gothic"/>
          <w:sz w:val="24"/>
          <w:szCs w:val="24"/>
        </w:rPr>
      </w:pPr>
    </w:p>
    <w:p w:rsidR="00B44C32" w:rsidRDefault="00B44C32" w:rsidP="000F21F0">
      <w:pPr>
        <w:spacing w:line="360" w:lineRule="auto"/>
        <w:jc w:val="both"/>
        <w:rPr>
          <w:rFonts w:ascii="Century Gothic" w:hAnsi="Century Gothic"/>
          <w:sz w:val="24"/>
          <w:szCs w:val="24"/>
        </w:rPr>
      </w:pPr>
    </w:p>
    <w:p w:rsidR="00B44C32" w:rsidRPr="00B44C32" w:rsidRDefault="00B44C32" w:rsidP="00B44C32">
      <w:pPr>
        <w:spacing w:after="0" w:line="240" w:lineRule="auto"/>
        <w:jc w:val="center"/>
        <w:rPr>
          <w:rFonts w:ascii="Century Gothic" w:hAnsi="Century Gothic"/>
          <w:b/>
          <w:sz w:val="24"/>
          <w:szCs w:val="24"/>
        </w:rPr>
      </w:pPr>
      <w:r w:rsidRPr="00B44C32">
        <w:rPr>
          <w:rFonts w:ascii="Century Gothic" w:hAnsi="Century Gothic"/>
          <w:b/>
          <w:sz w:val="24"/>
          <w:szCs w:val="24"/>
        </w:rPr>
        <w:t>ANDRÉS LONGTON HERRERA</w:t>
      </w:r>
    </w:p>
    <w:p w:rsidR="00B44C32" w:rsidRPr="000F21F0" w:rsidRDefault="00B44C32" w:rsidP="00B44C32">
      <w:pPr>
        <w:spacing w:after="0" w:line="240" w:lineRule="auto"/>
        <w:jc w:val="center"/>
        <w:rPr>
          <w:rFonts w:ascii="Century Gothic" w:hAnsi="Century Gothic"/>
          <w:b/>
          <w:sz w:val="24"/>
          <w:szCs w:val="24"/>
        </w:rPr>
      </w:pPr>
      <w:r w:rsidRPr="00B44C32">
        <w:rPr>
          <w:rFonts w:ascii="Century Gothic" w:hAnsi="Century Gothic"/>
          <w:b/>
          <w:sz w:val="24"/>
          <w:szCs w:val="24"/>
        </w:rPr>
        <w:t>DIPUTADO</w:t>
      </w:r>
    </w:p>
    <w:p w:rsidR="000F21F0" w:rsidRPr="000F21F0" w:rsidRDefault="000F21F0" w:rsidP="000F21F0">
      <w:pPr>
        <w:spacing w:line="360" w:lineRule="auto"/>
        <w:jc w:val="both"/>
        <w:rPr>
          <w:rFonts w:ascii="Century Gothic" w:hAnsi="Century Gothic"/>
          <w:sz w:val="24"/>
          <w:szCs w:val="24"/>
          <w:lang w:val="es-ES_tradnl"/>
        </w:rPr>
      </w:pPr>
    </w:p>
    <w:p w:rsidR="00BF6323" w:rsidRPr="00BF6323" w:rsidRDefault="00BF6323" w:rsidP="00DA428F">
      <w:pPr>
        <w:spacing w:line="360" w:lineRule="auto"/>
        <w:jc w:val="both"/>
        <w:rPr>
          <w:rFonts w:ascii="Century Gothic" w:hAnsi="Century Gothic"/>
          <w:sz w:val="24"/>
          <w:szCs w:val="24"/>
        </w:rPr>
      </w:pPr>
    </w:p>
    <w:sectPr w:rsidR="00BF6323" w:rsidRPr="00BF6323" w:rsidSect="00CE1CB3">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F0D" w:rsidRDefault="00FD1F0D" w:rsidP="00A36CB7">
      <w:pPr>
        <w:spacing w:after="0" w:line="240" w:lineRule="auto"/>
      </w:pPr>
      <w:r>
        <w:separator/>
      </w:r>
    </w:p>
  </w:endnote>
  <w:endnote w:type="continuationSeparator" w:id="0">
    <w:p w:rsidR="00FD1F0D" w:rsidRDefault="00FD1F0D" w:rsidP="00A3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32" w:rsidRPr="00B44C32" w:rsidRDefault="00B44C32" w:rsidP="00B44C32">
    <w:pPr>
      <w:pStyle w:val="Piedepgina"/>
      <w:jc w:val="right"/>
      <w:rPr>
        <w:sz w:val="16"/>
        <w:szCs w:val="16"/>
      </w:rPr>
    </w:pPr>
    <w:proofErr w:type="spellStart"/>
    <w:r w:rsidRPr="00B44C32">
      <w:rPr>
        <w:sz w:val="16"/>
        <w:szCs w:val="16"/>
      </w:rPr>
      <w:t>lcn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F0D" w:rsidRDefault="00FD1F0D" w:rsidP="00A36CB7">
      <w:pPr>
        <w:spacing w:after="0" w:line="240" w:lineRule="auto"/>
      </w:pPr>
      <w:r>
        <w:separator/>
      </w:r>
    </w:p>
  </w:footnote>
  <w:footnote w:type="continuationSeparator" w:id="0">
    <w:p w:rsidR="00FD1F0D" w:rsidRDefault="00FD1F0D" w:rsidP="00A36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23"/>
    <w:rsid w:val="000320BB"/>
    <w:rsid w:val="000E3329"/>
    <w:rsid w:val="000F21F0"/>
    <w:rsid w:val="002C0F78"/>
    <w:rsid w:val="003159D6"/>
    <w:rsid w:val="0036128C"/>
    <w:rsid w:val="0045352D"/>
    <w:rsid w:val="007C3378"/>
    <w:rsid w:val="0082406E"/>
    <w:rsid w:val="00847BC9"/>
    <w:rsid w:val="00892E8C"/>
    <w:rsid w:val="00A36CB7"/>
    <w:rsid w:val="00B44C32"/>
    <w:rsid w:val="00BF6323"/>
    <w:rsid w:val="00CE1CB3"/>
    <w:rsid w:val="00D65B78"/>
    <w:rsid w:val="00D87E50"/>
    <w:rsid w:val="00DA428F"/>
    <w:rsid w:val="00E20279"/>
    <w:rsid w:val="00FD1F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EA22-FE90-4766-A868-1B877169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C337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C3378"/>
    <w:rPr>
      <w:rFonts w:ascii="Consolas" w:hAnsi="Consolas"/>
      <w:sz w:val="20"/>
      <w:szCs w:val="20"/>
    </w:rPr>
  </w:style>
  <w:style w:type="paragraph" w:styleId="Textonotapie">
    <w:name w:val="footnote text"/>
    <w:basedOn w:val="Normal"/>
    <w:link w:val="TextonotapieCar"/>
    <w:uiPriority w:val="99"/>
    <w:semiHidden/>
    <w:unhideWhenUsed/>
    <w:rsid w:val="00A36C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6CB7"/>
    <w:rPr>
      <w:sz w:val="20"/>
      <w:szCs w:val="20"/>
    </w:rPr>
  </w:style>
  <w:style w:type="character" w:styleId="Refdenotaalpie">
    <w:name w:val="footnote reference"/>
    <w:basedOn w:val="Fuentedeprrafopredeter"/>
    <w:uiPriority w:val="99"/>
    <w:semiHidden/>
    <w:unhideWhenUsed/>
    <w:rsid w:val="00A36CB7"/>
    <w:rPr>
      <w:vertAlign w:val="superscript"/>
    </w:rPr>
  </w:style>
  <w:style w:type="character" w:styleId="Hipervnculo">
    <w:name w:val="Hyperlink"/>
    <w:basedOn w:val="Fuentedeprrafopredeter"/>
    <w:uiPriority w:val="99"/>
    <w:unhideWhenUsed/>
    <w:rsid w:val="002C0F78"/>
    <w:rPr>
      <w:color w:val="0563C1" w:themeColor="hyperlink"/>
      <w:u w:val="single"/>
    </w:rPr>
  </w:style>
  <w:style w:type="character" w:customStyle="1" w:styleId="UnresolvedMention">
    <w:name w:val="Unresolved Mention"/>
    <w:basedOn w:val="Fuentedeprrafopredeter"/>
    <w:uiPriority w:val="99"/>
    <w:semiHidden/>
    <w:unhideWhenUsed/>
    <w:rsid w:val="002C0F78"/>
    <w:rPr>
      <w:color w:val="605E5C"/>
      <w:shd w:val="clear" w:color="auto" w:fill="E1DFDD"/>
    </w:rPr>
  </w:style>
  <w:style w:type="paragraph" w:styleId="Encabezado">
    <w:name w:val="header"/>
    <w:basedOn w:val="Normal"/>
    <w:link w:val="EncabezadoCar"/>
    <w:uiPriority w:val="99"/>
    <w:unhideWhenUsed/>
    <w:rsid w:val="00B44C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C32"/>
  </w:style>
  <w:style w:type="paragraph" w:styleId="Piedepgina">
    <w:name w:val="footer"/>
    <w:basedOn w:val="Normal"/>
    <w:link w:val="PiedepginaCar"/>
    <w:uiPriority w:val="99"/>
    <w:unhideWhenUsed/>
    <w:rsid w:val="00B44C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1705">
      <w:bodyDiv w:val="1"/>
      <w:marLeft w:val="0"/>
      <w:marRight w:val="0"/>
      <w:marTop w:val="0"/>
      <w:marBottom w:val="0"/>
      <w:divBdr>
        <w:top w:val="none" w:sz="0" w:space="0" w:color="auto"/>
        <w:left w:val="none" w:sz="0" w:space="0" w:color="auto"/>
        <w:bottom w:val="none" w:sz="0" w:space="0" w:color="auto"/>
        <w:right w:val="none" w:sz="0" w:space="0" w:color="auto"/>
      </w:divBdr>
    </w:div>
    <w:div w:id="498153572">
      <w:bodyDiv w:val="1"/>
      <w:marLeft w:val="0"/>
      <w:marRight w:val="0"/>
      <w:marTop w:val="0"/>
      <w:marBottom w:val="0"/>
      <w:divBdr>
        <w:top w:val="none" w:sz="0" w:space="0" w:color="auto"/>
        <w:left w:val="none" w:sz="0" w:space="0" w:color="auto"/>
        <w:bottom w:val="none" w:sz="0" w:space="0" w:color="auto"/>
        <w:right w:val="none" w:sz="0" w:space="0" w:color="auto"/>
      </w:divBdr>
    </w:div>
    <w:div w:id="765614869">
      <w:bodyDiv w:val="1"/>
      <w:marLeft w:val="0"/>
      <w:marRight w:val="0"/>
      <w:marTop w:val="0"/>
      <w:marBottom w:val="0"/>
      <w:divBdr>
        <w:top w:val="none" w:sz="0" w:space="0" w:color="auto"/>
        <w:left w:val="none" w:sz="0" w:space="0" w:color="auto"/>
        <w:bottom w:val="none" w:sz="0" w:space="0" w:color="auto"/>
        <w:right w:val="none" w:sz="0" w:space="0" w:color="auto"/>
      </w:divBdr>
    </w:div>
    <w:div w:id="896865993">
      <w:bodyDiv w:val="1"/>
      <w:marLeft w:val="0"/>
      <w:marRight w:val="0"/>
      <w:marTop w:val="0"/>
      <w:marBottom w:val="0"/>
      <w:divBdr>
        <w:top w:val="none" w:sz="0" w:space="0" w:color="auto"/>
        <w:left w:val="none" w:sz="0" w:space="0" w:color="auto"/>
        <w:bottom w:val="none" w:sz="0" w:space="0" w:color="auto"/>
        <w:right w:val="none" w:sz="0" w:space="0" w:color="auto"/>
      </w:divBdr>
    </w:div>
    <w:div w:id="1479808281">
      <w:bodyDiv w:val="1"/>
      <w:marLeft w:val="0"/>
      <w:marRight w:val="0"/>
      <w:marTop w:val="0"/>
      <w:marBottom w:val="0"/>
      <w:divBdr>
        <w:top w:val="none" w:sz="0" w:space="0" w:color="auto"/>
        <w:left w:val="none" w:sz="0" w:space="0" w:color="auto"/>
        <w:bottom w:val="none" w:sz="0" w:space="0" w:color="auto"/>
        <w:right w:val="none" w:sz="0" w:space="0" w:color="auto"/>
      </w:divBdr>
    </w:div>
    <w:div w:id="1723089367">
      <w:bodyDiv w:val="1"/>
      <w:marLeft w:val="0"/>
      <w:marRight w:val="0"/>
      <w:marTop w:val="0"/>
      <w:marBottom w:val="0"/>
      <w:divBdr>
        <w:top w:val="none" w:sz="0" w:space="0" w:color="auto"/>
        <w:left w:val="none" w:sz="0" w:space="0" w:color="auto"/>
        <w:bottom w:val="none" w:sz="0" w:space="0" w:color="auto"/>
        <w:right w:val="none" w:sz="0" w:space="0" w:color="auto"/>
      </w:divBdr>
    </w:div>
    <w:div w:id="18878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7437E-D771-40E2-B147-BE47BA4F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1707</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saldivar</dc:creator>
  <cp:keywords/>
  <dc:description/>
  <cp:lastModifiedBy>Leonardo Lueiza Ureta</cp:lastModifiedBy>
  <cp:revision>5</cp:revision>
  <dcterms:created xsi:type="dcterms:W3CDTF">2018-11-13T21:45:00Z</dcterms:created>
  <dcterms:modified xsi:type="dcterms:W3CDTF">2018-12-18T16:01:00Z</dcterms:modified>
</cp:coreProperties>
</file>