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F1" w:rsidRDefault="00A466E8" w:rsidP="000612A1">
      <w:pPr>
        <w:spacing w:line="360" w:lineRule="auto"/>
        <w:jc w:val="center"/>
        <w:rPr>
          <w:rFonts w:ascii="Century Gothic" w:hAnsi="Century Gothic" w:cs="Bangla MN"/>
          <w:b/>
          <w:lang w:val="es-ES"/>
        </w:rPr>
      </w:pPr>
      <w:r w:rsidRPr="00A466E8">
        <w:rPr>
          <w:rFonts w:ascii="Century Gothic" w:hAnsi="Century Gothic" w:cs="Bangla MN"/>
          <w:b/>
          <w:lang w:val="es-ES"/>
        </w:rPr>
        <w:t>Modifica la ley Nº 19.496, que Establece Normas Sobre Protección de los Derechos de los Consumidores, en materia de procedimiento especial para protección del interés colectivo o difuso de los consumidores</w:t>
      </w:r>
    </w:p>
    <w:p w:rsidR="00A466E8" w:rsidRDefault="00A466E8" w:rsidP="000612A1">
      <w:pPr>
        <w:spacing w:line="360" w:lineRule="auto"/>
        <w:jc w:val="center"/>
        <w:rPr>
          <w:rFonts w:ascii="Century Gothic" w:hAnsi="Century Gothic" w:cs="Bangla MN"/>
          <w:b/>
          <w:lang w:val="es-ES"/>
        </w:rPr>
      </w:pPr>
    </w:p>
    <w:p w:rsidR="0097747C" w:rsidRDefault="00A466E8" w:rsidP="000612A1">
      <w:pPr>
        <w:spacing w:line="360" w:lineRule="auto"/>
        <w:jc w:val="center"/>
        <w:rPr>
          <w:rFonts w:ascii="Century Gothic" w:hAnsi="Century Gothic" w:cs="Bangla MN"/>
          <w:b/>
          <w:lang w:val="es-ES"/>
        </w:rPr>
      </w:pPr>
      <w:r>
        <w:rPr>
          <w:rFonts w:ascii="Century Gothic" w:hAnsi="Century Gothic" w:cs="Bangla MN"/>
          <w:b/>
          <w:lang w:val="es-ES"/>
        </w:rPr>
        <w:t>Boletín N°12328-03</w:t>
      </w:r>
      <w:bookmarkStart w:id="0" w:name="_GoBack"/>
      <w:bookmarkEnd w:id="0"/>
    </w:p>
    <w:p w:rsidR="0097747C" w:rsidRDefault="0097747C" w:rsidP="000612A1">
      <w:pPr>
        <w:spacing w:line="360" w:lineRule="auto"/>
        <w:jc w:val="center"/>
        <w:rPr>
          <w:rFonts w:ascii="Century Gothic" w:hAnsi="Century Gothic" w:cs="Bangla MN"/>
          <w:b/>
          <w:lang w:val="es-ES"/>
        </w:rPr>
      </w:pPr>
    </w:p>
    <w:p w:rsidR="0097747C" w:rsidRDefault="0097747C" w:rsidP="000612A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Bangla MN"/>
          <w:b/>
          <w:lang w:val="es-ES"/>
        </w:rPr>
      </w:pPr>
      <w:r>
        <w:rPr>
          <w:rFonts w:ascii="Century Gothic" w:hAnsi="Century Gothic" w:cs="Bangla MN"/>
          <w:b/>
          <w:lang w:val="es-ES"/>
        </w:rPr>
        <w:t>Fundamentos del Proyecto</w:t>
      </w:r>
    </w:p>
    <w:p w:rsidR="0097747C" w:rsidRDefault="0097747C" w:rsidP="000612A1">
      <w:pPr>
        <w:spacing w:line="360" w:lineRule="auto"/>
        <w:jc w:val="both"/>
        <w:rPr>
          <w:rFonts w:ascii="Century Gothic" w:hAnsi="Century Gothic" w:cs="Bangla MN"/>
          <w:b/>
          <w:lang w:val="es-ES"/>
        </w:rPr>
      </w:pPr>
    </w:p>
    <w:p w:rsidR="000612A1" w:rsidRDefault="00377BB1" w:rsidP="009D1075">
      <w:pPr>
        <w:spacing w:line="360" w:lineRule="auto"/>
        <w:ind w:firstLine="851"/>
        <w:jc w:val="both"/>
        <w:rPr>
          <w:rFonts w:ascii="Century Gothic" w:hAnsi="Century Gothic" w:cs="Bangla MN"/>
          <w:bCs/>
        </w:rPr>
      </w:pPr>
      <w:r>
        <w:rPr>
          <w:rFonts w:ascii="Century Gothic" w:hAnsi="Century Gothic" w:cs="Bangla MN"/>
          <w:lang w:val="es-ES"/>
        </w:rPr>
        <w:t>El día</w:t>
      </w:r>
      <w:r w:rsidR="000612A1">
        <w:rPr>
          <w:rFonts w:ascii="Century Gothic" w:hAnsi="Century Gothic" w:cs="Bangla MN"/>
          <w:lang w:val="es-ES"/>
        </w:rPr>
        <w:t xml:space="preserve"> 24 de octubre del 2013 marcaba un hito</w:t>
      </w:r>
      <w:r w:rsidR="00B342B5">
        <w:rPr>
          <w:rFonts w:ascii="Century Gothic" w:hAnsi="Century Gothic" w:cs="Bangla MN"/>
          <w:lang w:val="es-ES"/>
        </w:rPr>
        <w:t xml:space="preserve"> por</w:t>
      </w:r>
      <w:r w:rsidR="000612A1">
        <w:rPr>
          <w:rFonts w:ascii="Century Gothic" w:hAnsi="Century Gothic" w:cs="Bangla MN"/>
          <w:lang w:val="es-ES"/>
        </w:rPr>
        <w:t xml:space="preserve"> el primer juicio colectivo ganado por el SERNAC. En un fallo de la Corte Suprema de Justicia se condenaba a la empresa CENCOSUD a pagar la suma de 70 millones de dólares a los consumidores </w:t>
      </w:r>
      <w:r w:rsidR="000612A1" w:rsidRPr="000612A1">
        <w:rPr>
          <w:rFonts w:ascii="Century Gothic" w:hAnsi="Century Gothic" w:cs="Bangla MN"/>
        </w:rPr>
        <w:t>afectados por el alza unilateral de comisiones de la tarjeta Jumbo Mas, hecho ocurrido el año </w:t>
      </w:r>
      <w:r w:rsidR="000612A1" w:rsidRPr="000612A1">
        <w:rPr>
          <w:rFonts w:ascii="Century Gothic" w:hAnsi="Century Gothic" w:cs="Bangla MN"/>
          <w:bCs/>
        </w:rPr>
        <w:t>2006</w:t>
      </w:r>
      <w:r w:rsidR="000612A1">
        <w:rPr>
          <w:rFonts w:ascii="Century Gothic" w:hAnsi="Century Gothic" w:cs="Bangla MN"/>
          <w:bCs/>
        </w:rPr>
        <w:t>.</w:t>
      </w:r>
    </w:p>
    <w:p w:rsidR="000612A1" w:rsidRDefault="000612A1" w:rsidP="000612A1">
      <w:pPr>
        <w:spacing w:line="360" w:lineRule="auto"/>
        <w:ind w:left="360" w:firstLine="348"/>
        <w:jc w:val="both"/>
        <w:rPr>
          <w:rFonts w:ascii="Century Gothic" w:hAnsi="Century Gothic" w:cs="Bangla MN"/>
        </w:rPr>
      </w:pPr>
    </w:p>
    <w:p w:rsidR="00B342B5" w:rsidRDefault="000612A1" w:rsidP="009D1075">
      <w:pPr>
        <w:spacing w:line="360" w:lineRule="auto"/>
        <w:ind w:firstLine="851"/>
        <w:jc w:val="both"/>
        <w:rPr>
          <w:rFonts w:ascii="Century Gothic" w:hAnsi="Century Gothic" w:cs="Bangla MN"/>
        </w:rPr>
      </w:pPr>
      <w:r>
        <w:rPr>
          <w:rFonts w:ascii="Century Gothic" w:hAnsi="Century Gothic" w:cs="Bangla MN"/>
        </w:rPr>
        <w:t xml:space="preserve">Los denominados “juicios o demandas colectivas” </w:t>
      </w:r>
      <w:r w:rsidR="00D139CA">
        <w:rPr>
          <w:rFonts w:ascii="Century Gothic" w:hAnsi="Century Gothic" w:cs="Bangla MN"/>
        </w:rPr>
        <w:t>es el mecanismo judicial incorporado en el año 2004 con la ley Nº19.955 para dar protección a los intereses colectivos o difusos de los consumidores.</w:t>
      </w:r>
      <w:r w:rsidR="00B342B5">
        <w:rPr>
          <w:rFonts w:ascii="Century Gothic" w:hAnsi="Century Gothic" w:cs="Bangla MN"/>
        </w:rPr>
        <w:t xml:space="preserve"> El cual desde entonces, ha sido de gran utilidad para responder ante la afectación masiva de los derechos de los consumidores y sobre todo en casos de relevancia nacional.</w:t>
      </w:r>
    </w:p>
    <w:p w:rsidR="000612A1" w:rsidRDefault="00D139CA" w:rsidP="009D1075">
      <w:pPr>
        <w:spacing w:line="360" w:lineRule="auto"/>
        <w:ind w:firstLine="851"/>
        <w:jc w:val="both"/>
        <w:rPr>
          <w:rFonts w:ascii="Century Gothic" w:hAnsi="Century Gothic" w:cs="Bangla MN"/>
        </w:rPr>
      </w:pPr>
      <w:r>
        <w:rPr>
          <w:rFonts w:ascii="Century Gothic" w:hAnsi="Century Gothic" w:cs="Bangla MN"/>
        </w:rPr>
        <w:t xml:space="preserve"> </w:t>
      </w:r>
      <w:r w:rsidR="00B342B5">
        <w:rPr>
          <w:rFonts w:ascii="Century Gothic" w:hAnsi="Century Gothic" w:cs="Bangla MN"/>
        </w:rPr>
        <w:t>En cuanto a su regulación legal,</w:t>
      </w:r>
      <w:r w:rsidR="00A27B92">
        <w:rPr>
          <w:rFonts w:ascii="Century Gothic" w:hAnsi="Century Gothic" w:cs="Bangla MN"/>
        </w:rPr>
        <w:t xml:space="preserve"> </w:t>
      </w:r>
      <w:r w:rsidR="009D1075">
        <w:rPr>
          <w:rFonts w:ascii="Century Gothic" w:hAnsi="Century Gothic" w:cs="Bangla MN"/>
        </w:rPr>
        <w:t xml:space="preserve">el artículo 50 de la ley Nº 19.496, </w:t>
      </w:r>
      <w:r w:rsidR="00A27B92">
        <w:rPr>
          <w:rFonts w:ascii="Century Gothic" w:hAnsi="Century Gothic" w:cs="Bangla MN"/>
        </w:rPr>
        <w:t xml:space="preserve">distingue </w:t>
      </w:r>
      <w:r w:rsidR="009D1075">
        <w:rPr>
          <w:rFonts w:ascii="Century Gothic" w:hAnsi="Century Gothic" w:cs="Bangla MN"/>
        </w:rPr>
        <w:t>3 tipos de acciones para dar protección a los derechos de los consumidores: De interés individual, colectivo o difuso.</w:t>
      </w:r>
    </w:p>
    <w:p w:rsidR="009D1075" w:rsidRDefault="009D1075" w:rsidP="000612A1">
      <w:pPr>
        <w:spacing w:line="360" w:lineRule="auto"/>
        <w:ind w:left="360" w:firstLine="348"/>
        <w:jc w:val="both"/>
        <w:rPr>
          <w:rFonts w:ascii="Century Gothic" w:hAnsi="Century Gothic" w:cs="Bangla MN"/>
        </w:rPr>
      </w:pPr>
    </w:p>
    <w:p w:rsidR="009D1075" w:rsidRDefault="009D1075" w:rsidP="009D10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 w:cs="Bangla MN"/>
        </w:rPr>
      </w:pPr>
      <w:r w:rsidRPr="009D1075">
        <w:rPr>
          <w:rFonts w:ascii="Century Gothic" w:hAnsi="Century Gothic" w:cs="Bangla MN"/>
          <w:b/>
        </w:rPr>
        <w:t>De Interés individual:</w:t>
      </w:r>
      <w:r>
        <w:rPr>
          <w:rFonts w:ascii="Century Gothic" w:hAnsi="Century Gothic" w:cs="Bangla MN"/>
        </w:rPr>
        <w:t xml:space="preserve"> Son aquellas acciones que se promueven exclusivamente en defensa de los derechos del consumidor afectado.</w:t>
      </w:r>
    </w:p>
    <w:p w:rsidR="009D1075" w:rsidRPr="009D1075" w:rsidRDefault="009D1075" w:rsidP="009D10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 w:cs="Bangla MN"/>
        </w:rPr>
      </w:pPr>
      <w:r w:rsidRPr="009D1075">
        <w:rPr>
          <w:rFonts w:ascii="Century Gothic" w:hAnsi="Century Gothic" w:cs="Bangla MN"/>
          <w:b/>
        </w:rPr>
        <w:t>De interés colectivo:</w:t>
      </w:r>
      <w:r>
        <w:rPr>
          <w:rFonts w:ascii="Century Gothic" w:hAnsi="Century Gothic" w:cs="Bangla MN"/>
        </w:rPr>
        <w:t xml:space="preserve"> Son aquellas </w:t>
      </w:r>
      <w:r w:rsidRPr="009D1075">
        <w:rPr>
          <w:rFonts w:ascii="Century Gothic" w:hAnsi="Century Gothic" w:cs="Bangla MN"/>
        </w:rPr>
        <w:t xml:space="preserve">acciones que se </w:t>
      </w:r>
      <w:r w:rsidRPr="009D1075">
        <w:rPr>
          <w:rFonts w:ascii="Century Gothic" w:hAnsi="Century Gothic" w:cs="Bangla MN"/>
        </w:rPr>
        <w:br/>
        <w:t xml:space="preserve">promueven en defensa de derechos comunes a un conjunto </w:t>
      </w:r>
      <w:r w:rsidRPr="009D1075">
        <w:rPr>
          <w:rFonts w:ascii="Century Gothic" w:hAnsi="Century Gothic" w:cs="Bangla MN"/>
        </w:rPr>
        <w:br/>
        <w:t xml:space="preserve">determinado o determinable de consumidores, ligados con </w:t>
      </w:r>
      <w:r w:rsidRPr="009D1075">
        <w:rPr>
          <w:rFonts w:ascii="Century Gothic" w:hAnsi="Century Gothic" w:cs="Bangla MN"/>
        </w:rPr>
        <w:br/>
        <w:t>un proveedor por un vínculo contractual.</w:t>
      </w:r>
    </w:p>
    <w:p w:rsidR="009D1075" w:rsidRPr="009D1075" w:rsidRDefault="009D1075" w:rsidP="009D10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 w:cs="Bangla MN"/>
        </w:rPr>
      </w:pPr>
      <w:r w:rsidRPr="009D1075">
        <w:rPr>
          <w:rFonts w:ascii="Century Gothic" w:hAnsi="Century Gothic" w:cs="Bangla MN"/>
          <w:b/>
        </w:rPr>
        <w:lastRenderedPageBreak/>
        <w:t>De interés difuso:</w:t>
      </w:r>
      <w:r>
        <w:rPr>
          <w:rFonts w:ascii="Century Gothic" w:hAnsi="Century Gothic" w:cs="Bangla MN"/>
        </w:rPr>
        <w:t xml:space="preserve"> Son </w:t>
      </w:r>
      <w:r w:rsidRPr="009D1075">
        <w:rPr>
          <w:rFonts w:ascii="Century Gothic" w:hAnsi="Century Gothic" w:cs="Bangla MN"/>
        </w:rPr>
        <w:t xml:space="preserve">acciones que se </w:t>
      </w:r>
      <w:r w:rsidRPr="009D1075">
        <w:rPr>
          <w:rFonts w:ascii="Century Gothic" w:hAnsi="Century Gothic" w:cs="Bangla MN"/>
        </w:rPr>
        <w:br/>
        <w:t xml:space="preserve">promueven en defensa de un conjunto indeterminado de </w:t>
      </w:r>
      <w:r w:rsidRPr="009D1075">
        <w:rPr>
          <w:rFonts w:ascii="Century Gothic" w:hAnsi="Century Gothic" w:cs="Bangla MN"/>
        </w:rPr>
        <w:br/>
        <w:t>consumidores afectados en sus derechos.</w:t>
      </w:r>
    </w:p>
    <w:p w:rsidR="009D1075" w:rsidRPr="009D1075" w:rsidRDefault="009D1075" w:rsidP="009D1075">
      <w:pPr>
        <w:spacing w:line="360" w:lineRule="auto"/>
        <w:jc w:val="both"/>
        <w:rPr>
          <w:rFonts w:ascii="Century Gothic" w:hAnsi="Century Gothic" w:cs="Bangla MN"/>
        </w:rPr>
      </w:pPr>
    </w:p>
    <w:p w:rsidR="009D1075" w:rsidRDefault="009D1075" w:rsidP="009D1075">
      <w:pPr>
        <w:spacing w:line="360" w:lineRule="auto"/>
        <w:ind w:firstLine="709"/>
        <w:jc w:val="both"/>
        <w:rPr>
          <w:rFonts w:ascii="Century Gothic" w:hAnsi="Century Gothic" w:cs="Bangla MN"/>
        </w:rPr>
      </w:pPr>
      <w:r>
        <w:rPr>
          <w:rFonts w:ascii="Century Gothic" w:hAnsi="Century Gothic" w:cs="Bangla MN"/>
        </w:rPr>
        <w:t xml:space="preserve">En el párrafo 2º de la ley Nº 19.496 se trata de forma conjunta el procedimiento de la acciones de interés colectivo y difuso. </w:t>
      </w:r>
    </w:p>
    <w:p w:rsidR="00A27B92" w:rsidRDefault="009D1075" w:rsidP="009D1075">
      <w:pPr>
        <w:spacing w:line="360" w:lineRule="auto"/>
        <w:ind w:firstLine="709"/>
        <w:jc w:val="both"/>
        <w:rPr>
          <w:rFonts w:ascii="Century Gothic" w:hAnsi="Century Gothic" w:cs="Bangla MN"/>
        </w:rPr>
      </w:pPr>
      <w:r>
        <w:rPr>
          <w:rFonts w:ascii="Century Gothic" w:hAnsi="Century Gothic" w:cs="Bangla MN"/>
        </w:rPr>
        <w:t>En cuanto a los legitimados activos en est</w:t>
      </w:r>
      <w:r w:rsidR="00B342B5">
        <w:rPr>
          <w:rFonts w:ascii="Century Gothic" w:hAnsi="Century Gothic" w:cs="Bangla MN"/>
        </w:rPr>
        <w:t>os</w:t>
      </w:r>
      <w:r>
        <w:rPr>
          <w:rFonts w:ascii="Century Gothic" w:hAnsi="Century Gothic" w:cs="Bangla MN"/>
        </w:rPr>
        <w:t xml:space="preserve"> caso</w:t>
      </w:r>
      <w:r w:rsidR="00B342B5">
        <w:rPr>
          <w:rFonts w:ascii="Century Gothic" w:hAnsi="Century Gothic" w:cs="Bangla MN"/>
        </w:rPr>
        <w:t>s</w:t>
      </w:r>
      <w:r>
        <w:rPr>
          <w:rFonts w:ascii="Century Gothic" w:hAnsi="Century Gothic" w:cs="Bangla MN"/>
        </w:rPr>
        <w:t>, el art. 51 señala que podra ser:</w:t>
      </w:r>
    </w:p>
    <w:p w:rsidR="009D1075" w:rsidRDefault="009D1075" w:rsidP="000612A1">
      <w:pPr>
        <w:spacing w:line="360" w:lineRule="auto"/>
        <w:ind w:left="360" w:firstLine="348"/>
        <w:jc w:val="both"/>
        <w:rPr>
          <w:rFonts w:ascii="Century Gothic" w:hAnsi="Century Gothic" w:cs="Bangla MN"/>
        </w:rPr>
      </w:pPr>
    </w:p>
    <w:p w:rsidR="009D1075" w:rsidRPr="009D1075" w:rsidRDefault="009D1075" w:rsidP="009D1075">
      <w:pPr>
        <w:spacing w:line="360" w:lineRule="auto"/>
        <w:ind w:left="360" w:firstLine="348"/>
        <w:jc w:val="both"/>
        <w:rPr>
          <w:rFonts w:ascii="Century Gothic" w:hAnsi="Century Gothic" w:cs="Bangla MN"/>
        </w:rPr>
      </w:pPr>
      <w:r w:rsidRPr="009D1075">
        <w:rPr>
          <w:rFonts w:ascii="Century Gothic" w:hAnsi="Century Gothic" w:cs="Bangla MN"/>
          <w:b/>
        </w:rPr>
        <w:t>a)</w:t>
      </w:r>
      <w:r w:rsidRPr="009D1075">
        <w:rPr>
          <w:rFonts w:ascii="Century Gothic" w:hAnsi="Century Gothic" w:cs="Bangla MN"/>
        </w:rPr>
        <w:t xml:space="preserve"> El Servicio Nacional del Consumidor;</w:t>
      </w:r>
      <w:r w:rsidRPr="009D1075">
        <w:rPr>
          <w:rFonts w:ascii="Century Gothic" w:hAnsi="Century Gothic" w:cs="Bangla MN"/>
        </w:rPr>
        <w:br/>
      </w:r>
      <w:r w:rsidRPr="009D1075">
        <w:rPr>
          <w:rFonts w:ascii="Century Gothic" w:hAnsi="Century Gothic" w:cs="Bangla MN"/>
          <w:b/>
        </w:rPr>
        <w:t>     b)</w:t>
      </w:r>
      <w:r w:rsidRPr="009D1075">
        <w:rPr>
          <w:rFonts w:ascii="Century Gothic" w:hAnsi="Century Gothic" w:cs="Bangla MN"/>
        </w:rPr>
        <w:t xml:space="preserve"> Una Asociación de Consumidores constituida, a lo menos, con seis meses de anterioridad a la presentación de la acción, y que cuente con la debida autorización de su asamblea para hacerlo, o</w:t>
      </w:r>
      <w:r w:rsidRPr="009D1075">
        <w:rPr>
          <w:rFonts w:ascii="Century Gothic" w:hAnsi="Century Gothic" w:cs="Bangla MN"/>
        </w:rPr>
        <w:br/>
      </w:r>
      <w:r w:rsidRPr="009D1075">
        <w:rPr>
          <w:rFonts w:ascii="Century Gothic" w:hAnsi="Century Gothic" w:cs="Bangla MN"/>
          <w:b/>
        </w:rPr>
        <w:t>     c)</w:t>
      </w:r>
      <w:r w:rsidRPr="009D1075">
        <w:rPr>
          <w:rFonts w:ascii="Century Gothic" w:hAnsi="Century Gothic" w:cs="Bangla MN"/>
        </w:rPr>
        <w:t xml:space="preserve"> Un grupo de consumidores afectados en un mismo interés, en número no inferior a 50 personas, debidamente individualizados.</w:t>
      </w:r>
    </w:p>
    <w:p w:rsidR="009D1075" w:rsidRDefault="009D1075" w:rsidP="000612A1">
      <w:pPr>
        <w:spacing w:line="360" w:lineRule="auto"/>
        <w:ind w:left="360" w:firstLine="348"/>
        <w:jc w:val="both"/>
        <w:rPr>
          <w:rFonts w:ascii="Century Gothic" w:hAnsi="Century Gothic" w:cs="Bangla MN"/>
        </w:rPr>
      </w:pPr>
    </w:p>
    <w:p w:rsidR="0024019C" w:rsidRDefault="0024019C" w:rsidP="009D1075">
      <w:pPr>
        <w:spacing w:line="360" w:lineRule="auto"/>
        <w:ind w:firstLine="708"/>
        <w:jc w:val="both"/>
        <w:rPr>
          <w:rFonts w:ascii="Century Gothic" w:hAnsi="Century Gothic" w:cs="Bangla MN"/>
        </w:rPr>
      </w:pPr>
      <w:r>
        <w:rPr>
          <w:rFonts w:ascii="Century Gothic" w:hAnsi="Century Gothic" w:cs="Bangla MN"/>
        </w:rPr>
        <w:t>Si bien, la regulación de este tipo de procedimiento ha sido un avance en materia de protección de los derechos de consumidores</w:t>
      </w:r>
      <w:r w:rsidR="00B342B5">
        <w:rPr>
          <w:rFonts w:ascii="Century Gothic" w:hAnsi="Century Gothic" w:cs="Bangla MN"/>
        </w:rPr>
        <w:t xml:space="preserve"> desde su consagración</w:t>
      </w:r>
      <w:r>
        <w:rPr>
          <w:rFonts w:ascii="Century Gothic" w:hAnsi="Century Gothic" w:cs="Bangla MN"/>
        </w:rPr>
        <w:t>; es necesario corregir un vicio importante en el procedimiento judicial que la reciente ley Nª</w:t>
      </w:r>
      <w:r w:rsidR="009D1075">
        <w:rPr>
          <w:rFonts w:ascii="Century Gothic" w:hAnsi="Century Gothic" w:cs="Bangla MN"/>
        </w:rPr>
        <w:t xml:space="preserve"> </w:t>
      </w:r>
      <w:r>
        <w:rPr>
          <w:rFonts w:ascii="Century Gothic" w:hAnsi="Century Gothic" w:cs="Bangla MN"/>
        </w:rPr>
        <w:t>21.081 publicada el 13 de septiembre de 2018, no corrige.</w:t>
      </w:r>
    </w:p>
    <w:p w:rsidR="0024019C" w:rsidRDefault="0024019C" w:rsidP="000612A1">
      <w:pPr>
        <w:spacing w:line="360" w:lineRule="auto"/>
        <w:ind w:left="360" w:firstLine="348"/>
        <w:jc w:val="both"/>
        <w:rPr>
          <w:rFonts w:ascii="Century Gothic" w:hAnsi="Century Gothic" w:cs="Bangla MN"/>
        </w:rPr>
      </w:pPr>
    </w:p>
    <w:p w:rsidR="0024019C" w:rsidRDefault="0024019C" w:rsidP="002401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Bangla MN"/>
          <w:b/>
        </w:rPr>
      </w:pPr>
      <w:r>
        <w:rPr>
          <w:rFonts w:ascii="Century Gothic" w:hAnsi="Century Gothic" w:cs="Bangla MN"/>
          <w:b/>
        </w:rPr>
        <w:t>Idea matriz</w:t>
      </w:r>
    </w:p>
    <w:p w:rsidR="0024019C" w:rsidRDefault="0024019C" w:rsidP="0024019C">
      <w:pPr>
        <w:spacing w:line="360" w:lineRule="auto"/>
        <w:jc w:val="both"/>
        <w:rPr>
          <w:rFonts w:ascii="Century Gothic" w:hAnsi="Century Gothic" w:cs="Bangla MN"/>
        </w:rPr>
      </w:pPr>
    </w:p>
    <w:p w:rsidR="0024019C" w:rsidRDefault="0024019C" w:rsidP="009D1075">
      <w:pPr>
        <w:spacing w:line="360" w:lineRule="auto"/>
        <w:ind w:firstLine="708"/>
        <w:jc w:val="both"/>
        <w:rPr>
          <w:rFonts w:ascii="Century Gothic" w:hAnsi="Century Gothic" w:cs="Bangla MN"/>
        </w:rPr>
      </w:pPr>
      <w:r>
        <w:rPr>
          <w:rFonts w:ascii="Century Gothic" w:hAnsi="Century Gothic" w:cs="Bangla MN"/>
        </w:rPr>
        <w:t>El objeto de este proyecto es prevenir una posible indefensión que puede afectar al recurrente en caso de que interponga recurso de apelación a la sentencia definitiva</w:t>
      </w:r>
      <w:r w:rsidR="009D1075">
        <w:rPr>
          <w:rFonts w:ascii="Century Gothic" w:hAnsi="Century Gothic" w:cs="Bangla MN"/>
        </w:rPr>
        <w:t xml:space="preserve"> en el procedimiento especial para la protección del interés colectivo o difuso de los consumidores</w:t>
      </w:r>
      <w:r>
        <w:rPr>
          <w:rFonts w:ascii="Century Gothic" w:hAnsi="Century Gothic" w:cs="Bangla MN"/>
        </w:rPr>
        <w:t>.</w:t>
      </w:r>
    </w:p>
    <w:p w:rsidR="009D1075" w:rsidRDefault="009D1075" w:rsidP="009D1075">
      <w:pPr>
        <w:spacing w:line="360" w:lineRule="auto"/>
        <w:ind w:firstLine="708"/>
        <w:jc w:val="both"/>
        <w:rPr>
          <w:rFonts w:ascii="Century Gothic" w:hAnsi="Century Gothic" w:cs="Bangla MN"/>
        </w:rPr>
      </w:pPr>
    </w:p>
    <w:p w:rsidR="0016397D" w:rsidRDefault="0016397D">
      <w:pPr>
        <w:rPr>
          <w:rFonts w:ascii="Century Gothic" w:hAnsi="Century Gothic" w:cs="Bangla MN"/>
        </w:rPr>
      </w:pPr>
      <w:r>
        <w:rPr>
          <w:rFonts w:ascii="Century Gothic" w:hAnsi="Century Gothic" w:cs="Bangla MN"/>
        </w:rPr>
        <w:br w:type="page"/>
      </w:r>
    </w:p>
    <w:p w:rsidR="0024019C" w:rsidRDefault="0024019C" w:rsidP="0024019C">
      <w:pPr>
        <w:spacing w:line="360" w:lineRule="auto"/>
        <w:ind w:left="426" w:firstLine="282"/>
        <w:jc w:val="both"/>
        <w:rPr>
          <w:rFonts w:ascii="Century Gothic" w:hAnsi="Century Gothic" w:cs="Bangla MN"/>
        </w:rPr>
      </w:pPr>
      <w:r>
        <w:rPr>
          <w:rFonts w:ascii="Century Gothic" w:hAnsi="Century Gothic" w:cs="Bangla MN"/>
        </w:rPr>
        <w:lastRenderedPageBreak/>
        <w:t>Actualmente el artículo 51 Nº8 de la ley 19.496 establece:</w:t>
      </w:r>
    </w:p>
    <w:p w:rsidR="0024019C" w:rsidRDefault="0024019C" w:rsidP="0024019C">
      <w:pPr>
        <w:spacing w:line="360" w:lineRule="auto"/>
        <w:ind w:left="426" w:firstLine="282"/>
        <w:jc w:val="both"/>
        <w:rPr>
          <w:rFonts w:ascii="Century Gothic" w:hAnsi="Century Gothic" w:cs="Bangla MN"/>
        </w:rPr>
      </w:pPr>
    </w:p>
    <w:p w:rsidR="0024019C" w:rsidRPr="009D1075" w:rsidRDefault="0024019C" w:rsidP="0016397D">
      <w:pPr>
        <w:spacing w:line="360" w:lineRule="auto"/>
        <w:ind w:right="333" w:firstLine="709"/>
        <w:jc w:val="both"/>
        <w:rPr>
          <w:rFonts w:ascii="Century Gothic" w:hAnsi="Century Gothic" w:cs="Bangla MN"/>
        </w:rPr>
      </w:pPr>
      <w:r w:rsidRPr="0024019C">
        <w:rPr>
          <w:rFonts w:ascii="Century Gothic" w:hAnsi="Century Gothic" w:cs="Bangla MN"/>
          <w:i/>
        </w:rPr>
        <w:t xml:space="preserve">“Todas las apelaciones que se concedan en este procedimiento </w:t>
      </w:r>
      <w:r w:rsidRPr="009D1075">
        <w:rPr>
          <w:rFonts w:ascii="Century Gothic" w:hAnsi="Century Gothic" w:cs="Bangla MN"/>
          <w:b/>
          <w:i/>
        </w:rPr>
        <w:t>se agregarán como extraordinarias a la tabla del día siguiente al ingreso de los autos a la respectiva Corte de Apelaciones</w:t>
      </w:r>
      <w:r w:rsidRPr="0024019C">
        <w:rPr>
          <w:rFonts w:ascii="Century Gothic" w:hAnsi="Century Gothic" w:cs="Bangla MN"/>
          <w:i/>
        </w:rPr>
        <w:t>, con excepción de lo señalado en el artículo 53 C, caso en el que la causa se incluirá en la tabla de la semana subsiguiente a la de su ingreso a la Corte.”</w:t>
      </w:r>
      <w:r w:rsidR="009D1075">
        <w:rPr>
          <w:rFonts w:ascii="Century Gothic" w:hAnsi="Century Gothic" w:cs="Bangla MN"/>
        </w:rPr>
        <w:t xml:space="preserve"> (El destacado es nuestro)</w:t>
      </w:r>
    </w:p>
    <w:p w:rsidR="0024019C" w:rsidRPr="0024019C" w:rsidRDefault="0024019C" w:rsidP="0016397D">
      <w:pPr>
        <w:spacing w:line="360" w:lineRule="auto"/>
        <w:ind w:left="426" w:right="333" w:firstLine="282"/>
        <w:jc w:val="both"/>
        <w:rPr>
          <w:rFonts w:ascii="Century Gothic" w:hAnsi="Century Gothic" w:cs="Bangla MN"/>
        </w:rPr>
      </w:pPr>
    </w:p>
    <w:p w:rsidR="0097747C" w:rsidRDefault="0024019C" w:rsidP="0016397D">
      <w:pPr>
        <w:spacing w:line="360" w:lineRule="auto"/>
        <w:ind w:right="333" w:firstLine="851"/>
        <w:jc w:val="both"/>
        <w:rPr>
          <w:rFonts w:ascii="Century Gothic" w:hAnsi="Century Gothic" w:cs="Bangla MN"/>
          <w:b/>
          <w:lang w:val="es-ES"/>
        </w:rPr>
      </w:pPr>
      <w:r>
        <w:rPr>
          <w:rFonts w:ascii="Century Gothic" w:hAnsi="Century Gothic" w:cs="Bangla MN"/>
          <w:lang w:val="es-ES"/>
        </w:rPr>
        <w:t>El problema que genera esta norma</w:t>
      </w:r>
      <w:r w:rsidR="009D1075">
        <w:rPr>
          <w:rFonts w:ascii="Century Gothic" w:hAnsi="Century Gothic" w:cs="Bangla MN"/>
          <w:lang w:val="es-ES"/>
        </w:rPr>
        <w:t>,</w:t>
      </w:r>
      <w:r>
        <w:rPr>
          <w:rFonts w:ascii="Century Gothic" w:hAnsi="Century Gothic" w:cs="Bangla MN"/>
          <w:lang w:val="es-ES"/>
        </w:rPr>
        <w:t xml:space="preserve"> es que ordena agregar la vista del recurso de apelación a la tabla extraordinaria del “</w:t>
      </w:r>
      <w:r w:rsidRPr="0024019C">
        <w:rPr>
          <w:rFonts w:ascii="Century Gothic" w:hAnsi="Century Gothic" w:cs="Bangla MN"/>
          <w:b/>
          <w:lang w:val="es-ES"/>
        </w:rPr>
        <w:t xml:space="preserve">día siguiente </w:t>
      </w:r>
      <w:r w:rsidRPr="00B342B5">
        <w:rPr>
          <w:rFonts w:ascii="Century Gothic" w:hAnsi="Century Gothic" w:cs="Bangla MN"/>
          <w:lang w:val="es-ES"/>
        </w:rPr>
        <w:t>al ingreso de los autos a la respectiva Corte de Apelaciones”</w:t>
      </w:r>
    </w:p>
    <w:p w:rsidR="005B7FAE" w:rsidRDefault="005B7FAE" w:rsidP="0016397D">
      <w:pPr>
        <w:spacing w:line="360" w:lineRule="auto"/>
        <w:ind w:left="360" w:right="333" w:firstLine="348"/>
        <w:jc w:val="both"/>
        <w:rPr>
          <w:rFonts w:ascii="Century Gothic" w:hAnsi="Century Gothic" w:cs="Bangla MN"/>
          <w:b/>
          <w:lang w:val="es-ES"/>
        </w:rPr>
      </w:pPr>
    </w:p>
    <w:p w:rsidR="0024019C" w:rsidRDefault="0024019C" w:rsidP="0016397D">
      <w:pPr>
        <w:spacing w:line="360" w:lineRule="auto"/>
        <w:ind w:right="333" w:firstLine="708"/>
        <w:jc w:val="both"/>
        <w:rPr>
          <w:rFonts w:ascii="Century Gothic" w:hAnsi="Century Gothic" w:cs="Bangla MN"/>
          <w:lang w:val="es-ES"/>
        </w:rPr>
      </w:pPr>
      <w:r>
        <w:rPr>
          <w:rFonts w:ascii="Century Gothic" w:hAnsi="Century Gothic" w:cs="Bangla MN"/>
          <w:lang w:val="es-ES"/>
        </w:rPr>
        <w:t xml:space="preserve">En la práctica esto puede dejar en completa indefensión a las partes por cuanto el ingreso de la causa se publica en internet en la página del Poder Judicial, cuya visualización solo se verifica el día siguiente a su ingreso. </w:t>
      </w:r>
      <w:r w:rsidR="00B342B5">
        <w:rPr>
          <w:rFonts w:ascii="Century Gothic" w:hAnsi="Century Gothic" w:cs="Bangla MN"/>
          <w:lang w:val="es-ES"/>
        </w:rPr>
        <w:tab/>
      </w:r>
      <w:r>
        <w:rPr>
          <w:rFonts w:ascii="Century Gothic" w:hAnsi="Century Gothic" w:cs="Bangla MN"/>
          <w:lang w:val="es-ES"/>
        </w:rPr>
        <w:t xml:space="preserve">Por lo tanto, el apelante no tiene posibilidad cierta de concurrir a la vista de la causa, salvo que esté materialmente revisando el ingreso de la causa hasta la 14:00 en la misma Corte. Esta es una carga </w:t>
      </w:r>
      <w:r w:rsidR="00B342B5">
        <w:rPr>
          <w:rFonts w:ascii="Century Gothic" w:hAnsi="Century Gothic" w:cs="Bangla MN"/>
          <w:lang w:val="es-ES"/>
        </w:rPr>
        <w:t xml:space="preserve">procesal </w:t>
      </w:r>
      <w:r>
        <w:rPr>
          <w:rFonts w:ascii="Century Gothic" w:hAnsi="Century Gothic" w:cs="Bangla MN"/>
          <w:lang w:val="es-ES"/>
        </w:rPr>
        <w:t>que escapa al espíritu de la ley y que el legislador no ha previsto.</w:t>
      </w:r>
    </w:p>
    <w:p w:rsidR="005B7FAE" w:rsidRDefault="005B7FAE" w:rsidP="0016397D">
      <w:pPr>
        <w:spacing w:line="360" w:lineRule="auto"/>
        <w:ind w:left="360" w:right="333" w:firstLine="348"/>
        <w:jc w:val="both"/>
        <w:rPr>
          <w:rFonts w:ascii="Century Gothic" w:hAnsi="Century Gothic" w:cs="Bangla MN"/>
          <w:lang w:val="es-ES"/>
        </w:rPr>
      </w:pPr>
    </w:p>
    <w:p w:rsidR="0024019C" w:rsidRDefault="0024019C" w:rsidP="0016397D">
      <w:pPr>
        <w:spacing w:line="360" w:lineRule="auto"/>
        <w:ind w:right="333" w:firstLine="708"/>
        <w:jc w:val="both"/>
        <w:rPr>
          <w:rFonts w:ascii="Century Gothic" w:hAnsi="Century Gothic" w:cs="Bangla MN"/>
          <w:lang w:val="es-ES"/>
        </w:rPr>
      </w:pPr>
      <w:r>
        <w:rPr>
          <w:rFonts w:ascii="Century Gothic" w:hAnsi="Century Gothic" w:cs="Bangla MN"/>
          <w:lang w:val="es-ES"/>
        </w:rPr>
        <w:t>Esta situación se agrava si pensamos que</w:t>
      </w:r>
      <w:r w:rsidR="005B7FAE">
        <w:rPr>
          <w:rFonts w:ascii="Century Gothic" w:hAnsi="Century Gothic" w:cs="Bangla MN"/>
          <w:lang w:val="es-ES"/>
        </w:rPr>
        <w:t xml:space="preserve"> el apelante puede residir en una ciudad diferente del lugar donde tiene asiento la Corte en cuestión.</w:t>
      </w:r>
    </w:p>
    <w:p w:rsidR="005B7FAE" w:rsidRDefault="005B7FAE" w:rsidP="0016397D">
      <w:pPr>
        <w:spacing w:line="360" w:lineRule="auto"/>
        <w:ind w:left="360" w:right="333" w:firstLine="348"/>
        <w:jc w:val="both"/>
        <w:rPr>
          <w:rFonts w:ascii="Century Gothic" w:hAnsi="Century Gothic" w:cs="Bangla MN"/>
          <w:lang w:val="es-ES"/>
        </w:rPr>
      </w:pPr>
    </w:p>
    <w:p w:rsidR="0016397D" w:rsidRDefault="005B7FAE" w:rsidP="0016397D">
      <w:pPr>
        <w:spacing w:line="360" w:lineRule="auto"/>
        <w:ind w:right="333" w:firstLine="708"/>
        <w:jc w:val="both"/>
        <w:rPr>
          <w:rFonts w:ascii="Century Gothic" w:hAnsi="Century Gothic" w:cs="Bangla MN"/>
          <w:b/>
          <w:lang w:val="es-ES"/>
        </w:rPr>
      </w:pPr>
      <w:r>
        <w:rPr>
          <w:rFonts w:ascii="Century Gothic" w:hAnsi="Century Gothic" w:cs="Bangla MN"/>
          <w:lang w:val="es-ES"/>
        </w:rPr>
        <w:t xml:space="preserve">Creemos que al establecer que se agregue la causa a la tabla extraordinaria del </w:t>
      </w:r>
      <w:r w:rsidRPr="005B7FAE">
        <w:rPr>
          <w:rFonts w:ascii="Century Gothic" w:hAnsi="Century Gothic" w:cs="Bangla MN"/>
          <w:b/>
          <w:lang w:val="es-ES"/>
        </w:rPr>
        <w:t>día subsiguiente hábil a su ingres</w:t>
      </w:r>
      <w:r>
        <w:rPr>
          <w:rFonts w:ascii="Century Gothic" w:hAnsi="Century Gothic" w:cs="Bangla MN"/>
          <w:b/>
          <w:lang w:val="es-ES"/>
        </w:rPr>
        <w:t>o</w:t>
      </w:r>
      <w:r>
        <w:rPr>
          <w:rFonts w:ascii="Century Gothic" w:hAnsi="Century Gothic" w:cs="Bangla MN"/>
          <w:lang w:val="es-ES"/>
        </w:rPr>
        <w:t>, se subsana el error y se otorga un margen de tiempo suficiente para que las partes puedan tomar conocimiento con la debida antelación del día de la vista de la causa.</w:t>
      </w:r>
      <w:r w:rsidR="0016397D">
        <w:rPr>
          <w:rFonts w:ascii="Century Gothic" w:hAnsi="Century Gothic" w:cs="Bangla MN"/>
          <w:b/>
          <w:lang w:val="es-ES"/>
        </w:rPr>
        <w:br w:type="page"/>
      </w:r>
    </w:p>
    <w:p w:rsidR="0097747C" w:rsidRPr="0097747C" w:rsidRDefault="0097747C" w:rsidP="000612A1">
      <w:pPr>
        <w:pStyle w:val="Prrafodelista"/>
        <w:spacing w:line="360" w:lineRule="auto"/>
        <w:ind w:left="1080"/>
        <w:rPr>
          <w:rFonts w:ascii="Century Gothic" w:hAnsi="Century Gothic" w:cs="Bangla MN"/>
          <w:b/>
          <w:lang w:val="es-ES"/>
        </w:rPr>
      </w:pPr>
    </w:p>
    <w:p w:rsidR="0097747C" w:rsidRDefault="0097747C" w:rsidP="000612A1">
      <w:pPr>
        <w:spacing w:line="360" w:lineRule="auto"/>
        <w:jc w:val="center"/>
        <w:rPr>
          <w:rFonts w:ascii="Century Gothic" w:hAnsi="Century Gothic" w:cs="Bangla MN"/>
          <w:b/>
          <w:lang w:val="es-ES"/>
        </w:rPr>
      </w:pPr>
    </w:p>
    <w:p w:rsidR="0097747C" w:rsidRDefault="0097747C" w:rsidP="000612A1">
      <w:pPr>
        <w:spacing w:line="360" w:lineRule="auto"/>
        <w:jc w:val="center"/>
        <w:rPr>
          <w:rFonts w:ascii="Century Gothic" w:hAnsi="Century Gothic" w:cs="Bangla MN"/>
          <w:b/>
          <w:lang w:val="es-ES"/>
        </w:rPr>
      </w:pPr>
      <w:r>
        <w:rPr>
          <w:rFonts w:ascii="Century Gothic" w:hAnsi="Century Gothic" w:cs="Bangla MN"/>
          <w:b/>
          <w:lang w:val="es-ES"/>
        </w:rPr>
        <w:t>PROYECTO DE LEY</w:t>
      </w:r>
    </w:p>
    <w:p w:rsidR="0097747C" w:rsidRDefault="0097747C" w:rsidP="000612A1">
      <w:pPr>
        <w:spacing w:line="360" w:lineRule="auto"/>
        <w:jc w:val="center"/>
        <w:rPr>
          <w:rFonts w:ascii="Century Gothic" w:hAnsi="Century Gothic" w:cs="Bangla MN"/>
          <w:b/>
          <w:lang w:val="es-ES"/>
        </w:rPr>
      </w:pPr>
    </w:p>
    <w:p w:rsidR="0097747C" w:rsidRDefault="0097747C" w:rsidP="000612A1">
      <w:pPr>
        <w:spacing w:line="360" w:lineRule="auto"/>
        <w:jc w:val="both"/>
        <w:rPr>
          <w:rFonts w:ascii="Century Gothic" w:hAnsi="Century Gothic" w:cs="Bangla MN"/>
          <w:lang w:val="es-ES"/>
        </w:rPr>
      </w:pPr>
      <w:r>
        <w:rPr>
          <w:rFonts w:ascii="Century Gothic" w:hAnsi="Century Gothic" w:cs="Bangla MN"/>
          <w:b/>
          <w:lang w:val="es-ES"/>
        </w:rPr>
        <w:tab/>
      </w:r>
      <w:r w:rsidR="005B7FAE">
        <w:rPr>
          <w:rFonts w:ascii="Century Gothic" w:hAnsi="Century Gothic" w:cs="Bangla MN"/>
          <w:b/>
          <w:lang w:val="es-ES"/>
        </w:rPr>
        <w:t>“</w:t>
      </w:r>
      <w:r>
        <w:rPr>
          <w:rFonts w:ascii="Century Gothic" w:hAnsi="Century Gothic" w:cs="Bangla MN"/>
          <w:b/>
          <w:lang w:val="es-ES"/>
        </w:rPr>
        <w:t xml:space="preserve">ARTICULO ÚNICO: </w:t>
      </w:r>
      <w:r>
        <w:rPr>
          <w:rFonts w:ascii="Century Gothic" w:hAnsi="Century Gothic" w:cs="Bangla MN"/>
          <w:lang w:val="es-ES"/>
        </w:rPr>
        <w:t>Modifíquese el artículo 51 Nº8 de la Ley Nº 19.496 que Establece Normas Sobre Protección de los Derechos de los Consumidores en el siguiente sentido:</w:t>
      </w:r>
    </w:p>
    <w:p w:rsidR="0097747C" w:rsidRDefault="0097747C" w:rsidP="000612A1">
      <w:pPr>
        <w:spacing w:line="360" w:lineRule="auto"/>
        <w:jc w:val="both"/>
        <w:rPr>
          <w:rFonts w:ascii="Century Gothic" w:hAnsi="Century Gothic" w:cs="Bangla MN"/>
          <w:lang w:val="es-ES"/>
        </w:rPr>
      </w:pPr>
    </w:p>
    <w:p w:rsidR="0097747C" w:rsidRDefault="0097747C" w:rsidP="000612A1">
      <w:pPr>
        <w:spacing w:line="360" w:lineRule="auto"/>
        <w:jc w:val="both"/>
        <w:rPr>
          <w:rFonts w:ascii="Century Gothic" w:hAnsi="Century Gothic" w:cs="Bangla MN"/>
          <w:lang w:val="es-ES"/>
        </w:rPr>
      </w:pPr>
      <w:r>
        <w:rPr>
          <w:rFonts w:ascii="Century Gothic" w:hAnsi="Century Gothic" w:cs="Bangla MN"/>
          <w:lang w:val="es-ES"/>
        </w:rPr>
        <w:t>“Reemplácese la expresión “siguiente” por la frase “subsiguiente hábil”</w:t>
      </w:r>
    </w:p>
    <w:p w:rsidR="00524265" w:rsidRDefault="00524265" w:rsidP="000612A1">
      <w:pPr>
        <w:spacing w:line="360" w:lineRule="auto"/>
        <w:jc w:val="both"/>
        <w:rPr>
          <w:rFonts w:ascii="Century Gothic" w:hAnsi="Century Gothic" w:cs="Bangla MN"/>
          <w:lang w:val="es-ES"/>
        </w:rPr>
      </w:pPr>
    </w:p>
    <w:p w:rsidR="00524265" w:rsidRDefault="00524265" w:rsidP="000612A1">
      <w:pPr>
        <w:spacing w:line="360" w:lineRule="auto"/>
        <w:jc w:val="both"/>
        <w:rPr>
          <w:rFonts w:ascii="Century Gothic" w:hAnsi="Century Gothic" w:cs="Bangla MN"/>
          <w:lang w:val="es-ES"/>
        </w:rPr>
      </w:pPr>
    </w:p>
    <w:p w:rsidR="00524265" w:rsidRDefault="00524265" w:rsidP="000612A1">
      <w:pPr>
        <w:spacing w:line="360" w:lineRule="auto"/>
        <w:jc w:val="both"/>
        <w:rPr>
          <w:rFonts w:ascii="Century Gothic" w:hAnsi="Century Gothic" w:cs="Bangla MN"/>
          <w:lang w:val="es-ES"/>
        </w:rPr>
      </w:pPr>
    </w:p>
    <w:p w:rsidR="00524265" w:rsidRDefault="00524265" w:rsidP="00524265">
      <w:pPr>
        <w:spacing w:line="360" w:lineRule="auto"/>
        <w:jc w:val="center"/>
        <w:rPr>
          <w:rFonts w:ascii="Century Gothic" w:hAnsi="Century Gothic" w:cs="Bangla MN"/>
          <w:lang w:val="es-ES"/>
        </w:rPr>
      </w:pPr>
    </w:p>
    <w:p w:rsidR="00524265" w:rsidRDefault="00524265" w:rsidP="00524265">
      <w:pPr>
        <w:spacing w:line="360" w:lineRule="auto"/>
        <w:jc w:val="center"/>
        <w:rPr>
          <w:rFonts w:ascii="Century Gothic" w:hAnsi="Century Gothic" w:cs="Bangla MN"/>
          <w:lang w:val="es-ES"/>
        </w:rPr>
      </w:pPr>
    </w:p>
    <w:p w:rsidR="00524265" w:rsidRPr="00524265" w:rsidRDefault="00524265" w:rsidP="00524265">
      <w:pPr>
        <w:spacing w:line="360" w:lineRule="auto"/>
        <w:jc w:val="center"/>
        <w:rPr>
          <w:rFonts w:ascii="Century Gothic" w:hAnsi="Century Gothic" w:cs="Bangla MN"/>
          <w:b/>
          <w:lang w:val="es-ES"/>
        </w:rPr>
      </w:pPr>
      <w:r w:rsidRPr="00524265">
        <w:rPr>
          <w:rFonts w:ascii="Century Gothic" w:hAnsi="Century Gothic" w:cs="Bangla MN"/>
          <w:b/>
          <w:lang w:val="es-ES"/>
        </w:rPr>
        <w:t>H.D. FRANCESCA MUÑOZ</w:t>
      </w:r>
    </w:p>
    <w:sectPr w:rsidR="00524265" w:rsidRPr="00524265" w:rsidSect="0016397D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ngla MN"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90226"/>
    <w:multiLevelType w:val="hybridMultilevel"/>
    <w:tmpl w:val="E2C4FF2A"/>
    <w:lvl w:ilvl="0" w:tplc="50F2B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8D292B"/>
    <w:multiLevelType w:val="hybridMultilevel"/>
    <w:tmpl w:val="8B248BEC"/>
    <w:lvl w:ilvl="0" w:tplc="CBF2A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7C"/>
    <w:rsid w:val="00032B37"/>
    <w:rsid w:val="000612A1"/>
    <w:rsid w:val="0016397D"/>
    <w:rsid w:val="0024019C"/>
    <w:rsid w:val="00293037"/>
    <w:rsid w:val="00377BB1"/>
    <w:rsid w:val="00524265"/>
    <w:rsid w:val="005B7FAE"/>
    <w:rsid w:val="0097747C"/>
    <w:rsid w:val="009D01DB"/>
    <w:rsid w:val="009D1075"/>
    <w:rsid w:val="00A27B92"/>
    <w:rsid w:val="00A466E8"/>
    <w:rsid w:val="00B342B5"/>
    <w:rsid w:val="00D139CA"/>
    <w:rsid w:val="00E8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FE22C3-B55E-3B4D-A814-A3923D0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747C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D107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D1075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Leonardo Lueiza Ureta</cp:lastModifiedBy>
  <cp:revision>6</cp:revision>
  <dcterms:created xsi:type="dcterms:W3CDTF">2018-11-09T21:08:00Z</dcterms:created>
  <dcterms:modified xsi:type="dcterms:W3CDTF">2018-12-19T14:32:00Z</dcterms:modified>
</cp:coreProperties>
</file>