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DFC" w:rsidRDefault="00E93A4E" w:rsidP="001519CE">
      <w:pPr>
        <w:ind w:left="-567" w:right="-234"/>
        <w:jc w:val="center"/>
        <w:rPr>
          <w:rFonts w:ascii="Century Gothic" w:hAnsi="Century Gothic"/>
          <w:b/>
        </w:rPr>
      </w:pPr>
      <w:r w:rsidRPr="00E93A4E">
        <w:rPr>
          <w:rFonts w:ascii="Century Gothic" w:hAnsi="Century Gothic"/>
          <w:b/>
        </w:rPr>
        <w:t>Modifica el Código Civil para otorgar a toda persona facultad de representación en favor de adultos mayores en protección de sus derechos</w:t>
      </w:r>
    </w:p>
    <w:p w:rsidR="00A10419" w:rsidRDefault="00E93A4E" w:rsidP="001519CE">
      <w:pPr>
        <w:spacing w:line="276" w:lineRule="auto"/>
        <w:ind w:left="-567" w:right="-234"/>
        <w:jc w:val="center"/>
        <w:rPr>
          <w:rFonts w:ascii="Century Gothic" w:hAnsi="Century Gothic"/>
          <w:b/>
        </w:rPr>
      </w:pPr>
      <w:r>
        <w:rPr>
          <w:rFonts w:ascii="Century Gothic" w:hAnsi="Century Gothic"/>
          <w:b/>
        </w:rPr>
        <w:t>Boletín N°12348-18</w:t>
      </w:r>
      <w:bookmarkStart w:id="0" w:name="_GoBack"/>
      <w:bookmarkEnd w:id="0"/>
    </w:p>
    <w:p w:rsidR="00A10419" w:rsidRPr="00A10419" w:rsidRDefault="00A10419" w:rsidP="001519CE">
      <w:pPr>
        <w:spacing w:line="276" w:lineRule="auto"/>
        <w:ind w:left="-567" w:right="-234"/>
        <w:jc w:val="center"/>
        <w:rPr>
          <w:rFonts w:ascii="Century Gothic" w:hAnsi="Century Gothic"/>
          <w:b/>
        </w:rPr>
      </w:pPr>
      <w:r w:rsidRPr="00A10419">
        <w:rPr>
          <w:rFonts w:ascii="Century Gothic" w:hAnsi="Century Gothic"/>
          <w:b/>
        </w:rPr>
        <w:t>EXPOSICIÓN DE MOTIVOS</w:t>
      </w:r>
    </w:p>
    <w:p w:rsidR="00A10419" w:rsidRDefault="00A10419" w:rsidP="001519CE">
      <w:pPr>
        <w:spacing w:line="276" w:lineRule="auto"/>
        <w:ind w:left="-567" w:right="-234"/>
        <w:jc w:val="both"/>
        <w:rPr>
          <w:rFonts w:ascii="Century Gothic" w:hAnsi="Century Gothic"/>
        </w:rPr>
      </w:pPr>
    </w:p>
    <w:p w:rsidR="00A10419" w:rsidRDefault="00A10419" w:rsidP="001519CE">
      <w:pPr>
        <w:spacing w:line="276" w:lineRule="auto"/>
        <w:ind w:left="-567" w:right="-234"/>
        <w:jc w:val="both"/>
        <w:rPr>
          <w:rFonts w:ascii="Century Gothic" w:hAnsi="Century Gothic"/>
          <w:i/>
        </w:rPr>
      </w:pPr>
      <w:r w:rsidRPr="00A10419">
        <w:rPr>
          <w:rFonts w:ascii="Century Gothic" w:hAnsi="Century Gothic"/>
        </w:rPr>
        <w:t>I.- E</w:t>
      </w:r>
      <w:r w:rsidR="005C4DC4">
        <w:rPr>
          <w:rFonts w:ascii="Century Gothic" w:hAnsi="Century Gothic"/>
        </w:rPr>
        <w:t>l</w:t>
      </w:r>
      <w:r w:rsidRPr="00A10419">
        <w:rPr>
          <w:rFonts w:ascii="Century Gothic" w:hAnsi="Century Gothic"/>
        </w:rPr>
        <w:t xml:space="preserve"> artículo 223 del Código Civil establece que </w:t>
      </w:r>
      <w:r w:rsidRPr="00A10419">
        <w:rPr>
          <w:rFonts w:ascii="Century Gothic" w:hAnsi="Century Gothic"/>
          <w:i/>
        </w:rPr>
        <w:t xml:space="preserve">“Aunque la emancipación confiera al hijo el derecho de obrar independientemente, queda </w:t>
      </w:r>
      <w:r w:rsidR="005C4DC4" w:rsidRPr="00A10419">
        <w:rPr>
          <w:rFonts w:ascii="Century Gothic" w:hAnsi="Century Gothic"/>
          <w:i/>
        </w:rPr>
        <w:t>siempre obligado</w:t>
      </w:r>
      <w:r w:rsidRPr="00A10419">
        <w:rPr>
          <w:rFonts w:ascii="Century Gothic" w:hAnsi="Century Gothic"/>
          <w:i/>
        </w:rPr>
        <w:t xml:space="preserve"> a cuidar de los padres en su ancianidad, en el estado de demencia, y en todas las circunstancias de la vida en que necesitaren sus auxilios.</w:t>
      </w:r>
    </w:p>
    <w:p w:rsidR="005C4DC4" w:rsidRPr="00A10419" w:rsidRDefault="005C4DC4" w:rsidP="001519CE">
      <w:pPr>
        <w:spacing w:line="276" w:lineRule="auto"/>
        <w:ind w:left="-567" w:right="-234"/>
        <w:jc w:val="both"/>
        <w:rPr>
          <w:rFonts w:ascii="Century Gothic" w:hAnsi="Century Gothic"/>
          <w:i/>
        </w:rPr>
      </w:pPr>
    </w:p>
    <w:p w:rsidR="00A10419" w:rsidRDefault="00A10419" w:rsidP="001519CE">
      <w:pPr>
        <w:spacing w:line="276" w:lineRule="auto"/>
        <w:ind w:left="-567" w:right="-234"/>
        <w:jc w:val="both"/>
        <w:rPr>
          <w:rFonts w:ascii="Century Gothic" w:hAnsi="Century Gothic"/>
          <w:i/>
        </w:rPr>
      </w:pPr>
      <w:r w:rsidRPr="00A10419">
        <w:rPr>
          <w:rFonts w:ascii="Century Gothic" w:hAnsi="Century Gothic"/>
          <w:i/>
        </w:rPr>
        <w:t>Tienen derecho al mismo socorro todos los demás ascendientes, en caso de inexistencia o de insuficiencia de los inmediatos descendientes.”.</w:t>
      </w:r>
    </w:p>
    <w:p w:rsidR="00A10419" w:rsidRDefault="00A10419" w:rsidP="001519CE">
      <w:pPr>
        <w:spacing w:line="276" w:lineRule="auto"/>
        <w:ind w:left="-567" w:right="-234"/>
        <w:jc w:val="both"/>
        <w:rPr>
          <w:rFonts w:ascii="Century Gothic" w:hAnsi="Century Gothic"/>
          <w:i/>
        </w:rPr>
      </w:pPr>
    </w:p>
    <w:p w:rsidR="00A10419" w:rsidRDefault="00A10419" w:rsidP="001519CE">
      <w:pPr>
        <w:spacing w:line="276" w:lineRule="auto"/>
        <w:ind w:left="-567" w:right="-234"/>
        <w:jc w:val="both"/>
        <w:rPr>
          <w:rFonts w:ascii="Century Gothic" w:hAnsi="Century Gothic"/>
        </w:rPr>
      </w:pPr>
      <w:r>
        <w:rPr>
          <w:rFonts w:ascii="Century Gothic" w:hAnsi="Century Gothic"/>
        </w:rPr>
        <w:t>Esta norma debe ser entendida como una protección a los adultos mayores, particularmente razonando sobre la base de la reciente propuesta de cambio de enfoque que tendrá el Ministerio de Desarrollo Social hacia la familia. Pues</w:t>
      </w:r>
      <w:r w:rsidR="008D16A8">
        <w:rPr>
          <w:rFonts w:ascii="Century Gothic" w:hAnsi="Century Gothic"/>
        </w:rPr>
        <w:t>,</w:t>
      </w:r>
      <w:r>
        <w:rPr>
          <w:rFonts w:ascii="Century Gothic" w:hAnsi="Century Gothic"/>
        </w:rPr>
        <w:t xml:space="preserve"> lamentablemente</w:t>
      </w:r>
      <w:r w:rsidR="008D16A8">
        <w:rPr>
          <w:rFonts w:ascii="Century Gothic" w:hAnsi="Century Gothic"/>
        </w:rPr>
        <w:t>,</w:t>
      </w:r>
      <w:r>
        <w:rPr>
          <w:rFonts w:ascii="Century Gothic" w:hAnsi="Century Gothic"/>
        </w:rPr>
        <w:t xml:space="preserve"> no existe por parte de </w:t>
      </w:r>
      <w:r w:rsidR="001315D3">
        <w:rPr>
          <w:rFonts w:ascii="Century Gothic" w:hAnsi="Century Gothic"/>
        </w:rPr>
        <w:t>ningún organismo público la posibilidad de entregar una asesoría a personas mayores que no se encuentran en condiciones de hacerlo, sea por su estado de salud, temor o incluso ignorancia de sus derechos.</w:t>
      </w:r>
    </w:p>
    <w:p w:rsidR="001315D3" w:rsidRDefault="001315D3" w:rsidP="001519CE">
      <w:pPr>
        <w:spacing w:line="276" w:lineRule="auto"/>
        <w:ind w:left="-567" w:right="-234"/>
        <w:jc w:val="both"/>
        <w:rPr>
          <w:rFonts w:ascii="Century Gothic" w:hAnsi="Century Gothic"/>
        </w:rPr>
      </w:pPr>
    </w:p>
    <w:p w:rsidR="001315D3" w:rsidRDefault="001315D3" w:rsidP="001519CE">
      <w:pPr>
        <w:spacing w:line="276" w:lineRule="auto"/>
        <w:ind w:left="-567" w:right="-234"/>
        <w:jc w:val="both"/>
        <w:rPr>
          <w:rFonts w:ascii="Century Gothic" w:hAnsi="Century Gothic"/>
        </w:rPr>
      </w:pPr>
      <w:r>
        <w:rPr>
          <w:rFonts w:ascii="Century Gothic" w:hAnsi="Century Gothic"/>
        </w:rPr>
        <w:t xml:space="preserve">La norma transcrita más arriba se complementa con </w:t>
      </w:r>
      <w:r w:rsidR="008D16A8">
        <w:rPr>
          <w:rFonts w:ascii="Century Gothic" w:hAnsi="Century Gothic"/>
        </w:rPr>
        <w:t>aquella expresada en el</w:t>
      </w:r>
      <w:r>
        <w:rPr>
          <w:rFonts w:ascii="Century Gothic" w:hAnsi="Century Gothic"/>
        </w:rPr>
        <w:t xml:space="preserve"> artículo 321, que indica entre las personas a las que deben alimentos, </w:t>
      </w:r>
      <w:r w:rsidR="008D16A8">
        <w:rPr>
          <w:rFonts w:ascii="Century Gothic" w:hAnsi="Century Gothic"/>
        </w:rPr>
        <w:t>a</w:t>
      </w:r>
      <w:r>
        <w:rPr>
          <w:rFonts w:ascii="Century Gothic" w:hAnsi="Century Gothic"/>
        </w:rPr>
        <w:t xml:space="preserve"> los ascendientes</w:t>
      </w:r>
      <w:r w:rsidR="00AA4765">
        <w:rPr>
          <w:rFonts w:ascii="Century Gothic" w:hAnsi="Century Gothic"/>
        </w:rPr>
        <w:t>.</w:t>
      </w:r>
    </w:p>
    <w:p w:rsidR="00AA4765" w:rsidRDefault="00AA4765" w:rsidP="001519CE">
      <w:pPr>
        <w:spacing w:line="276" w:lineRule="auto"/>
        <w:ind w:left="-567" w:right="-234"/>
        <w:jc w:val="both"/>
        <w:rPr>
          <w:rFonts w:ascii="Century Gothic" w:hAnsi="Century Gothic"/>
        </w:rPr>
      </w:pPr>
    </w:p>
    <w:p w:rsidR="00AA4765" w:rsidRDefault="00AA4765" w:rsidP="001519CE">
      <w:pPr>
        <w:spacing w:line="276" w:lineRule="auto"/>
        <w:ind w:left="-567" w:right="-234"/>
        <w:jc w:val="both"/>
        <w:rPr>
          <w:rFonts w:ascii="Century Gothic" w:hAnsi="Century Gothic"/>
          <w:i/>
        </w:rPr>
      </w:pPr>
      <w:r>
        <w:rPr>
          <w:rFonts w:ascii="Century Gothic" w:hAnsi="Century Gothic"/>
        </w:rPr>
        <w:t xml:space="preserve">II.- En los casos en que la situación de abandono que afecta a los adultos mayores sea </w:t>
      </w:r>
      <w:r w:rsidR="008D16A8">
        <w:rPr>
          <w:rFonts w:ascii="Century Gothic" w:hAnsi="Century Gothic"/>
        </w:rPr>
        <w:t>constitutiva</w:t>
      </w:r>
      <w:r>
        <w:rPr>
          <w:rFonts w:ascii="Century Gothic" w:hAnsi="Century Gothic"/>
        </w:rPr>
        <w:t xml:space="preserve"> de violencia intrafamiliar, el artículo 82 de la Ley que Crea los Tribunales de Familia</w:t>
      </w:r>
      <w:r w:rsidR="008D16A8">
        <w:rPr>
          <w:rFonts w:ascii="Century Gothic" w:hAnsi="Century Gothic"/>
        </w:rPr>
        <w:t>,</w:t>
      </w:r>
      <w:r>
        <w:rPr>
          <w:rFonts w:ascii="Century Gothic" w:hAnsi="Century Gothic"/>
        </w:rPr>
        <w:t xml:space="preserve"> contempla la posibilidad de que cualquier persona que tenga conocimiento directo de los hechos constitutivos de violencia</w:t>
      </w:r>
      <w:r w:rsidR="008D16A8">
        <w:rPr>
          <w:rFonts w:ascii="Century Gothic" w:hAnsi="Century Gothic"/>
        </w:rPr>
        <w:t>, pueda denunciar</w:t>
      </w:r>
      <w:r>
        <w:rPr>
          <w:rFonts w:ascii="Century Gothic" w:hAnsi="Century Gothic"/>
        </w:rPr>
        <w:t>. Por su parte</w:t>
      </w:r>
      <w:r w:rsidR="008D16A8">
        <w:rPr>
          <w:rFonts w:ascii="Century Gothic" w:hAnsi="Century Gothic"/>
        </w:rPr>
        <w:t>,</w:t>
      </w:r>
      <w:r>
        <w:rPr>
          <w:rFonts w:ascii="Century Gothic" w:hAnsi="Century Gothic"/>
        </w:rPr>
        <w:t xml:space="preserve"> el inciso cuarto del artículo 92 del mismo cuerpo legal</w:t>
      </w:r>
      <w:r w:rsidR="008D16A8">
        <w:rPr>
          <w:rFonts w:ascii="Century Gothic" w:hAnsi="Century Gothic"/>
        </w:rPr>
        <w:t>,</w:t>
      </w:r>
      <w:r>
        <w:rPr>
          <w:rFonts w:ascii="Century Gothic" w:hAnsi="Century Gothic"/>
        </w:rPr>
        <w:t xml:space="preserve"> establece que </w:t>
      </w:r>
      <w:r w:rsidRPr="00AA4765">
        <w:rPr>
          <w:rFonts w:ascii="Century Gothic" w:hAnsi="Century Gothic"/>
          <w:i/>
        </w:rPr>
        <w:t>“Tratándose de adultos mayores en situación de abandono, el tribunal podrá decretar la internación del afectado en alguno de los hogares o instituciones reconocidos por la autoridad competente.”</w:t>
      </w:r>
    </w:p>
    <w:p w:rsidR="00AA4765" w:rsidRDefault="00AA4765" w:rsidP="001519CE">
      <w:pPr>
        <w:spacing w:line="276" w:lineRule="auto"/>
        <w:ind w:left="-567" w:right="-234"/>
        <w:jc w:val="both"/>
        <w:rPr>
          <w:rFonts w:ascii="Century Gothic" w:hAnsi="Century Gothic"/>
          <w:i/>
        </w:rPr>
      </w:pPr>
    </w:p>
    <w:p w:rsidR="00AA4765" w:rsidRDefault="00AA4765" w:rsidP="001519CE">
      <w:pPr>
        <w:spacing w:line="276" w:lineRule="auto"/>
        <w:ind w:left="-567" w:right="-234"/>
        <w:jc w:val="both"/>
        <w:rPr>
          <w:rFonts w:ascii="Century Gothic" w:hAnsi="Century Gothic"/>
        </w:rPr>
      </w:pPr>
      <w:r>
        <w:rPr>
          <w:rFonts w:ascii="Century Gothic" w:hAnsi="Century Gothic"/>
        </w:rPr>
        <w:t>Sin embargo, creemos que estas normas enmarcadas en el contexto de la violencia intrafamiliar</w:t>
      </w:r>
      <w:r w:rsidR="008D16A8">
        <w:rPr>
          <w:rFonts w:ascii="Century Gothic" w:hAnsi="Century Gothic"/>
        </w:rPr>
        <w:t>,</w:t>
      </w:r>
      <w:r>
        <w:rPr>
          <w:rFonts w:ascii="Century Gothic" w:hAnsi="Century Gothic"/>
        </w:rPr>
        <w:t xml:space="preserve"> no son suficientes para enfrentar el abandono de nuestros adultos mayores, debiendo la legislación</w:t>
      </w:r>
      <w:r w:rsidR="008D16A8">
        <w:rPr>
          <w:rFonts w:ascii="Century Gothic" w:hAnsi="Century Gothic"/>
        </w:rPr>
        <w:t xml:space="preserve"> ser</w:t>
      </w:r>
      <w:r>
        <w:rPr>
          <w:rFonts w:ascii="Century Gothic" w:hAnsi="Century Gothic"/>
        </w:rPr>
        <w:t xml:space="preserve"> mucho más drástica y abrir opciones de accionar estos derechos personales sin abandonar el carácter personalísimo de aquellos que deriven de las relaciones de familia.</w:t>
      </w:r>
    </w:p>
    <w:p w:rsidR="00AA4765" w:rsidRDefault="00AA4765" w:rsidP="001519CE">
      <w:pPr>
        <w:spacing w:line="276" w:lineRule="auto"/>
        <w:ind w:left="-567" w:right="-234"/>
        <w:jc w:val="both"/>
        <w:rPr>
          <w:rFonts w:ascii="Century Gothic" w:hAnsi="Century Gothic"/>
        </w:rPr>
      </w:pPr>
    </w:p>
    <w:p w:rsidR="0028587E" w:rsidRDefault="00AA4765" w:rsidP="001519CE">
      <w:pPr>
        <w:spacing w:line="276" w:lineRule="auto"/>
        <w:ind w:left="-567" w:right="-234"/>
        <w:jc w:val="both"/>
        <w:rPr>
          <w:rFonts w:ascii="Century Gothic" w:hAnsi="Century Gothic"/>
        </w:rPr>
      </w:pPr>
      <w:r>
        <w:rPr>
          <w:rFonts w:ascii="Century Gothic" w:hAnsi="Century Gothic"/>
        </w:rPr>
        <w:t>III.- En otro orden de materias</w:t>
      </w:r>
      <w:r w:rsidR="008D16A8">
        <w:rPr>
          <w:rFonts w:ascii="Century Gothic" w:hAnsi="Century Gothic"/>
        </w:rPr>
        <w:t>,</w:t>
      </w:r>
      <w:r>
        <w:rPr>
          <w:rFonts w:ascii="Century Gothic" w:hAnsi="Century Gothic"/>
        </w:rPr>
        <w:t xml:space="preserve"> </w:t>
      </w:r>
      <w:r w:rsidR="0028587E">
        <w:rPr>
          <w:rFonts w:ascii="Century Gothic" w:hAnsi="Century Gothic"/>
        </w:rPr>
        <w:t>el organismo público que detenta el deber de articular las políticas públicas que dicen relación con la calidad de vida de nuestros adultos mayores, el Servicio Nacional del Adulto Mayor (SENAMA), no cuenta con atribuciones, como las tiene el Servicio Nacional de Menores, para accionar a favor de este grupo.</w:t>
      </w:r>
    </w:p>
    <w:p w:rsidR="0028587E" w:rsidRDefault="0028587E" w:rsidP="001519CE">
      <w:pPr>
        <w:spacing w:line="276" w:lineRule="auto"/>
        <w:ind w:left="-567" w:right="-234"/>
        <w:jc w:val="both"/>
        <w:rPr>
          <w:rFonts w:ascii="Century Gothic" w:hAnsi="Century Gothic"/>
        </w:rPr>
      </w:pPr>
    </w:p>
    <w:p w:rsidR="00AA4765" w:rsidRDefault="0028587E" w:rsidP="001519CE">
      <w:pPr>
        <w:spacing w:line="276" w:lineRule="auto"/>
        <w:ind w:left="-567" w:right="-234"/>
        <w:jc w:val="both"/>
        <w:rPr>
          <w:rFonts w:ascii="Century Gothic" w:hAnsi="Century Gothic"/>
        </w:rPr>
      </w:pPr>
      <w:r>
        <w:rPr>
          <w:rFonts w:ascii="Century Gothic" w:hAnsi="Century Gothic"/>
        </w:rPr>
        <w:t xml:space="preserve">No </w:t>
      </w:r>
      <w:r w:rsidR="00526DCE">
        <w:rPr>
          <w:rFonts w:ascii="Century Gothic" w:hAnsi="Century Gothic"/>
        </w:rPr>
        <w:t>obstante,</w:t>
      </w:r>
      <w:r>
        <w:rPr>
          <w:rFonts w:ascii="Century Gothic" w:hAnsi="Century Gothic"/>
        </w:rPr>
        <w:t xml:space="preserve"> lo </w:t>
      </w:r>
      <w:r w:rsidR="00AF7259">
        <w:rPr>
          <w:rFonts w:ascii="Century Gothic" w:hAnsi="Century Gothic"/>
        </w:rPr>
        <w:t>anterior, en</w:t>
      </w:r>
      <w:r>
        <w:rPr>
          <w:rFonts w:ascii="Century Gothic" w:hAnsi="Century Gothic"/>
        </w:rPr>
        <w:t xml:space="preserve"> el mes de junio de 2018 el Ministro de Desarrollo Social</w:t>
      </w:r>
      <w:r w:rsidR="00AF7259">
        <w:rPr>
          <w:rFonts w:ascii="Century Gothic" w:hAnsi="Century Gothic"/>
        </w:rPr>
        <w:t>,</w:t>
      </w:r>
      <w:r>
        <w:rPr>
          <w:rFonts w:ascii="Century Gothic" w:hAnsi="Century Gothic"/>
        </w:rPr>
        <w:t xml:space="preserve"> en conjunto con la Primera Dama Cecilia Morel</w:t>
      </w:r>
      <w:r w:rsidR="00AF7259">
        <w:rPr>
          <w:rFonts w:ascii="Century Gothic" w:hAnsi="Century Gothic"/>
        </w:rPr>
        <w:t>,</w:t>
      </w:r>
      <w:r>
        <w:rPr>
          <w:rFonts w:ascii="Century Gothic" w:hAnsi="Century Gothic"/>
        </w:rPr>
        <w:t xml:space="preserve"> dieron a conocer que se establecerá al interior del SENAMA la figura del </w:t>
      </w:r>
      <w:r w:rsidRPr="0028587E">
        <w:rPr>
          <w:rFonts w:ascii="Century Gothic" w:hAnsi="Century Gothic"/>
        </w:rPr>
        <w:t>Defensor Mayor</w:t>
      </w:r>
      <w:r>
        <w:rPr>
          <w:rFonts w:ascii="Century Gothic" w:hAnsi="Century Gothic"/>
        </w:rPr>
        <w:t>, quien</w:t>
      </w:r>
      <w:r w:rsidRPr="0028587E">
        <w:rPr>
          <w:rFonts w:ascii="Century Gothic" w:hAnsi="Century Gothic"/>
        </w:rPr>
        <w:t xml:space="preserve"> proporcionará asistencia legal especializada y realizará el monitoreo de la realidad de las personas mayores en cada región, estableciendo convenios y articulaciones con Corporaciones de Asistencia Judicial o clínicas jurídicas, entre otras. </w:t>
      </w:r>
      <w:r>
        <w:rPr>
          <w:rFonts w:ascii="Century Gothic" w:hAnsi="Century Gothic"/>
        </w:rPr>
        <w:t xml:space="preserve">Deberá </w:t>
      </w:r>
      <w:r>
        <w:rPr>
          <w:rFonts w:ascii="Century Gothic" w:hAnsi="Century Gothic"/>
        </w:rPr>
        <w:lastRenderedPageBreak/>
        <w:t>también articular las redes de protección y prevención</w:t>
      </w:r>
      <w:r w:rsidR="00E53593">
        <w:rPr>
          <w:rFonts w:ascii="Century Gothic" w:hAnsi="Century Gothic"/>
        </w:rPr>
        <w:t>, tanto con entes públicas como privadas</w:t>
      </w:r>
      <w:r w:rsidRPr="0028587E">
        <w:rPr>
          <w:rFonts w:ascii="Century Gothic" w:hAnsi="Century Gothic"/>
        </w:rPr>
        <w:t>.</w:t>
      </w:r>
    </w:p>
    <w:p w:rsidR="00E53593" w:rsidRDefault="00E53593" w:rsidP="001519CE">
      <w:pPr>
        <w:spacing w:line="276" w:lineRule="auto"/>
        <w:ind w:left="-567" w:right="-234"/>
        <w:jc w:val="both"/>
        <w:rPr>
          <w:rFonts w:ascii="Century Gothic" w:hAnsi="Century Gothic"/>
        </w:rPr>
      </w:pPr>
    </w:p>
    <w:p w:rsidR="00E53593" w:rsidRDefault="00E53593" w:rsidP="001519CE">
      <w:pPr>
        <w:spacing w:line="276" w:lineRule="auto"/>
        <w:ind w:left="-567" w:right="-234"/>
        <w:jc w:val="both"/>
        <w:rPr>
          <w:rFonts w:ascii="Century Gothic" w:hAnsi="Century Gothic"/>
        </w:rPr>
      </w:pPr>
      <w:r>
        <w:rPr>
          <w:rFonts w:ascii="Century Gothic" w:hAnsi="Century Gothic"/>
        </w:rPr>
        <w:t xml:space="preserve">Ahora bien, cuando se analiza la </w:t>
      </w:r>
      <w:r w:rsidR="00526DCE">
        <w:rPr>
          <w:rFonts w:ascii="Century Gothic" w:hAnsi="Century Gothic"/>
        </w:rPr>
        <w:t>ley Nª</w:t>
      </w:r>
      <w:r w:rsidR="00CF3C2C">
        <w:rPr>
          <w:rFonts w:ascii="Century Gothic" w:hAnsi="Century Gothic"/>
        </w:rPr>
        <w:t xml:space="preserve"> 19.282 que crea el SENAMA</w:t>
      </w:r>
      <w:r w:rsidR="00526DCE">
        <w:rPr>
          <w:rFonts w:ascii="Century Gothic" w:hAnsi="Century Gothic"/>
        </w:rPr>
        <w:t>,</w:t>
      </w:r>
      <w:r w:rsidR="00CF3C2C">
        <w:rPr>
          <w:rFonts w:ascii="Century Gothic" w:hAnsi="Century Gothic"/>
        </w:rPr>
        <w:t xml:space="preserve"> no encontramos reglas que permitan iniciar acciones especiales en protección de los adultos mayores, tomando en consideración también que las normas de la Ley Nº 19.968 sobre Tribunales de Familia, como señalamos</w:t>
      </w:r>
      <w:r w:rsidR="00526DCE">
        <w:rPr>
          <w:rFonts w:ascii="Century Gothic" w:hAnsi="Century Gothic"/>
        </w:rPr>
        <w:t>,</w:t>
      </w:r>
      <w:r w:rsidR="00CF3C2C">
        <w:rPr>
          <w:rFonts w:ascii="Century Gothic" w:hAnsi="Century Gothic"/>
        </w:rPr>
        <w:t xml:space="preserve"> se circunscribe a actos de violencia, no podemos más que afirmar que la actual legislación es insuficiente.</w:t>
      </w:r>
    </w:p>
    <w:p w:rsidR="00CF3C2C" w:rsidRDefault="00CF3C2C" w:rsidP="001519CE">
      <w:pPr>
        <w:spacing w:line="276" w:lineRule="auto"/>
        <w:ind w:left="-567" w:right="-234"/>
        <w:jc w:val="both"/>
        <w:rPr>
          <w:rFonts w:ascii="Century Gothic" w:hAnsi="Century Gothic"/>
        </w:rPr>
      </w:pPr>
    </w:p>
    <w:p w:rsidR="00CF3C2C" w:rsidRDefault="00526DCE" w:rsidP="001519CE">
      <w:pPr>
        <w:spacing w:line="276" w:lineRule="auto"/>
        <w:ind w:left="-567" w:right="-234"/>
        <w:jc w:val="both"/>
        <w:rPr>
          <w:rFonts w:ascii="Century Gothic" w:hAnsi="Century Gothic"/>
        </w:rPr>
      </w:pPr>
      <w:r>
        <w:rPr>
          <w:rFonts w:ascii="Century Gothic" w:hAnsi="Century Gothic"/>
        </w:rPr>
        <w:t>IV.- En el ámbito del Derecho</w:t>
      </w:r>
      <w:r w:rsidR="00CF3C2C">
        <w:rPr>
          <w:rFonts w:ascii="Century Gothic" w:hAnsi="Century Gothic"/>
        </w:rPr>
        <w:t xml:space="preserve"> Internacional, el artículo 3º literal n) de la Convención Interamericana sobre Protección de los Derechos Humano</w:t>
      </w:r>
      <w:r>
        <w:rPr>
          <w:rFonts w:ascii="Century Gothic" w:hAnsi="Century Gothic"/>
        </w:rPr>
        <w:t>s</w:t>
      </w:r>
      <w:r w:rsidR="00CF3C2C">
        <w:rPr>
          <w:rFonts w:ascii="Century Gothic" w:hAnsi="Century Gothic"/>
        </w:rPr>
        <w:t xml:space="preserve"> de las Personas Mayores, vigente en nuestro país, establece como principio de la misma</w:t>
      </w:r>
      <w:r w:rsidR="00CF3C2C" w:rsidRPr="006511C5">
        <w:rPr>
          <w:rFonts w:ascii="Century Gothic" w:hAnsi="Century Gothic"/>
          <w:b/>
        </w:rPr>
        <w:t xml:space="preserve"> la protección judicial efectiva</w:t>
      </w:r>
      <w:r>
        <w:rPr>
          <w:rFonts w:ascii="Century Gothic" w:hAnsi="Century Gothic"/>
          <w:b/>
        </w:rPr>
        <w:t>.</w:t>
      </w:r>
      <w:r w:rsidR="006511C5">
        <w:rPr>
          <w:rFonts w:ascii="Century Gothic" w:hAnsi="Century Gothic"/>
          <w:b/>
        </w:rPr>
        <w:t xml:space="preserve"> </w:t>
      </w:r>
      <w:r>
        <w:rPr>
          <w:rFonts w:ascii="Century Gothic" w:hAnsi="Century Gothic"/>
        </w:rPr>
        <w:t>S</w:t>
      </w:r>
      <w:r w:rsidR="006511C5">
        <w:rPr>
          <w:rFonts w:ascii="Century Gothic" w:hAnsi="Century Gothic"/>
        </w:rPr>
        <w:t>in embargo, vemos como cada cierto tiempo en los medios de comunicación aparecen noticias en que adultos mayores son víctimas de abusos, discriminaciones y abandono, que terminan por ir en detrimento de su calidad de vida, o incluso terminado con ella.</w:t>
      </w:r>
    </w:p>
    <w:p w:rsidR="006511C5" w:rsidRDefault="006511C5" w:rsidP="001519CE">
      <w:pPr>
        <w:spacing w:line="276" w:lineRule="auto"/>
        <w:ind w:left="-567" w:right="-234"/>
        <w:jc w:val="both"/>
        <w:rPr>
          <w:rFonts w:ascii="Century Gothic" w:hAnsi="Century Gothic"/>
        </w:rPr>
      </w:pPr>
    </w:p>
    <w:p w:rsidR="006511C5" w:rsidRDefault="006511C5" w:rsidP="001519CE">
      <w:pPr>
        <w:spacing w:line="276" w:lineRule="auto"/>
        <w:ind w:left="-567" w:right="-234"/>
        <w:jc w:val="both"/>
        <w:rPr>
          <w:rFonts w:ascii="Century Gothic" w:hAnsi="Century Gothic"/>
        </w:rPr>
      </w:pPr>
      <w:r>
        <w:rPr>
          <w:rFonts w:ascii="Century Gothic" w:hAnsi="Century Gothic"/>
        </w:rPr>
        <w:t xml:space="preserve">V.- En la actualidad, y así lo revela particularmente un estudio realizado por el </w:t>
      </w:r>
      <w:r w:rsidRPr="006511C5">
        <w:rPr>
          <w:rFonts w:ascii="Century Gothic" w:hAnsi="Century Gothic"/>
        </w:rPr>
        <w:t>Centro de Encuestas y Estudios Longitud</w:t>
      </w:r>
      <w:r>
        <w:rPr>
          <w:rFonts w:ascii="Century Gothic" w:hAnsi="Century Gothic"/>
        </w:rPr>
        <w:t>inales de la Universidad</w:t>
      </w:r>
      <w:r w:rsidRPr="006511C5">
        <w:rPr>
          <w:rFonts w:ascii="Century Gothic" w:hAnsi="Century Gothic"/>
        </w:rPr>
        <w:t xml:space="preserve"> Católica</w:t>
      </w:r>
      <w:r>
        <w:rPr>
          <w:rFonts w:ascii="Century Gothic" w:hAnsi="Century Gothic"/>
        </w:rPr>
        <w:t xml:space="preserve"> de Chile</w:t>
      </w:r>
      <w:r w:rsidRPr="006511C5">
        <w:rPr>
          <w:rFonts w:ascii="Century Gothic" w:hAnsi="Century Gothic"/>
        </w:rPr>
        <w:t xml:space="preserve"> (</w:t>
      </w:r>
      <w:proofErr w:type="spellStart"/>
      <w:r w:rsidRPr="006511C5">
        <w:rPr>
          <w:rFonts w:ascii="Century Gothic" w:hAnsi="Century Gothic"/>
        </w:rPr>
        <w:t>Ceel</w:t>
      </w:r>
      <w:proofErr w:type="spellEnd"/>
      <w:r w:rsidRPr="006511C5">
        <w:rPr>
          <w:rFonts w:ascii="Century Gothic" w:hAnsi="Century Gothic"/>
        </w:rPr>
        <w:t xml:space="preserve"> UC)</w:t>
      </w:r>
      <w:r>
        <w:rPr>
          <w:rFonts w:ascii="Century Gothic" w:hAnsi="Century Gothic"/>
        </w:rPr>
        <w:t>, al menos desde el año 2009 se aprecia un aumento de los adultos mayores que viven solos. Es más</w:t>
      </w:r>
      <w:r w:rsidR="00526DCE">
        <w:rPr>
          <w:rFonts w:ascii="Century Gothic" w:hAnsi="Century Gothic"/>
        </w:rPr>
        <w:t>,</w:t>
      </w:r>
      <w:r>
        <w:rPr>
          <w:rFonts w:ascii="Century Gothic" w:hAnsi="Century Gothic"/>
        </w:rPr>
        <w:t xml:space="preserve"> existen estudios que revelan que los adultos mayores son el grupo etario </w:t>
      </w:r>
      <w:r w:rsidR="00526DCE">
        <w:rPr>
          <w:rFonts w:ascii="Century Gothic" w:hAnsi="Century Gothic"/>
        </w:rPr>
        <w:t xml:space="preserve">con </w:t>
      </w:r>
      <w:r>
        <w:rPr>
          <w:rFonts w:ascii="Century Gothic" w:hAnsi="Century Gothic"/>
        </w:rPr>
        <w:t xml:space="preserve">más incidencia de suicidios, esto debido a sus principales debilidades como la dependencia, el nivel de endeudamiento y otros factores que desencadenan estados depresivos importantes. </w:t>
      </w:r>
      <w:r w:rsidR="009026FC">
        <w:rPr>
          <w:rFonts w:ascii="Century Gothic" w:hAnsi="Century Gothic"/>
        </w:rPr>
        <w:t>L</w:t>
      </w:r>
      <w:r w:rsidR="009026FC" w:rsidRPr="009026FC">
        <w:rPr>
          <w:rFonts w:ascii="Century Gothic" w:hAnsi="Century Gothic"/>
        </w:rPr>
        <w:t xml:space="preserve">os mayores de 80 años tienen la tasa más alta de suicidios del país, con 17,7 suicidios por cada 100 mil habitantes, </w:t>
      </w:r>
      <w:r w:rsidR="009026FC">
        <w:rPr>
          <w:rFonts w:ascii="Century Gothic" w:hAnsi="Century Gothic"/>
        </w:rPr>
        <w:t>luego las</w:t>
      </w:r>
      <w:r w:rsidR="009026FC" w:rsidRPr="009026FC">
        <w:rPr>
          <w:rFonts w:ascii="Century Gothic" w:hAnsi="Century Gothic"/>
        </w:rPr>
        <w:t xml:space="preserve"> personas de entre 70 y 79 años, que tienen una tasa de 15,4. El promedio nacional, es de 10,2</w:t>
      </w:r>
      <w:r w:rsidR="009026FC">
        <w:rPr>
          <w:rStyle w:val="Refdenotaalpie"/>
          <w:rFonts w:ascii="Century Gothic" w:hAnsi="Century Gothic"/>
        </w:rPr>
        <w:footnoteReference w:id="1"/>
      </w:r>
      <w:r w:rsidR="009026FC">
        <w:rPr>
          <w:rFonts w:ascii="Century Gothic" w:hAnsi="Century Gothic"/>
        </w:rPr>
        <w:t>.</w:t>
      </w:r>
    </w:p>
    <w:p w:rsidR="009026FC" w:rsidRDefault="009026FC" w:rsidP="001519CE">
      <w:pPr>
        <w:spacing w:line="276" w:lineRule="auto"/>
        <w:ind w:left="-567" w:right="-234"/>
        <w:jc w:val="both"/>
        <w:rPr>
          <w:rFonts w:ascii="Century Gothic" w:hAnsi="Century Gothic"/>
        </w:rPr>
      </w:pPr>
    </w:p>
    <w:p w:rsidR="006511C5" w:rsidRDefault="006511C5" w:rsidP="001519CE">
      <w:pPr>
        <w:spacing w:line="276" w:lineRule="auto"/>
        <w:ind w:left="-567" w:right="-234"/>
        <w:jc w:val="both"/>
        <w:rPr>
          <w:rFonts w:ascii="Century Gothic" w:hAnsi="Century Gothic"/>
        </w:rPr>
      </w:pPr>
      <w:r>
        <w:rPr>
          <w:rFonts w:ascii="Century Gothic" w:hAnsi="Century Gothic"/>
        </w:rPr>
        <w:t xml:space="preserve">Un caso emblemático es el de </w:t>
      </w:r>
      <w:r w:rsidR="009026FC">
        <w:rPr>
          <w:rFonts w:ascii="Century Gothic" w:hAnsi="Century Gothic"/>
        </w:rPr>
        <w:t xml:space="preserve">Jorge Olivares Castro de 84 años, </w:t>
      </w:r>
      <w:r w:rsidR="00526DCE">
        <w:rPr>
          <w:rFonts w:ascii="Century Gothic" w:hAnsi="Century Gothic"/>
        </w:rPr>
        <w:t>quien,</w:t>
      </w:r>
      <w:r w:rsidR="009026FC">
        <w:rPr>
          <w:rFonts w:ascii="Century Gothic" w:hAnsi="Century Gothic"/>
        </w:rPr>
        <w:t xml:space="preserve"> junto a su mujer</w:t>
      </w:r>
      <w:r w:rsidR="00526DCE">
        <w:rPr>
          <w:rFonts w:ascii="Century Gothic" w:hAnsi="Century Gothic"/>
        </w:rPr>
        <w:t>,</w:t>
      </w:r>
      <w:r w:rsidR="009026FC">
        <w:rPr>
          <w:rFonts w:ascii="Century Gothic" w:hAnsi="Century Gothic"/>
        </w:rPr>
        <w:t xml:space="preserve"> Elsa Ayala Castro</w:t>
      </w:r>
      <w:r w:rsidR="00526DCE">
        <w:rPr>
          <w:rFonts w:ascii="Century Gothic" w:hAnsi="Century Gothic"/>
        </w:rPr>
        <w:t>,</w:t>
      </w:r>
      <w:r w:rsidR="009026FC">
        <w:rPr>
          <w:rFonts w:ascii="Century Gothic" w:hAnsi="Century Gothic"/>
        </w:rPr>
        <w:t xml:space="preserve"> tomaron la decisión de suicidarse después de 55 años de matrimonio en la comuna de Conchalí. </w:t>
      </w:r>
    </w:p>
    <w:p w:rsidR="008E0D23" w:rsidRDefault="008E0D23" w:rsidP="001519CE">
      <w:pPr>
        <w:spacing w:line="276" w:lineRule="auto"/>
        <w:ind w:left="-567" w:right="-234"/>
        <w:jc w:val="both"/>
        <w:rPr>
          <w:rFonts w:ascii="Century Gothic" w:hAnsi="Century Gothic"/>
        </w:rPr>
      </w:pPr>
    </w:p>
    <w:p w:rsidR="005C4DC4" w:rsidRDefault="005C4DC4" w:rsidP="001519CE">
      <w:pPr>
        <w:spacing w:line="276" w:lineRule="auto"/>
        <w:ind w:left="-567" w:right="-234"/>
        <w:jc w:val="both"/>
        <w:rPr>
          <w:rFonts w:ascii="Century Gothic" w:hAnsi="Century Gothic"/>
        </w:rPr>
      </w:pPr>
      <w:r>
        <w:rPr>
          <w:rFonts w:ascii="Century Gothic" w:hAnsi="Century Gothic"/>
        </w:rPr>
        <w:t>Otro aspecto importante a considerar es la dependencia funcional de los adultos mayores, cerca del 14% se encuentra en una situación de dependencia física según informes del Ministerio de Desarrollo Social</w:t>
      </w:r>
      <w:r>
        <w:rPr>
          <w:rStyle w:val="Refdenotaalpie"/>
          <w:rFonts w:ascii="Century Gothic" w:hAnsi="Century Gothic"/>
        </w:rPr>
        <w:footnoteReference w:id="2"/>
      </w:r>
      <w:r>
        <w:rPr>
          <w:rFonts w:ascii="Century Gothic" w:hAnsi="Century Gothic"/>
        </w:rPr>
        <w:t>.</w:t>
      </w:r>
    </w:p>
    <w:p w:rsidR="005C4DC4" w:rsidRDefault="005C4DC4" w:rsidP="001519CE">
      <w:pPr>
        <w:spacing w:line="276" w:lineRule="auto"/>
        <w:ind w:left="-567" w:right="-234"/>
        <w:jc w:val="both"/>
        <w:rPr>
          <w:rFonts w:ascii="Century Gothic" w:hAnsi="Century Gothic"/>
        </w:rPr>
      </w:pPr>
    </w:p>
    <w:p w:rsidR="005C4DC4" w:rsidRDefault="005C4DC4" w:rsidP="001519CE">
      <w:pPr>
        <w:spacing w:line="276" w:lineRule="auto"/>
        <w:ind w:left="-567" w:right="-234"/>
        <w:jc w:val="both"/>
        <w:rPr>
          <w:rFonts w:ascii="Century Gothic" w:hAnsi="Century Gothic"/>
        </w:rPr>
      </w:pPr>
      <w:r>
        <w:rPr>
          <w:rFonts w:ascii="Century Gothic" w:hAnsi="Century Gothic"/>
        </w:rPr>
        <w:t>Junto con lo anterior el Instituto Nacional de Estadísticas ha señalado en su último informe sobre el CENSO 2017, que la esperanza de vida ha aumentado de este modo la brecha entre nacimientos y fallecimientos, por lo cual se proyectó que la población mayor de 60 años para el 2050 alcance un cuarto de la población total del país.</w:t>
      </w:r>
    </w:p>
    <w:p w:rsidR="009026FC" w:rsidRDefault="009026FC" w:rsidP="001519CE">
      <w:pPr>
        <w:spacing w:line="276" w:lineRule="auto"/>
        <w:ind w:left="-567" w:right="-234"/>
        <w:jc w:val="both"/>
        <w:rPr>
          <w:rFonts w:ascii="Century Gothic" w:hAnsi="Century Gothic"/>
        </w:rPr>
      </w:pPr>
    </w:p>
    <w:p w:rsidR="009026FC" w:rsidRDefault="009026FC" w:rsidP="001519CE">
      <w:pPr>
        <w:spacing w:line="276" w:lineRule="auto"/>
        <w:ind w:left="-567" w:right="-234"/>
        <w:jc w:val="both"/>
        <w:rPr>
          <w:rFonts w:ascii="Century Gothic" w:hAnsi="Century Gothic"/>
        </w:rPr>
      </w:pPr>
      <w:r>
        <w:rPr>
          <w:rFonts w:ascii="Century Gothic" w:hAnsi="Century Gothic"/>
        </w:rPr>
        <w:t>VI.- Para entregar mayor capacidad a los órganos públicos, pero también a la ciudadanía, creemos conveniente que las acciones que permiten reclamar los derechos al cuidado de los adultos mayores que se encuentren en situación de vulnerabilidad, particularmente aquellos que derivan de las obligaciones de familia, sin traspasar los derechos que estas implican</w:t>
      </w:r>
      <w:r w:rsidR="00526DCE">
        <w:rPr>
          <w:rFonts w:ascii="Century Gothic" w:hAnsi="Century Gothic"/>
        </w:rPr>
        <w:t>,</w:t>
      </w:r>
      <w:r>
        <w:rPr>
          <w:rFonts w:ascii="Century Gothic" w:hAnsi="Century Gothic"/>
        </w:rPr>
        <w:t xml:space="preserve"> deben contar con la posibilidad de que cualquier persona o institución pueda accionar en su nombre y representación, </w:t>
      </w:r>
      <w:r w:rsidR="00526DCE">
        <w:rPr>
          <w:rFonts w:ascii="Century Gothic" w:hAnsi="Century Gothic"/>
        </w:rPr>
        <w:t>esto es, otorgar acción popular para reclamar lo</w:t>
      </w:r>
      <w:r>
        <w:rPr>
          <w:rFonts w:ascii="Century Gothic" w:hAnsi="Century Gothic"/>
        </w:rPr>
        <w:t xml:space="preserve"> mismo.</w:t>
      </w:r>
    </w:p>
    <w:p w:rsidR="002C01E1" w:rsidRDefault="002C01E1" w:rsidP="001519CE">
      <w:pPr>
        <w:spacing w:line="276" w:lineRule="auto"/>
        <w:ind w:left="-567" w:right="-234"/>
        <w:jc w:val="both"/>
        <w:rPr>
          <w:rFonts w:ascii="Century Gothic" w:hAnsi="Century Gothic"/>
        </w:rPr>
      </w:pPr>
    </w:p>
    <w:p w:rsidR="00EA6B47" w:rsidRDefault="002C01E1" w:rsidP="001519CE">
      <w:pPr>
        <w:spacing w:line="276" w:lineRule="auto"/>
        <w:ind w:left="-567" w:right="-234"/>
        <w:jc w:val="both"/>
        <w:rPr>
          <w:rFonts w:ascii="Century Gothic" w:hAnsi="Century Gothic"/>
        </w:rPr>
      </w:pPr>
      <w:r>
        <w:rPr>
          <w:rFonts w:ascii="Century Gothic" w:hAnsi="Century Gothic"/>
        </w:rPr>
        <w:t>Las acciones populares tienen su fundamento en la existencia de un interés público, lo cual no</w:t>
      </w:r>
      <w:r w:rsidR="00526DCE">
        <w:rPr>
          <w:rFonts w:ascii="Century Gothic" w:hAnsi="Century Gothic"/>
        </w:rPr>
        <w:t xml:space="preserve"> es novedoso en nuestro derecho. C</w:t>
      </w:r>
      <w:r>
        <w:rPr>
          <w:rFonts w:ascii="Century Gothic" w:hAnsi="Century Gothic"/>
        </w:rPr>
        <w:t xml:space="preserve">omo se indicó antes en materia de violencia </w:t>
      </w:r>
      <w:r w:rsidR="00EA6B47">
        <w:rPr>
          <w:rFonts w:ascii="Century Gothic" w:hAnsi="Century Gothic"/>
        </w:rPr>
        <w:t>intrafamiliar</w:t>
      </w:r>
      <w:r w:rsidR="00526DCE">
        <w:rPr>
          <w:rFonts w:ascii="Century Gothic" w:hAnsi="Century Gothic"/>
        </w:rPr>
        <w:t>,</w:t>
      </w:r>
      <w:r w:rsidR="00EA6B47">
        <w:rPr>
          <w:rFonts w:ascii="Century Gothic" w:hAnsi="Century Gothic"/>
        </w:rPr>
        <w:t xml:space="preserve"> cualquiera puede denunciar teniendo conocimiento de los hechos que la constituyen, sin llegar a ser parte en el juicio, caso que si se asegura a la victima.</w:t>
      </w:r>
    </w:p>
    <w:p w:rsidR="00EA6B47" w:rsidRDefault="00EA6B47" w:rsidP="001519CE">
      <w:pPr>
        <w:spacing w:line="276" w:lineRule="auto"/>
        <w:ind w:left="-567" w:right="-234"/>
        <w:jc w:val="both"/>
        <w:rPr>
          <w:rFonts w:ascii="Century Gothic" w:hAnsi="Century Gothic"/>
        </w:rPr>
      </w:pPr>
    </w:p>
    <w:p w:rsidR="00EA6B47" w:rsidRDefault="00EA6B47" w:rsidP="001519CE">
      <w:pPr>
        <w:spacing w:line="276" w:lineRule="auto"/>
        <w:ind w:left="-567" w:right="-234"/>
        <w:jc w:val="both"/>
        <w:rPr>
          <w:rFonts w:ascii="Century Gothic" w:hAnsi="Century Gothic"/>
        </w:rPr>
      </w:pPr>
      <w:r>
        <w:rPr>
          <w:rFonts w:ascii="Century Gothic" w:hAnsi="Century Gothic"/>
        </w:rPr>
        <w:t>A nuestro parecer, la protección de las personas mayores ya se encuentra reconocido como un interés social relevante, por lo tanto, totalmente justo resulta otorgar acción en las materias propias del derecho civil a todas las personas que tengan los medios necesarios para hacerlo.</w:t>
      </w:r>
    </w:p>
    <w:p w:rsidR="00EA6B47" w:rsidRDefault="00EA6B47" w:rsidP="001519CE">
      <w:pPr>
        <w:spacing w:line="276" w:lineRule="auto"/>
        <w:ind w:left="-567" w:right="-234"/>
        <w:jc w:val="both"/>
        <w:rPr>
          <w:rFonts w:ascii="Century Gothic" w:hAnsi="Century Gothic"/>
        </w:rPr>
      </w:pPr>
    </w:p>
    <w:p w:rsidR="00EA6B47" w:rsidRDefault="00EA6B47" w:rsidP="001519CE">
      <w:pPr>
        <w:spacing w:line="276" w:lineRule="auto"/>
        <w:ind w:left="-567" w:right="-234"/>
        <w:jc w:val="both"/>
        <w:rPr>
          <w:rFonts w:ascii="Century Gothic" w:hAnsi="Century Gothic"/>
        </w:rPr>
      </w:pPr>
      <w:r>
        <w:rPr>
          <w:rFonts w:ascii="Century Gothic" w:hAnsi="Century Gothic"/>
        </w:rPr>
        <w:t>En esta materia toma vital relevancia el contar con instrumentos populares para accionar, puesto que los adultos mayores, o carecen de los medios, los ignoran o simplemente se encuentran privados de los mismos. En otras palabras, el bienestar de los adultos mayores es una materia de interés general y público.</w:t>
      </w:r>
    </w:p>
    <w:p w:rsidR="00D538FA" w:rsidRDefault="00D538FA" w:rsidP="001519CE">
      <w:pPr>
        <w:spacing w:line="276" w:lineRule="auto"/>
        <w:ind w:left="-567" w:right="-234"/>
        <w:jc w:val="both"/>
        <w:rPr>
          <w:rFonts w:ascii="Century Gothic" w:hAnsi="Century Gothic"/>
        </w:rPr>
      </w:pPr>
    </w:p>
    <w:p w:rsidR="00EA6B47" w:rsidRDefault="00EA6B47" w:rsidP="001519CE">
      <w:pPr>
        <w:spacing w:line="276" w:lineRule="auto"/>
        <w:ind w:left="-567" w:right="-234"/>
        <w:jc w:val="center"/>
        <w:rPr>
          <w:rFonts w:ascii="Century Gothic" w:hAnsi="Century Gothic"/>
          <w:b/>
        </w:rPr>
      </w:pPr>
      <w:r w:rsidRPr="00EA6B47">
        <w:rPr>
          <w:rFonts w:ascii="Century Gothic" w:hAnsi="Century Gothic"/>
          <w:b/>
        </w:rPr>
        <w:t>IDEA MATRIZ</w:t>
      </w:r>
    </w:p>
    <w:p w:rsidR="00D538FA" w:rsidRPr="00EA6B47" w:rsidRDefault="00D538FA" w:rsidP="001519CE">
      <w:pPr>
        <w:spacing w:line="276" w:lineRule="auto"/>
        <w:ind w:left="-567" w:right="-234"/>
        <w:jc w:val="center"/>
        <w:rPr>
          <w:rFonts w:ascii="Century Gothic" w:hAnsi="Century Gothic"/>
          <w:b/>
        </w:rPr>
      </w:pPr>
    </w:p>
    <w:p w:rsidR="00EA6B47" w:rsidRDefault="00EA6B47" w:rsidP="001519CE">
      <w:pPr>
        <w:spacing w:line="276" w:lineRule="auto"/>
        <w:ind w:left="-567" w:right="-234"/>
        <w:jc w:val="both"/>
        <w:rPr>
          <w:rFonts w:ascii="Century Gothic" w:hAnsi="Century Gothic"/>
        </w:rPr>
      </w:pPr>
      <w:r>
        <w:rPr>
          <w:rFonts w:ascii="Century Gothic" w:hAnsi="Century Gothic"/>
        </w:rPr>
        <w:t xml:space="preserve">Entregar acción judicial a cualquier persona que tome conocimiento de situaciones de abandono o necesidad de una persona mayor, para que actuando en su representación pueda demandar a sus descendientes con el fin de que concurran a la satisfacción de sus necesidades. </w:t>
      </w:r>
    </w:p>
    <w:p w:rsidR="00EA6B47" w:rsidRDefault="00EA6B47" w:rsidP="001519CE">
      <w:pPr>
        <w:spacing w:line="276" w:lineRule="auto"/>
        <w:ind w:left="-567" w:right="-234"/>
        <w:jc w:val="both"/>
        <w:rPr>
          <w:rFonts w:ascii="Century Gothic" w:hAnsi="Century Gothic"/>
        </w:rPr>
      </w:pPr>
    </w:p>
    <w:p w:rsidR="00EA6B47" w:rsidRDefault="00EA6B47" w:rsidP="001519CE">
      <w:pPr>
        <w:spacing w:line="276" w:lineRule="auto"/>
        <w:ind w:left="-567" w:right="-234"/>
        <w:jc w:val="both"/>
        <w:rPr>
          <w:rFonts w:ascii="Century Gothic" w:hAnsi="Century Gothic"/>
        </w:rPr>
      </w:pPr>
      <w:r>
        <w:rPr>
          <w:rFonts w:ascii="Century Gothic" w:hAnsi="Century Gothic"/>
        </w:rPr>
        <w:t>Es por lo antes expuesto que sometemos a esta Honorable Cámara de Diputados el siguiente:</w:t>
      </w:r>
    </w:p>
    <w:p w:rsidR="00EA6B47" w:rsidRDefault="00EA6B47" w:rsidP="001519CE">
      <w:pPr>
        <w:spacing w:line="276" w:lineRule="auto"/>
        <w:ind w:left="-567" w:right="-234"/>
        <w:jc w:val="both"/>
        <w:rPr>
          <w:rFonts w:ascii="Century Gothic" w:hAnsi="Century Gothic"/>
        </w:rPr>
      </w:pPr>
    </w:p>
    <w:p w:rsidR="00EA6B47" w:rsidRPr="00EA6B47" w:rsidRDefault="00EA6B47" w:rsidP="001519CE">
      <w:pPr>
        <w:spacing w:line="276" w:lineRule="auto"/>
        <w:ind w:left="-567" w:right="-234"/>
        <w:jc w:val="center"/>
        <w:rPr>
          <w:rFonts w:ascii="Century Gothic" w:hAnsi="Century Gothic"/>
          <w:b/>
        </w:rPr>
      </w:pPr>
      <w:r w:rsidRPr="00EA6B47">
        <w:rPr>
          <w:rFonts w:ascii="Century Gothic" w:hAnsi="Century Gothic"/>
          <w:b/>
        </w:rPr>
        <w:t>PROYECTO DE LEY</w:t>
      </w:r>
    </w:p>
    <w:p w:rsidR="00EA6B47" w:rsidRDefault="00EA6B47" w:rsidP="001519CE">
      <w:pPr>
        <w:spacing w:line="276" w:lineRule="auto"/>
        <w:ind w:left="-567" w:right="-234"/>
        <w:jc w:val="both"/>
        <w:rPr>
          <w:rFonts w:ascii="Century Gothic" w:hAnsi="Century Gothic"/>
        </w:rPr>
      </w:pPr>
    </w:p>
    <w:p w:rsidR="00EA6B47" w:rsidRDefault="00EA6B47" w:rsidP="001519CE">
      <w:pPr>
        <w:spacing w:line="276" w:lineRule="auto"/>
        <w:ind w:left="-567" w:right="-234"/>
        <w:jc w:val="both"/>
        <w:rPr>
          <w:rFonts w:ascii="Century Gothic" w:hAnsi="Century Gothic"/>
        </w:rPr>
      </w:pPr>
      <w:r>
        <w:rPr>
          <w:rFonts w:ascii="Century Gothic" w:hAnsi="Century Gothic"/>
        </w:rPr>
        <w:t>Artículo único.- Modifíquese el Código Civil en el siguiente sentido:</w:t>
      </w:r>
    </w:p>
    <w:p w:rsidR="00EA6B47" w:rsidRDefault="00EA6B47" w:rsidP="001519CE">
      <w:pPr>
        <w:spacing w:line="276" w:lineRule="auto"/>
        <w:ind w:left="-567" w:right="-234"/>
        <w:jc w:val="both"/>
        <w:rPr>
          <w:rFonts w:ascii="Century Gothic" w:hAnsi="Century Gothic"/>
        </w:rPr>
      </w:pPr>
    </w:p>
    <w:p w:rsidR="00EA6B47" w:rsidRDefault="00EA6B47" w:rsidP="001519CE">
      <w:pPr>
        <w:spacing w:line="276" w:lineRule="auto"/>
        <w:ind w:left="-567" w:right="-234"/>
        <w:jc w:val="both"/>
        <w:rPr>
          <w:rFonts w:ascii="Century Gothic" w:hAnsi="Century Gothic"/>
        </w:rPr>
      </w:pPr>
      <w:r>
        <w:rPr>
          <w:rFonts w:ascii="Century Gothic" w:hAnsi="Century Gothic"/>
        </w:rPr>
        <w:t>1.- Agréguese en el artículo 223 un nuevo inciso final del siguiente tenor:</w:t>
      </w:r>
    </w:p>
    <w:p w:rsidR="00EA6B47" w:rsidRDefault="00EA6B47" w:rsidP="001519CE">
      <w:pPr>
        <w:spacing w:line="276" w:lineRule="auto"/>
        <w:ind w:left="-567" w:right="-234"/>
        <w:jc w:val="both"/>
        <w:rPr>
          <w:rFonts w:ascii="Century Gothic" w:hAnsi="Century Gothic"/>
        </w:rPr>
      </w:pPr>
      <w:r>
        <w:rPr>
          <w:rFonts w:ascii="Century Gothic" w:hAnsi="Century Gothic"/>
        </w:rPr>
        <w:t>“Cualquier</w:t>
      </w:r>
      <w:r w:rsidR="008E0D23">
        <w:rPr>
          <w:rFonts w:ascii="Century Gothic" w:hAnsi="Century Gothic"/>
        </w:rPr>
        <w:t>a</w:t>
      </w:r>
      <w:r>
        <w:rPr>
          <w:rFonts w:ascii="Century Gothic" w:hAnsi="Century Gothic"/>
        </w:rPr>
        <w:t xml:space="preserve"> podrá </w:t>
      </w:r>
      <w:r w:rsidR="008E0D23">
        <w:rPr>
          <w:rFonts w:ascii="Century Gothic" w:hAnsi="Century Gothic"/>
        </w:rPr>
        <w:t>concurrir</w:t>
      </w:r>
      <w:r>
        <w:rPr>
          <w:rFonts w:ascii="Century Gothic" w:hAnsi="Century Gothic"/>
        </w:rPr>
        <w:t xml:space="preserve"> </w:t>
      </w:r>
      <w:r w:rsidR="008E0D23">
        <w:rPr>
          <w:rFonts w:ascii="Century Gothic" w:hAnsi="Century Gothic"/>
        </w:rPr>
        <w:t>a favor de la persona mayor o anciana con el fin de hacer efectiva la obligación del inciso primero, cuando este no se encontrare en condiciones de ejercerlo.”.</w:t>
      </w:r>
      <w:r>
        <w:rPr>
          <w:rFonts w:ascii="Century Gothic" w:hAnsi="Century Gothic"/>
        </w:rPr>
        <w:t xml:space="preserve"> </w:t>
      </w:r>
    </w:p>
    <w:p w:rsidR="008E0D23" w:rsidRDefault="008E0D23" w:rsidP="001519CE">
      <w:pPr>
        <w:spacing w:line="276" w:lineRule="auto"/>
        <w:ind w:left="-567" w:right="-234"/>
        <w:jc w:val="both"/>
        <w:rPr>
          <w:rFonts w:ascii="Century Gothic" w:hAnsi="Century Gothic"/>
        </w:rPr>
      </w:pPr>
    </w:p>
    <w:p w:rsidR="008E0D23" w:rsidRDefault="008E0D23" w:rsidP="001519CE">
      <w:pPr>
        <w:spacing w:line="276" w:lineRule="auto"/>
        <w:ind w:left="-567" w:right="-234"/>
        <w:jc w:val="both"/>
        <w:rPr>
          <w:rFonts w:ascii="Century Gothic" w:hAnsi="Century Gothic"/>
        </w:rPr>
      </w:pPr>
      <w:r>
        <w:rPr>
          <w:rFonts w:ascii="Century Gothic" w:hAnsi="Century Gothic"/>
        </w:rPr>
        <w:t>2.- Agréguese en el artículo 326 un nuevo inciso final del siguiente tenor:</w:t>
      </w:r>
    </w:p>
    <w:p w:rsidR="00EA6B47" w:rsidRDefault="008E0D23" w:rsidP="001519CE">
      <w:pPr>
        <w:spacing w:line="276" w:lineRule="auto"/>
        <w:ind w:left="-567" w:right="-234"/>
        <w:jc w:val="both"/>
        <w:rPr>
          <w:rFonts w:ascii="Century Gothic" w:hAnsi="Century Gothic"/>
        </w:rPr>
      </w:pPr>
      <w:r>
        <w:rPr>
          <w:rFonts w:ascii="Century Gothic" w:hAnsi="Century Gothic"/>
        </w:rPr>
        <w:t>“Cualquiera podrá concurrir a favor de la persona mayor o anciana con el fin de hacer efectiva la obligación de alimentos respecto de su descendientes, cuando este no esté en condiciones de ejercerla.”.</w:t>
      </w:r>
    </w:p>
    <w:p w:rsidR="008E0D23" w:rsidRDefault="008E0D23" w:rsidP="001519CE">
      <w:pPr>
        <w:spacing w:line="360" w:lineRule="auto"/>
        <w:ind w:left="-567" w:right="-234"/>
        <w:jc w:val="both"/>
        <w:rPr>
          <w:rFonts w:ascii="Century Gothic" w:hAnsi="Century Gothic"/>
        </w:rPr>
      </w:pPr>
    </w:p>
    <w:p w:rsidR="008E0D23" w:rsidRDefault="008E0D23" w:rsidP="001519CE">
      <w:pPr>
        <w:spacing w:line="360" w:lineRule="auto"/>
        <w:ind w:left="-567" w:right="-234"/>
        <w:jc w:val="both"/>
        <w:rPr>
          <w:rFonts w:ascii="Century Gothic" w:hAnsi="Century Gothic"/>
        </w:rPr>
      </w:pPr>
    </w:p>
    <w:p w:rsidR="00D538FA" w:rsidRDefault="00D538FA" w:rsidP="001519CE">
      <w:pPr>
        <w:spacing w:line="360" w:lineRule="auto"/>
        <w:ind w:left="-567" w:right="-234"/>
        <w:jc w:val="both"/>
        <w:rPr>
          <w:rFonts w:ascii="Century Gothic" w:hAnsi="Century Gothic"/>
        </w:rPr>
      </w:pPr>
    </w:p>
    <w:p w:rsidR="00D538FA" w:rsidRDefault="00D538FA" w:rsidP="001519CE">
      <w:pPr>
        <w:spacing w:line="360" w:lineRule="auto"/>
        <w:ind w:left="-567" w:right="-234"/>
        <w:jc w:val="both"/>
        <w:rPr>
          <w:rFonts w:ascii="Century Gothic" w:hAnsi="Century Gothic"/>
        </w:rPr>
      </w:pPr>
    </w:p>
    <w:p w:rsidR="008E0D23" w:rsidRPr="008E0D23" w:rsidRDefault="00526DCE" w:rsidP="001519CE">
      <w:pPr>
        <w:ind w:left="-567" w:right="-234"/>
        <w:jc w:val="center"/>
        <w:rPr>
          <w:rFonts w:ascii="Century Gothic" w:hAnsi="Century Gothic"/>
          <w:b/>
        </w:rPr>
      </w:pPr>
      <w:r>
        <w:rPr>
          <w:rFonts w:ascii="Century Gothic" w:hAnsi="Century Gothic"/>
          <w:b/>
        </w:rPr>
        <w:t>ANDRÉ</w:t>
      </w:r>
      <w:r w:rsidR="008E0D23" w:rsidRPr="008E0D23">
        <w:rPr>
          <w:rFonts w:ascii="Century Gothic" w:hAnsi="Century Gothic"/>
          <w:b/>
        </w:rPr>
        <w:t>S LONGTON HERRERA</w:t>
      </w:r>
    </w:p>
    <w:p w:rsidR="00CF3C2C" w:rsidRPr="00D538FA" w:rsidRDefault="008E0D23" w:rsidP="001519CE">
      <w:pPr>
        <w:ind w:left="-567" w:right="-234"/>
        <w:jc w:val="center"/>
        <w:rPr>
          <w:rFonts w:ascii="Century Gothic" w:hAnsi="Century Gothic"/>
          <w:b/>
        </w:rPr>
      </w:pPr>
      <w:r w:rsidRPr="008E0D23">
        <w:rPr>
          <w:rFonts w:ascii="Century Gothic" w:hAnsi="Century Gothic"/>
          <w:b/>
        </w:rPr>
        <w:t>DIPUTADO</w:t>
      </w:r>
    </w:p>
    <w:p w:rsidR="00A10419" w:rsidRPr="00A10419" w:rsidRDefault="00A10419" w:rsidP="001519CE">
      <w:pPr>
        <w:ind w:left="-567" w:right="-234"/>
        <w:jc w:val="both"/>
        <w:rPr>
          <w:rFonts w:ascii="Century Gothic" w:hAnsi="Century Gothic"/>
        </w:rPr>
      </w:pPr>
    </w:p>
    <w:sectPr w:rsidR="00A10419" w:rsidRPr="00A10419" w:rsidSect="001519CE">
      <w:pgSz w:w="12240" w:h="20160" w:code="5"/>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CC" w:rsidRDefault="00787FCC" w:rsidP="009026FC">
      <w:r>
        <w:separator/>
      </w:r>
    </w:p>
  </w:endnote>
  <w:endnote w:type="continuationSeparator" w:id="0">
    <w:p w:rsidR="00787FCC" w:rsidRDefault="00787FCC" w:rsidP="0090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FCC" w:rsidRDefault="00787FCC" w:rsidP="009026FC">
      <w:r>
        <w:separator/>
      </w:r>
    </w:p>
  </w:footnote>
  <w:footnote w:type="continuationSeparator" w:id="0">
    <w:p w:rsidR="00787FCC" w:rsidRDefault="00787FCC" w:rsidP="009026FC">
      <w:r>
        <w:continuationSeparator/>
      </w:r>
    </w:p>
  </w:footnote>
  <w:footnote w:id="1">
    <w:p w:rsidR="008E0D23" w:rsidRPr="009026FC" w:rsidRDefault="008E0D23">
      <w:pPr>
        <w:pStyle w:val="Textonotapie"/>
        <w:rPr>
          <w:rFonts w:ascii="Century Gothic" w:hAnsi="Century Gothic"/>
          <w:sz w:val="20"/>
          <w:szCs w:val="20"/>
        </w:rPr>
      </w:pPr>
      <w:r w:rsidRPr="009026FC">
        <w:rPr>
          <w:rStyle w:val="Refdenotaalpie"/>
          <w:rFonts w:ascii="Century Gothic" w:hAnsi="Century Gothic"/>
          <w:sz w:val="20"/>
          <w:szCs w:val="20"/>
        </w:rPr>
        <w:footnoteRef/>
      </w:r>
      <w:r w:rsidRPr="009026FC">
        <w:rPr>
          <w:rFonts w:ascii="Century Gothic" w:hAnsi="Century Gothic"/>
          <w:sz w:val="20"/>
          <w:szCs w:val="20"/>
        </w:rPr>
        <w:t xml:space="preserve"> Estudio Fundación Míranos (</w:t>
      </w:r>
      <w:proofErr w:type="spellStart"/>
      <w:r w:rsidRPr="009026FC">
        <w:rPr>
          <w:rFonts w:ascii="Century Gothic" w:hAnsi="Century Gothic"/>
          <w:sz w:val="20"/>
          <w:szCs w:val="20"/>
        </w:rPr>
        <w:t>prof.</w:t>
      </w:r>
      <w:proofErr w:type="spellEnd"/>
      <w:r w:rsidRPr="009026FC">
        <w:rPr>
          <w:rFonts w:ascii="Century Gothic" w:hAnsi="Century Gothic"/>
          <w:sz w:val="20"/>
          <w:szCs w:val="20"/>
        </w:rPr>
        <w:t xml:space="preserve"> Ana Paula Vieira) </w:t>
      </w:r>
    </w:p>
  </w:footnote>
  <w:footnote w:id="2">
    <w:p w:rsidR="005C4DC4" w:rsidRPr="004846BA" w:rsidRDefault="005C4DC4" w:rsidP="005C4DC4">
      <w:pPr>
        <w:pStyle w:val="Textonotapie"/>
        <w:rPr>
          <w:lang w:val="es-CL"/>
        </w:rPr>
      </w:pPr>
      <w:r>
        <w:rPr>
          <w:rStyle w:val="Refdenotaalpie"/>
        </w:rPr>
        <w:footnoteRef/>
      </w:r>
      <w:r>
        <w:t xml:space="preserve"> </w:t>
      </w:r>
      <w:r w:rsidRPr="004846BA">
        <w:rPr>
          <w:rFonts w:ascii="Century Gothic" w:hAnsi="Century Gothic"/>
          <w:sz w:val="20"/>
          <w:szCs w:val="20"/>
          <w:lang w:val="es-CL"/>
        </w:rPr>
        <w:t>CASEN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19"/>
    <w:rsid w:val="001315D3"/>
    <w:rsid w:val="001519CE"/>
    <w:rsid w:val="0028587E"/>
    <w:rsid w:val="002C01E1"/>
    <w:rsid w:val="00452E72"/>
    <w:rsid w:val="00526DCE"/>
    <w:rsid w:val="005C4DC4"/>
    <w:rsid w:val="006511C5"/>
    <w:rsid w:val="00787FCC"/>
    <w:rsid w:val="008D16A8"/>
    <w:rsid w:val="008E0D23"/>
    <w:rsid w:val="009026FC"/>
    <w:rsid w:val="00A0022C"/>
    <w:rsid w:val="00A10419"/>
    <w:rsid w:val="00AA4765"/>
    <w:rsid w:val="00AF7259"/>
    <w:rsid w:val="00C84B4A"/>
    <w:rsid w:val="00CF3C2C"/>
    <w:rsid w:val="00D538FA"/>
    <w:rsid w:val="00E53593"/>
    <w:rsid w:val="00E93A4E"/>
    <w:rsid w:val="00EA6B47"/>
    <w:rsid w:val="00F95D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C39B453-DAF5-480E-A99B-40492C33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1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semiHidden/>
    <w:rsid w:val="00A10419"/>
    <w:rPr>
      <w:rFonts w:ascii="Courier" w:hAnsi="Courier" w:cs="Courier"/>
      <w:sz w:val="20"/>
      <w:szCs w:val="20"/>
    </w:rPr>
  </w:style>
  <w:style w:type="paragraph" w:styleId="Textonotapie">
    <w:name w:val="footnote text"/>
    <w:basedOn w:val="Normal"/>
    <w:link w:val="TextonotapieCar"/>
    <w:uiPriority w:val="99"/>
    <w:unhideWhenUsed/>
    <w:rsid w:val="009026FC"/>
  </w:style>
  <w:style w:type="character" w:customStyle="1" w:styleId="TextonotapieCar">
    <w:name w:val="Texto nota pie Car"/>
    <w:basedOn w:val="Fuentedeprrafopredeter"/>
    <w:link w:val="Textonotapie"/>
    <w:uiPriority w:val="99"/>
    <w:rsid w:val="009026FC"/>
  </w:style>
  <w:style w:type="character" w:styleId="Refdenotaalpie">
    <w:name w:val="footnote reference"/>
    <w:basedOn w:val="Fuentedeprrafopredeter"/>
    <w:uiPriority w:val="99"/>
    <w:unhideWhenUsed/>
    <w:rsid w:val="00902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748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7C49-9AF1-40C5-8E86-B5DFFB2D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1243</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CONTRERAS Y ASOCIADOS</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CONTRERAS</dc:creator>
  <cp:keywords/>
  <dc:description/>
  <cp:lastModifiedBy>Leonardo Lueiza Ureta</cp:lastModifiedBy>
  <cp:revision>6</cp:revision>
  <cp:lastPrinted>2018-12-19T17:16:00Z</cp:lastPrinted>
  <dcterms:created xsi:type="dcterms:W3CDTF">2018-12-20T13:08:00Z</dcterms:created>
  <dcterms:modified xsi:type="dcterms:W3CDTF">2019-01-03T12:28:00Z</dcterms:modified>
</cp:coreProperties>
</file>