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A3" w:rsidRPr="00C470CD" w:rsidRDefault="00CA65FE" w:rsidP="00CA65FE">
      <w:pPr>
        <w:jc w:val="center"/>
        <w:rPr>
          <w:rFonts w:ascii="Times New Roman" w:eastAsia="Times New Roman" w:hAnsi="Times New Roman" w:cs="Times New Roman"/>
          <w:color w:val="000000" w:themeColor="text1"/>
          <w:lang w:eastAsia="es-ES_tradnl"/>
        </w:rPr>
      </w:pPr>
      <w:r w:rsidRPr="00CA65FE">
        <w:rPr>
          <w:rFonts w:ascii="Arial" w:eastAsia="Times New Roman" w:hAnsi="Arial" w:cs="Arial"/>
          <w:b/>
          <w:bCs/>
          <w:color w:val="000000" w:themeColor="text1"/>
          <w:lang w:eastAsia="es-ES_tradnl"/>
        </w:rPr>
        <w:t>Interpreta el Código del Trabajo en lo que respecta al ámbito de aplicación del procedimiento de tutela laboral</w:t>
      </w:r>
    </w:p>
    <w:p w:rsidR="002011A3" w:rsidRDefault="002011A3" w:rsidP="00CA65FE">
      <w:pPr>
        <w:jc w:val="center"/>
        <w:rPr>
          <w:rFonts w:ascii="Times New Roman" w:eastAsia="Times New Roman" w:hAnsi="Times New Roman" w:cs="Times New Roman"/>
          <w:color w:val="000000" w:themeColor="text1"/>
          <w:lang w:eastAsia="es-ES_tradnl"/>
        </w:rPr>
      </w:pPr>
    </w:p>
    <w:p w:rsidR="00CA65FE" w:rsidRPr="00CA65FE" w:rsidRDefault="00CA65FE" w:rsidP="00CA65FE">
      <w:pPr>
        <w:jc w:val="center"/>
        <w:rPr>
          <w:rFonts w:ascii="Times New Roman" w:eastAsia="Times New Roman" w:hAnsi="Times New Roman" w:cs="Times New Roman"/>
          <w:b/>
          <w:color w:val="000000" w:themeColor="text1"/>
          <w:lang w:eastAsia="es-ES_tradnl"/>
        </w:rPr>
      </w:pPr>
      <w:bookmarkStart w:id="0" w:name="_GoBack"/>
      <w:r w:rsidRPr="00CA65FE">
        <w:rPr>
          <w:rFonts w:ascii="Times New Roman" w:eastAsia="Times New Roman" w:hAnsi="Times New Roman" w:cs="Times New Roman"/>
          <w:b/>
          <w:color w:val="000000" w:themeColor="text1"/>
          <w:lang w:eastAsia="es-ES_tradnl"/>
        </w:rPr>
        <w:t>Boletín N°12365-13</w:t>
      </w:r>
    </w:p>
    <w:bookmarkEnd w:id="0"/>
    <w:p w:rsidR="002011A3" w:rsidRPr="00C470CD" w:rsidRDefault="002011A3" w:rsidP="002011A3">
      <w:pPr>
        <w:rPr>
          <w:rFonts w:ascii="Times New Roman" w:eastAsia="Times New Roman" w:hAnsi="Times New Roman" w:cs="Times New Roman"/>
          <w:color w:val="000000" w:themeColor="text1"/>
          <w:lang w:eastAsia="es-ES_tradnl"/>
        </w:rPr>
      </w:pPr>
      <w:r w:rsidRPr="00C470CD">
        <w:rPr>
          <w:rFonts w:ascii="Arial" w:eastAsia="Times New Roman" w:hAnsi="Arial" w:cs="Arial"/>
          <w:b/>
          <w:bCs/>
          <w:color w:val="000000" w:themeColor="text1"/>
          <w:lang w:eastAsia="es-ES_tradnl"/>
        </w:rPr>
        <w:t>Fundamentos</w:t>
      </w:r>
      <w:r w:rsidRPr="00C470CD">
        <w:rPr>
          <w:rFonts w:ascii="Arial" w:eastAsia="Times New Roman" w:hAnsi="Arial" w:cs="Arial"/>
          <w:color w:val="000000" w:themeColor="text1"/>
          <w:lang w:eastAsia="es-ES_tradnl"/>
        </w:rPr>
        <w:t xml:space="preserve"> </w:t>
      </w:r>
    </w:p>
    <w:p w:rsidR="002011A3" w:rsidRPr="00C470CD" w:rsidRDefault="002011A3" w:rsidP="002011A3">
      <w:pPr>
        <w:rPr>
          <w:rFonts w:ascii="Times New Roman" w:eastAsia="Times New Roman" w:hAnsi="Times New Roman" w:cs="Times New Roman"/>
          <w:color w:val="000000" w:themeColor="text1"/>
          <w:lang w:eastAsia="es-ES_tradnl"/>
        </w:rPr>
      </w:pPr>
    </w:p>
    <w:p w:rsidR="00DF66D8" w:rsidRPr="00C470CD" w:rsidRDefault="00DF66D8" w:rsidP="008315BF">
      <w:pPr>
        <w:jc w:val="both"/>
        <w:rPr>
          <w:rFonts w:ascii="Times New Roman" w:eastAsia="Times New Roman" w:hAnsi="Times New Roman" w:cs="Times New Roman"/>
          <w:color w:val="000000" w:themeColor="text1"/>
          <w:lang w:eastAsia="es-ES_tradnl"/>
        </w:rPr>
      </w:pPr>
      <w:r w:rsidRPr="00C470CD">
        <w:rPr>
          <w:rFonts w:ascii="Times New Roman" w:eastAsia="Times New Roman" w:hAnsi="Times New Roman" w:cs="Times New Roman"/>
          <w:color w:val="000000" w:themeColor="text1"/>
          <w:lang w:eastAsia="es-ES_tradnl"/>
        </w:rPr>
        <w:tab/>
      </w:r>
      <w:r w:rsidRPr="00C470CD">
        <w:rPr>
          <w:rFonts w:ascii="Arial" w:eastAsia="Times New Roman" w:hAnsi="Arial" w:cs="Arial"/>
          <w:color w:val="000000" w:themeColor="text1"/>
          <w:lang w:eastAsia="es-ES_tradnl"/>
        </w:rPr>
        <w:t xml:space="preserve">La presente moción propone </w:t>
      </w:r>
      <w:r w:rsidR="00C470CD" w:rsidRPr="00C470CD">
        <w:rPr>
          <w:rFonts w:ascii="Arial" w:eastAsia="Times New Roman" w:hAnsi="Arial" w:cs="Arial"/>
          <w:color w:val="000000" w:themeColor="text1"/>
          <w:lang w:eastAsia="es-ES_tradnl"/>
        </w:rPr>
        <w:t>una interpretación</w:t>
      </w:r>
      <w:r w:rsidRPr="00C470CD">
        <w:rPr>
          <w:rFonts w:ascii="Arial" w:eastAsia="Times New Roman" w:hAnsi="Arial" w:cs="Arial"/>
          <w:color w:val="000000" w:themeColor="text1"/>
          <w:lang w:eastAsia="es-ES_tradnl"/>
        </w:rPr>
        <w:t xml:space="preserve"> </w:t>
      </w:r>
      <w:r w:rsidR="00C470CD" w:rsidRPr="00C470CD">
        <w:rPr>
          <w:rFonts w:ascii="Arial" w:eastAsia="Times New Roman" w:hAnsi="Arial" w:cs="Arial"/>
          <w:color w:val="000000" w:themeColor="text1"/>
          <w:lang w:eastAsia="es-ES_tradnl"/>
        </w:rPr>
        <w:t>d</w:t>
      </w:r>
      <w:r w:rsidRPr="00C470CD">
        <w:rPr>
          <w:rFonts w:ascii="Arial" w:eastAsia="Times New Roman" w:hAnsi="Arial" w:cs="Arial"/>
          <w:color w:val="000000" w:themeColor="text1"/>
          <w:lang w:eastAsia="es-ES_tradnl"/>
        </w:rPr>
        <w:t>el Artículo 485 del Código del Trabajo en el sentido de entender incorporada al ámbito de protección de la acción de tutelada</w:t>
      </w:r>
      <w:r w:rsidR="00C470CD" w:rsidRPr="00C470CD">
        <w:rPr>
          <w:rFonts w:ascii="Arial" w:eastAsia="Times New Roman" w:hAnsi="Arial" w:cs="Arial"/>
          <w:color w:val="000000" w:themeColor="text1"/>
          <w:lang w:eastAsia="es-ES_tradnl"/>
        </w:rPr>
        <w:t>,</w:t>
      </w:r>
      <w:r w:rsidRPr="00C470CD">
        <w:rPr>
          <w:rFonts w:ascii="Arial" w:eastAsia="Times New Roman" w:hAnsi="Arial" w:cs="Arial"/>
          <w:color w:val="000000" w:themeColor="text1"/>
          <w:lang w:eastAsia="es-ES_tradnl"/>
        </w:rPr>
        <w:t xml:space="preserve"> regulado por dicha norma a aquellos trabajadores prestadores de servicios en el ámbito de la administración pública</w:t>
      </w:r>
      <w:r w:rsidR="00C470CD" w:rsidRPr="00C470CD">
        <w:rPr>
          <w:rFonts w:ascii="Arial" w:eastAsia="Times New Roman" w:hAnsi="Arial" w:cs="Arial"/>
          <w:color w:val="000000" w:themeColor="text1"/>
          <w:lang w:eastAsia="es-ES_tradnl"/>
        </w:rPr>
        <w:t>,</w:t>
      </w:r>
      <w:r w:rsidRPr="00C470CD">
        <w:rPr>
          <w:rFonts w:ascii="Arial" w:eastAsia="Times New Roman" w:hAnsi="Arial" w:cs="Arial"/>
          <w:color w:val="000000" w:themeColor="text1"/>
          <w:lang w:eastAsia="es-ES_tradnl"/>
        </w:rPr>
        <w:t xml:space="preserve"> que puedan verse expuestos a conculc</w:t>
      </w:r>
      <w:r w:rsidR="00C470CD" w:rsidRPr="00C470CD">
        <w:rPr>
          <w:rFonts w:ascii="Arial" w:eastAsia="Times New Roman" w:hAnsi="Arial" w:cs="Arial"/>
          <w:color w:val="000000" w:themeColor="text1"/>
          <w:lang w:eastAsia="es-ES_tradnl"/>
        </w:rPr>
        <w:t>ac</w:t>
      </w:r>
      <w:r w:rsidRPr="00C470CD">
        <w:rPr>
          <w:rFonts w:ascii="Arial" w:eastAsia="Times New Roman" w:hAnsi="Arial" w:cs="Arial"/>
          <w:color w:val="000000" w:themeColor="text1"/>
          <w:lang w:eastAsia="es-ES_tradnl"/>
        </w:rPr>
        <w:t>iones de sus derechos fundamentales garantizados en la Constitución Política de la República.</w:t>
      </w:r>
    </w:p>
    <w:p w:rsidR="00DF66D8" w:rsidRPr="00C470CD" w:rsidRDefault="00DF66D8" w:rsidP="00610C1F">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 xml:space="preserve">Nos parece de toda justicia garantizar el acceso a esta acción de tutela a todo aquél que preste servicios en condiciones de subordinación y dependencia toda vez que no existe fundamento legal o ético-jurídico que </w:t>
      </w:r>
      <w:r w:rsidR="00C470CD" w:rsidRPr="00C470CD">
        <w:rPr>
          <w:rFonts w:ascii="Arial" w:eastAsia="Times New Roman" w:hAnsi="Arial" w:cs="Arial"/>
          <w:color w:val="000000" w:themeColor="text1"/>
          <w:lang w:eastAsia="es-ES_tradnl"/>
        </w:rPr>
        <w:t>justifique</w:t>
      </w:r>
      <w:r w:rsidRPr="00C470CD">
        <w:rPr>
          <w:rFonts w:ascii="Arial" w:eastAsia="Times New Roman" w:hAnsi="Arial" w:cs="Arial"/>
          <w:color w:val="000000" w:themeColor="text1"/>
          <w:lang w:eastAsia="es-ES_tradnl"/>
        </w:rPr>
        <w:t xml:space="preserve"> un criterio distinto. Lo anterior también tiene por objetivo reforzar la idoneidad de esta acción tutelar, en específico, por sobre otras acciones de las que dispone el ordenamiento jurídico (acción de protección o actuación administrativa ante la Contraloría General de la República) que, como se verá, no gozan del mismo nivel de efectividad y eficacia de la que provee la legislación ordinaria.  </w:t>
      </w:r>
    </w:p>
    <w:p w:rsidR="00C765EA" w:rsidRPr="00C470CD" w:rsidRDefault="00C765EA" w:rsidP="00610C1F">
      <w:pPr>
        <w:ind w:firstLine="708"/>
        <w:jc w:val="both"/>
        <w:rPr>
          <w:rFonts w:ascii="Arial" w:eastAsia="Times New Roman" w:hAnsi="Arial" w:cs="Arial"/>
          <w:color w:val="000000" w:themeColor="text1"/>
          <w:lang w:eastAsia="es-ES_tradnl"/>
        </w:rPr>
      </w:pPr>
    </w:p>
    <w:p w:rsidR="00C765EA" w:rsidRPr="00C470CD" w:rsidRDefault="00C765EA" w:rsidP="00C765EA">
      <w:pPr>
        <w:pStyle w:val="Prrafodelista"/>
        <w:numPr>
          <w:ilvl w:val="0"/>
          <w:numId w:val="1"/>
        </w:numPr>
        <w:jc w:val="both"/>
        <w:rPr>
          <w:rFonts w:ascii="Arial" w:eastAsia="Times New Roman" w:hAnsi="Arial" w:cs="Arial"/>
          <w:b/>
          <w:color w:val="000000" w:themeColor="text1"/>
          <w:lang w:eastAsia="es-ES_tradnl"/>
        </w:rPr>
      </w:pPr>
      <w:r w:rsidRPr="00C470CD">
        <w:rPr>
          <w:rFonts w:ascii="Arial" w:eastAsia="Times New Roman" w:hAnsi="Arial" w:cs="Arial"/>
          <w:b/>
          <w:color w:val="000000" w:themeColor="text1"/>
          <w:lang w:eastAsia="es-ES_tradnl"/>
        </w:rPr>
        <w:t>El fallo del Tribunal Constitucional</w:t>
      </w:r>
    </w:p>
    <w:p w:rsidR="00C765EA" w:rsidRPr="00C470CD" w:rsidRDefault="00C765EA" w:rsidP="00C765EA">
      <w:pPr>
        <w:jc w:val="both"/>
        <w:rPr>
          <w:rFonts w:ascii="Arial" w:eastAsia="Times New Roman" w:hAnsi="Arial" w:cs="Arial"/>
          <w:color w:val="000000" w:themeColor="text1"/>
          <w:lang w:eastAsia="es-ES_tradnl"/>
        </w:rPr>
      </w:pPr>
    </w:p>
    <w:p w:rsidR="00425425" w:rsidRPr="00C470CD" w:rsidRDefault="00DF66D8" w:rsidP="00610C1F">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Nos vemos motivados a presentar esta moción en virtud de la sentencia dictada con</w:t>
      </w:r>
      <w:r w:rsidR="00D4335F" w:rsidRPr="00C470CD">
        <w:rPr>
          <w:rFonts w:ascii="Arial" w:eastAsia="Times New Roman" w:hAnsi="Arial" w:cs="Arial"/>
          <w:color w:val="000000" w:themeColor="text1"/>
          <w:lang w:eastAsia="es-ES_tradnl"/>
        </w:rPr>
        <w:t xml:space="preserve"> fecha 6 de diciembre del año 2018, e</w:t>
      </w:r>
      <w:r w:rsidRPr="00C470CD">
        <w:rPr>
          <w:rFonts w:ascii="Arial" w:eastAsia="Times New Roman" w:hAnsi="Arial" w:cs="Arial"/>
          <w:color w:val="000000" w:themeColor="text1"/>
          <w:lang w:eastAsia="es-ES_tradnl"/>
        </w:rPr>
        <w:t>n la cual el</w:t>
      </w:r>
      <w:r w:rsidR="00D4335F" w:rsidRPr="00C470CD">
        <w:rPr>
          <w:rFonts w:ascii="Arial" w:eastAsia="Times New Roman" w:hAnsi="Arial" w:cs="Arial"/>
          <w:color w:val="000000" w:themeColor="text1"/>
          <w:lang w:eastAsia="es-ES_tradnl"/>
        </w:rPr>
        <w:t xml:space="preserve"> Tribunal Constitucional </w:t>
      </w:r>
      <w:r w:rsidRPr="00C470CD">
        <w:rPr>
          <w:rFonts w:ascii="Arial" w:eastAsia="Times New Roman" w:hAnsi="Arial" w:cs="Arial"/>
          <w:color w:val="000000" w:themeColor="text1"/>
          <w:lang w:eastAsia="es-ES_tradnl"/>
        </w:rPr>
        <w:t>acogió</w:t>
      </w:r>
      <w:r w:rsidR="00D4335F" w:rsidRPr="00C470CD">
        <w:rPr>
          <w:rFonts w:ascii="Arial" w:eastAsia="Times New Roman" w:hAnsi="Arial" w:cs="Arial"/>
          <w:color w:val="000000" w:themeColor="text1"/>
          <w:lang w:eastAsia="es-ES_tradnl"/>
        </w:rPr>
        <w:t xml:space="preserve"> un requerimiento de declaración de inaplicabilidad por inconstitucionalidad, a propósito de la posibilidad de comprender dentro de la esfera de competencia de los Juzgado</w:t>
      </w:r>
      <w:r w:rsidR="008210A0" w:rsidRPr="00C470CD">
        <w:rPr>
          <w:rFonts w:ascii="Arial" w:eastAsia="Times New Roman" w:hAnsi="Arial" w:cs="Arial"/>
          <w:color w:val="000000" w:themeColor="text1"/>
          <w:lang w:eastAsia="es-ES_tradnl"/>
        </w:rPr>
        <w:t>s</w:t>
      </w:r>
      <w:r w:rsidR="00D4335F" w:rsidRPr="00C470CD">
        <w:rPr>
          <w:rFonts w:ascii="Arial" w:eastAsia="Times New Roman" w:hAnsi="Arial" w:cs="Arial"/>
          <w:color w:val="000000" w:themeColor="text1"/>
          <w:lang w:eastAsia="es-ES_tradnl"/>
        </w:rPr>
        <w:t xml:space="preserve"> del Trabajo a aquellas solicitudes de tutela de derechos fundamentales que sean incoadas por funcionarios públicos. Este requerimiento a la justicia constitucional tuvo por ocasión el recurso de unificación de jurisprudencia que pende en la Corte Suprema, al alero del Rol 37.905-2017, caratulado “Navarrete Jaque </w:t>
      </w:r>
      <w:proofErr w:type="spellStart"/>
      <w:r w:rsidR="00D4335F" w:rsidRPr="00C470CD">
        <w:rPr>
          <w:rFonts w:ascii="Arial" w:eastAsia="Times New Roman" w:hAnsi="Arial" w:cs="Arial"/>
          <w:color w:val="000000" w:themeColor="text1"/>
          <w:lang w:eastAsia="es-ES_tradnl"/>
        </w:rPr>
        <w:t>Marvy</w:t>
      </w:r>
      <w:proofErr w:type="spellEnd"/>
      <w:r w:rsidR="00D4335F" w:rsidRPr="00C470CD">
        <w:rPr>
          <w:rFonts w:ascii="Arial" w:eastAsia="Times New Roman" w:hAnsi="Arial" w:cs="Arial"/>
          <w:color w:val="000000" w:themeColor="text1"/>
          <w:lang w:eastAsia="es-ES_tradnl"/>
        </w:rPr>
        <w:t xml:space="preserve"> con Ilustre Municipalidad de San Miguel”.</w:t>
      </w:r>
      <w:r w:rsidR="00610C1F" w:rsidRPr="00C470CD">
        <w:rPr>
          <w:rFonts w:ascii="Arial" w:eastAsia="Times New Roman" w:hAnsi="Arial" w:cs="Arial"/>
          <w:color w:val="000000" w:themeColor="text1"/>
          <w:lang w:eastAsia="es-ES_tradnl"/>
        </w:rPr>
        <w:tab/>
      </w:r>
    </w:p>
    <w:p w:rsidR="00425425" w:rsidRPr="00C470CD" w:rsidRDefault="00D4335F" w:rsidP="00610C1F">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 xml:space="preserve">El origen de esta petición radica en la </w:t>
      </w:r>
      <w:r w:rsidR="008210A0" w:rsidRPr="00C470CD">
        <w:rPr>
          <w:rFonts w:ascii="Arial" w:eastAsia="Times New Roman" w:hAnsi="Arial" w:cs="Arial"/>
          <w:color w:val="000000" w:themeColor="text1"/>
          <w:lang w:eastAsia="es-ES_tradnl"/>
        </w:rPr>
        <w:t xml:space="preserve">solicitud de una trabajadora de la Ilustre Municipalidad de San Miguel </w:t>
      </w:r>
      <w:r w:rsidR="00F737F9" w:rsidRPr="00C470CD">
        <w:rPr>
          <w:rFonts w:ascii="Arial" w:eastAsia="Times New Roman" w:hAnsi="Arial" w:cs="Arial"/>
          <w:color w:val="000000" w:themeColor="text1"/>
          <w:lang w:eastAsia="es-ES_tradnl"/>
        </w:rPr>
        <w:t>quien re</w:t>
      </w:r>
      <w:r w:rsidR="00425425" w:rsidRPr="00C470CD">
        <w:rPr>
          <w:rFonts w:ascii="Arial" w:eastAsia="Times New Roman" w:hAnsi="Arial" w:cs="Arial"/>
          <w:color w:val="000000" w:themeColor="text1"/>
          <w:lang w:eastAsia="es-ES_tradnl"/>
        </w:rPr>
        <w:t>currió</w:t>
      </w:r>
      <w:r w:rsidR="00F737F9" w:rsidRPr="00C470CD">
        <w:rPr>
          <w:rFonts w:ascii="Arial" w:eastAsia="Times New Roman" w:hAnsi="Arial" w:cs="Arial"/>
          <w:color w:val="000000" w:themeColor="text1"/>
          <w:lang w:eastAsia="es-ES_tradnl"/>
        </w:rPr>
        <w:t xml:space="preserve"> </w:t>
      </w:r>
      <w:r w:rsidR="00425425" w:rsidRPr="00C470CD">
        <w:rPr>
          <w:rFonts w:ascii="Arial" w:eastAsia="Times New Roman" w:hAnsi="Arial" w:cs="Arial"/>
          <w:color w:val="000000" w:themeColor="text1"/>
          <w:lang w:eastAsia="es-ES_tradnl"/>
        </w:rPr>
        <w:t xml:space="preserve">a instancia judicial para la tutela de sus derechos fundamentales que consideró vulnerados, en particular, por haber sido despedida por su opinión política. El tribunal a quo acogió en lo pertinente la solicitud, siendo ratificada por la Ilustrísima Corte de Apelaciones de San Miguel en orden a rechazar el recurso de nulidad impetrado contra la sentencia de instancia. Corolario de lo anterior, la demandada interpone recurso de unificación de jurisprudencia a la vez que solicita al Tribunal Constitucional la declaración de </w:t>
      </w:r>
      <w:proofErr w:type="spellStart"/>
      <w:r w:rsidR="00425425" w:rsidRPr="00C470CD">
        <w:rPr>
          <w:rFonts w:ascii="Arial" w:eastAsia="Times New Roman" w:hAnsi="Arial" w:cs="Arial"/>
          <w:color w:val="000000" w:themeColor="text1"/>
          <w:lang w:eastAsia="es-ES_tradnl"/>
        </w:rPr>
        <w:t>inaplicablidad</w:t>
      </w:r>
      <w:proofErr w:type="spellEnd"/>
      <w:r w:rsidR="00425425" w:rsidRPr="00C470CD">
        <w:rPr>
          <w:rFonts w:ascii="Arial" w:eastAsia="Times New Roman" w:hAnsi="Arial" w:cs="Arial"/>
          <w:color w:val="000000" w:themeColor="text1"/>
          <w:lang w:eastAsia="es-ES_tradnl"/>
        </w:rPr>
        <w:t xml:space="preserve"> de las normas pertinentes (en particular, el inciso tercero el Articulo 1 del Código del Trabajo).</w:t>
      </w:r>
    </w:p>
    <w:p w:rsidR="00610C1F" w:rsidRPr="00C470CD" w:rsidRDefault="00610C1F" w:rsidP="00425425">
      <w:pPr>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ab/>
        <w:t xml:space="preserve">El periplo judicial descrito repuso en el debate público </w:t>
      </w:r>
      <w:r w:rsidRPr="00C470CD">
        <w:rPr>
          <w:rFonts w:ascii="Arial" w:eastAsia="Times New Roman" w:hAnsi="Arial" w:cs="Arial"/>
          <w:b/>
          <w:color w:val="000000" w:themeColor="text1"/>
          <w:lang w:eastAsia="es-ES_tradnl"/>
        </w:rPr>
        <w:t>el problema del alcance de la eficacia de la protección de los derechos fundamentales de los trabajadores</w:t>
      </w:r>
      <w:r w:rsidRPr="00C470CD">
        <w:rPr>
          <w:rFonts w:ascii="Arial" w:eastAsia="Times New Roman" w:hAnsi="Arial" w:cs="Arial"/>
          <w:color w:val="000000" w:themeColor="text1"/>
          <w:lang w:eastAsia="es-ES_tradnl"/>
        </w:rPr>
        <w:t>, sin importar la naturaleza o modalidad de su contrato y sin distinguir el carácter de su empleador. Puntualmente, ante la creciente tendencia de constitucionalizar</w:t>
      </w:r>
      <w:r w:rsidR="00652066" w:rsidRPr="00C470CD">
        <w:rPr>
          <w:rFonts w:ascii="Arial" w:eastAsia="Times New Roman" w:hAnsi="Arial" w:cs="Arial"/>
          <w:color w:val="000000" w:themeColor="text1"/>
          <w:lang w:eastAsia="es-ES_tradnl"/>
        </w:rPr>
        <w:t xml:space="preserve"> el conjunto</w:t>
      </w:r>
      <w:r w:rsidRPr="00C470CD">
        <w:rPr>
          <w:rFonts w:ascii="Arial" w:eastAsia="Times New Roman" w:hAnsi="Arial" w:cs="Arial"/>
          <w:color w:val="000000" w:themeColor="text1"/>
          <w:lang w:eastAsia="es-ES_tradnl"/>
        </w:rPr>
        <w:t xml:space="preserve"> </w:t>
      </w:r>
      <w:r w:rsidR="00652066" w:rsidRPr="00C470CD">
        <w:rPr>
          <w:rFonts w:ascii="Arial" w:eastAsia="Times New Roman" w:hAnsi="Arial" w:cs="Arial"/>
          <w:color w:val="000000" w:themeColor="text1"/>
          <w:lang w:eastAsia="es-ES_tradnl"/>
        </w:rPr>
        <w:t>d</w:t>
      </w:r>
      <w:r w:rsidRPr="00C470CD">
        <w:rPr>
          <w:rFonts w:ascii="Arial" w:eastAsia="Times New Roman" w:hAnsi="Arial" w:cs="Arial"/>
          <w:color w:val="000000" w:themeColor="text1"/>
          <w:lang w:eastAsia="es-ES_tradnl"/>
        </w:rPr>
        <w:t xml:space="preserve">el ordenamiento jurídico, en armonía con la tendencia del derecho comparado de colocar cada vez estándares más elevados de </w:t>
      </w:r>
      <w:r w:rsidRPr="00C470CD">
        <w:rPr>
          <w:rFonts w:ascii="Arial" w:eastAsia="Times New Roman" w:hAnsi="Arial" w:cs="Arial"/>
          <w:color w:val="000000" w:themeColor="text1"/>
          <w:lang w:eastAsia="es-ES_tradnl"/>
        </w:rPr>
        <w:lastRenderedPageBreak/>
        <w:t>protección de los derechos de las personas, en tanto miembros de una comunidad política, es que han entrado en escena los derechos de los trabajadores, ya no solo como contrapartes de la relación prestacional, sino en tanto miembros de dicha comunidad, es decir, como ciudadanos.</w:t>
      </w:r>
    </w:p>
    <w:p w:rsidR="00C470CD" w:rsidRPr="00C470CD" w:rsidRDefault="002011A3" w:rsidP="00425425">
      <w:pPr>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 xml:space="preserve"> </w:t>
      </w:r>
      <w:r w:rsidR="00610C1F" w:rsidRPr="00C470CD">
        <w:rPr>
          <w:rFonts w:ascii="Arial" w:eastAsia="Times New Roman" w:hAnsi="Arial" w:cs="Arial"/>
          <w:color w:val="000000" w:themeColor="text1"/>
          <w:lang w:eastAsia="es-ES_tradnl"/>
        </w:rPr>
        <w:tab/>
      </w:r>
      <w:r w:rsidR="00652066" w:rsidRPr="00C470CD">
        <w:rPr>
          <w:rFonts w:ascii="Arial" w:eastAsia="Times New Roman" w:hAnsi="Arial" w:cs="Arial"/>
          <w:color w:val="000000" w:themeColor="text1"/>
          <w:lang w:eastAsia="es-ES_tradnl"/>
        </w:rPr>
        <w:t xml:space="preserve">En esa línea, nos parece que el voto de minoría del Tribunal Constitucional en el caso antes </w:t>
      </w:r>
      <w:r w:rsidR="007567E7" w:rsidRPr="00C470CD">
        <w:rPr>
          <w:rFonts w:ascii="Arial" w:eastAsia="Times New Roman" w:hAnsi="Arial" w:cs="Arial"/>
          <w:color w:val="000000" w:themeColor="text1"/>
          <w:lang w:eastAsia="es-ES_tradnl"/>
        </w:rPr>
        <w:t>citado</w:t>
      </w:r>
      <w:r w:rsidR="00652066" w:rsidRPr="00C470CD">
        <w:rPr>
          <w:rFonts w:ascii="Arial" w:eastAsia="Times New Roman" w:hAnsi="Arial" w:cs="Arial"/>
          <w:color w:val="000000" w:themeColor="text1"/>
          <w:lang w:eastAsia="es-ES_tradnl"/>
        </w:rPr>
        <w:t xml:space="preserve"> guarda coherencia con el razonamiento al que habían venido arribando nuestros tribunales superiores en orden </w:t>
      </w:r>
      <w:r w:rsidR="00652066" w:rsidRPr="00C470CD">
        <w:rPr>
          <w:rFonts w:ascii="Arial" w:eastAsia="Times New Roman" w:hAnsi="Arial" w:cs="Arial"/>
          <w:b/>
          <w:color w:val="000000" w:themeColor="text1"/>
          <w:lang w:eastAsia="es-ES_tradnl"/>
        </w:rPr>
        <w:t>a hacer omnicomprensiva</w:t>
      </w:r>
      <w:r w:rsidR="00C6675A" w:rsidRPr="00C470CD">
        <w:rPr>
          <w:rFonts w:ascii="Arial" w:eastAsia="Times New Roman" w:hAnsi="Arial" w:cs="Arial"/>
          <w:b/>
          <w:color w:val="000000" w:themeColor="text1"/>
          <w:lang w:eastAsia="es-ES_tradnl"/>
        </w:rPr>
        <w:t xml:space="preserve"> </w:t>
      </w:r>
      <w:r w:rsidR="00652066" w:rsidRPr="00C470CD">
        <w:rPr>
          <w:rFonts w:ascii="Arial" w:eastAsia="Times New Roman" w:hAnsi="Arial" w:cs="Arial"/>
          <w:b/>
          <w:color w:val="000000" w:themeColor="text1"/>
          <w:lang w:eastAsia="es-ES_tradnl"/>
        </w:rPr>
        <w:t xml:space="preserve">tanto </w:t>
      </w:r>
      <w:r w:rsidR="00C6675A" w:rsidRPr="00C470CD">
        <w:rPr>
          <w:rFonts w:ascii="Arial" w:eastAsia="Times New Roman" w:hAnsi="Arial" w:cs="Arial"/>
          <w:b/>
          <w:color w:val="000000" w:themeColor="text1"/>
          <w:lang w:eastAsia="es-ES_tradnl"/>
        </w:rPr>
        <w:t>a</w:t>
      </w:r>
      <w:r w:rsidR="00652066" w:rsidRPr="00C470CD">
        <w:rPr>
          <w:rFonts w:ascii="Arial" w:eastAsia="Times New Roman" w:hAnsi="Arial" w:cs="Arial"/>
          <w:b/>
          <w:color w:val="000000" w:themeColor="text1"/>
          <w:lang w:eastAsia="es-ES_tradnl"/>
        </w:rPr>
        <w:t xml:space="preserve"> trabajadores del régimen privado como</w:t>
      </w:r>
      <w:r w:rsidR="00C6675A" w:rsidRPr="00C470CD">
        <w:rPr>
          <w:rFonts w:ascii="Arial" w:eastAsia="Times New Roman" w:hAnsi="Arial" w:cs="Arial"/>
          <w:b/>
          <w:color w:val="000000" w:themeColor="text1"/>
          <w:lang w:eastAsia="es-ES_tradnl"/>
        </w:rPr>
        <w:t xml:space="preserve"> a</w:t>
      </w:r>
      <w:r w:rsidR="00652066" w:rsidRPr="00C470CD">
        <w:rPr>
          <w:rFonts w:ascii="Arial" w:eastAsia="Times New Roman" w:hAnsi="Arial" w:cs="Arial"/>
          <w:b/>
          <w:color w:val="000000" w:themeColor="text1"/>
          <w:lang w:eastAsia="es-ES_tradnl"/>
        </w:rPr>
        <w:t xml:space="preserve"> trabajadores del régimen públic</w:t>
      </w:r>
      <w:r w:rsidR="00C6675A" w:rsidRPr="00C470CD">
        <w:rPr>
          <w:rFonts w:ascii="Arial" w:eastAsia="Times New Roman" w:hAnsi="Arial" w:cs="Arial"/>
          <w:b/>
          <w:color w:val="000000" w:themeColor="text1"/>
          <w:lang w:eastAsia="es-ES_tradnl"/>
        </w:rPr>
        <w:t>o,</w:t>
      </w:r>
      <w:r w:rsidR="00652066" w:rsidRPr="00C470CD">
        <w:rPr>
          <w:rFonts w:ascii="Arial" w:eastAsia="Times New Roman" w:hAnsi="Arial" w:cs="Arial"/>
          <w:b/>
          <w:color w:val="000000" w:themeColor="text1"/>
          <w:lang w:eastAsia="es-ES_tradnl"/>
        </w:rPr>
        <w:t xml:space="preserve"> de aquellas garantías procesal-constitucionales </w:t>
      </w:r>
      <w:r w:rsidR="00C6675A" w:rsidRPr="00C470CD">
        <w:rPr>
          <w:rFonts w:ascii="Arial" w:eastAsia="Times New Roman" w:hAnsi="Arial" w:cs="Arial"/>
          <w:b/>
          <w:color w:val="000000" w:themeColor="text1"/>
          <w:lang w:eastAsia="es-ES_tradnl"/>
        </w:rPr>
        <w:t>como lo es</w:t>
      </w:r>
      <w:r w:rsidR="00652066" w:rsidRPr="00C470CD">
        <w:rPr>
          <w:rFonts w:ascii="Arial" w:eastAsia="Times New Roman" w:hAnsi="Arial" w:cs="Arial"/>
          <w:b/>
          <w:color w:val="000000" w:themeColor="text1"/>
          <w:lang w:eastAsia="es-ES_tradnl"/>
        </w:rPr>
        <w:t xml:space="preserve"> la acción de tutela</w:t>
      </w:r>
      <w:r w:rsidR="00652066" w:rsidRPr="00C470CD">
        <w:rPr>
          <w:rFonts w:ascii="Arial" w:eastAsia="Times New Roman" w:hAnsi="Arial" w:cs="Arial"/>
          <w:color w:val="000000" w:themeColor="text1"/>
          <w:lang w:eastAsia="es-ES_tradnl"/>
        </w:rPr>
        <w:t xml:space="preserve">. </w:t>
      </w:r>
    </w:p>
    <w:p w:rsidR="00CA65FE" w:rsidRDefault="00CA65FE" w:rsidP="00C470CD">
      <w:pPr>
        <w:ind w:firstLine="708"/>
        <w:jc w:val="both"/>
        <w:rPr>
          <w:rFonts w:ascii="Arial" w:eastAsia="Times New Roman" w:hAnsi="Arial" w:cs="Arial"/>
          <w:color w:val="000000" w:themeColor="text1"/>
          <w:lang w:eastAsia="es-ES_tradnl"/>
        </w:rPr>
      </w:pPr>
    </w:p>
    <w:p w:rsidR="00C6675A" w:rsidRPr="00C470CD" w:rsidRDefault="00652066" w:rsidP="00C470CD">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En efecto</w:t>
      </w:r>
      <w:r w:rsidR="00C6675A" w:rsidRPr="00C470CD">
        <w:rPr>
          <w:rFonts w:ascii="Arial" w:eastAsia="Times New Roman" w:hAnsi="Arial" w:cs="Arial"/>
          <w:color w:val="000000" w:themeColor="text1"/>
          <w:lang w:eastAsia="es-ES_tradnl"/>
        </w:rPr>
        <w:t>, los ministros disidentes,</w:t>
      </w:r>
      <w:r w:rsidR="00DF66D8" w:rsidRPr="00C470CD">
        <w:rPr>
          <w:rFonts w:ascii="Arial" w:eastAsia="Times New Roman" w:hAnsi="Arial" w:cs="Arial"/>
          <w:color w:val="000000" w:themeColor="text1"/>
          <w:lang w:eastAsia="es-ES_tradnl"/>
        </w:rPr>
        <w:t xml:space="preserve"> en el considerando 22,</w:t>
      </w:r>
      <w:r w:rsidR="00C6675A" w:rsidRPr="00C470CD">
        <w:rPr>
          <w:rFonts w:ascii="Arial" w:eastAsia="Times New Roman" w:hAnsi="Arial" w:cs="Arial"/>
          <w:color w:val="000000" w:themeColor="text1"/>
          <w:lang w:eastAsia="es-ES_tradnl"/>
        </w:rPr>
        <w:t xml:space="preserve"> tomando por base </w:t>
      </w:r>
      <w:r w:rsidR="00DF66D8" w:rsidRPr="00C470CD">
        <w:rPr>
          <w:rFonts w:ascii="Arial" w:eastAsia="Times New Roman" w:hAnsi="Arial" w:cs="Arial"/>
          <w:color w:val="000000" w:themeColor="text1"/>
          <w:lang w:eastAsia="es-ES_tradnl"/>
        </w:rPr>
        <w:t>criterios jurisprudenciales, argumentaron “</w:t>
      </w:r>
      <w:r w:rsidR="00C6675A" w:rsidRPr="00C470CD">
        <w:rPr>
          <w:rFonts w:ascii="Arial" w:eastAsia="Times New Roman" w:hAnsi="Arial" w:cs="Arial"/>
          <w:i/>
          <w:color w:val="000000" w:themeColor="text1"/>
          <w:lang w:eastAsia="es-ES_tradnl"/>
        </w:rPr>
        <w:t>que los derechos fundamentales están reconocidos a toda persona por la C</w:t>
      </w:r>
      <w:r w:rsidR="00654CB9">
        <w:rPr>
          <w:rFonts w:ascii="Arial" w:eastAsia="Times New Roman" w:hAnsi="Arial" w:cs="Arial"/>
          <w:i/>
          <w:color w:val="000000" w:themeColor="text1"/>
          <w:lang w:eastAsia="es-ES_tradnl"/>
        </w:rPr>
        <w:t>onstitución Política de la República</w:t>
      </w:r>
      <w:r w:rsidR="00C6675A" w:rsidRPr="00C470CD">
        <w:rPr>
          <w:rFonts w:ascii="Arial" w:eastAsia="Times New Roman" w:hAnsi="Arial" w:cs="Arial"/>
          <w:i/>
          <w:color w:val="000000" w:themeColor="text1"/>
          <w:lang w:eastAsia="es-ES_tradnl"/>
        </w:rPr>
        <w:t>, que jerárquicamente superior tanto al Código del Trabajo, como al Estatuto Administrativo, y demás normativa específica relativa a la administración pública, de modo que no parece coherente con el ordenamiento jurídic</w:t>
      </w:r>
      <w:r w:rsidR="00DF66D8" w:rsidRPr="00C470CD">
        <w:rPr>
          <w:rFonts w:ascii="Arial" w:eastAsia="Times New Roman" w:hAnsi="Arial" w:cs="Arial"/>
          <w:i/>
          <w:color w:val="000000" w:themeColor="text1"/>
          <w:lang w:eastAsia="es-ES_tradnl"/>
        </w:rPr>
        <w:t>o</w:t>
      </w:r>
      <w:r w:rsidR="00C6675A" w:rsidRPr="00C470CD">
        <w:rPr>
          <w:rFonts w:ascii="Arial" w:eastAsia="Times New Roman" w:hAnsi="Arial" w:cs="Arial"/>
          <w:i/>
          <w:color w:val="000000" w:themeColor="text1"/>
          <w:lang w:eastAsia="es-ES_tradnl"/>
        </w:rPr>
        <w:t xml:space="preserve"> excluir a trabajadores que se desempeñan en determinado sector de protección específica que otorga la acción de tutela</w:t>
      </w:r>
      <w:r w:rsidR="00DF66D8" w:rsidRPr="00C470CD">
        <w:rPr>
          <w:rFonts w:ascii="Arial" w:eastAsia="Times New Roman" w:hAnsi="Arial" w:cs="Arial"/>
          <w:color w:val="000000" w:themeColor="text1"/>
          <w:lang w:eastAsia="es-ES_tradnl"/>
        </w:rPr>
        <w:t>”. Por tanto, si dicho procedimiento se aplica a cuestiones suscitadas en la relación laboral, debe recordarse, conforme el voto de minoría, “</w:t>
      </w:r>
      <w:r w:rsidR="00C6675A" w:rsidRPr="00C470CD">
        <w:rPr>
          <w:rFonts w:ascii="Arial" w:eastAsia="Times New Roman" w:hAnsi="Arial" w:cs="Arial"/>
          <w:i/>
          <w:color w:val="000000" w:themeColor="text1"/>
          <w:lang w:eastAsia="es-ES_tradnl"/>
        </w:rPr>
        <w:t>que la relación funcionaria es también una de carácter laboral</w:t>
      </w:r>
      <w:r w:rsidR="00DF66D8" w:rsidRPr="00C470CD">
        <w:rPr>
          <w:rFonts w:ascii="Arial" w:eastAsia="Times New Roman" w:hAnsi="Arial" w:cs="Arial"/>
          <w:color w:val="000000" w:themeColor="text1"/>
          <w:lang w:eastAsia="es-ES_tradnl"/>
        </w:rPr>
        <w:t>”</w:t>
      </w:r>
      <w:r w:rsidR="00C6675A" w:rsidRPr="00C470CD">
        <w:rPr>
          <w:rFonts w:ascii="Arial" w:eastAsia="Times New Roman" w:hAnsi="Arial" w:cs="Arial"/>
          <w:color w:val="000000" w:themeColor="text1"/>
          <w:lang w:eastAsia="es-ES_tradnl"/>
        </w:rPr>
        <w:t xml:space="preserve">. </w:t>
      </w:r>
    </w:p>
    <w:p w:rsidR="002075CA" w:rsidRPr="00C470CD" w:rsidRDefault="002075CA" w:rsidP="00425425">
      <w:pPr>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ab/>
        <w:t xml:space="preserve">El fallo citado, discurriendo respecto de la competencia de los tribunales laborales, consideró en voto de mayoría que los trabajadores del régimen público gozaban de acciones tutelares de sus derechos, tales como la acción de protección contenida en el Artículo 20 de la Constitución o, aplicable al caso de marras, el Artículo 156 de la Ley 18.883 (Estatuto de los Funcionarios Municipales) que contempla la posibilidad de reclamar ante la Contraloría General de la República, cuando se produjeren vicios de legalidad que afectaren derechos contenidos en el respectivo estatuto. </w:t>
      </w:r>
    </w:p>
    <w:p w:rsidR="002075CA" w:rsidRPr="00C470CD" w:rsidRDefault="002075CA" w:rsidP="00425425">
      <w:pPr>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ab/>
        <w:t>Al respecto, cabe tener presente que tal y como se cita en el voto de minoría, tomando por base lo razonado por la Corte Suprema, “</w:t>
      </w:r>
      <w:r w:rsidRPr="00C470CD">
        <w:rPr>
          <w:rFonts w:ascii="Arial" w:eastAsia="Times New Roman" w:hAnsi="Arial" w:cs="Arial"/>
          <w:i/>
          <w:color w:val="000000" w:themeColor="text1"/>
          <w:lang w:eastAsia="es-ES_tradnl"/>
        </w:rPr>
        <w:t xml:space="preserve">el recurso de protección no es el medio adecuado para la tutela de fondo”. </w:t>
      </w:r>
      <w:r w:rsidRPr="00C470CD">
        <w:rPr>
          <w:rFonts w:ascii="Arial" w:eastAsia="Times New Roman" w:hAnsi="Arial" w:cs="Arial"/>
          <w:color w:val="000000" w:themeColor="text1"/>
          <w:lang w:eastAsia="es-ES_tradnl"/>
        </w:rPr>
        <w:t xml:space="preserve">La finalidad de esta acción, más que tutelar sustantivamente derechos vulnerados, </w:t>
      </w:r>
      <w:r w:rsidR="00C470CD" w:rsidRPr="00C470CD">
        <w:rPr>
          <w:rFonts w:ascii="Arial" w:eastAsia="Times New Roman" w:hAnsi="Arial" w:cs="Arial"/>
          <w:color w:val="000000" w:themeColor="text1"/>
          <w:lang w:eastAsia="es-ES_tradnl"/>
        </w:rPr>
        <w:t xml:space="preserve">es tender </w:t>
      </w:r>
      <w:r w:rsidRPr="00C470CD">
        <w:rPr>
          <w:rFonts w:ascii="Arial" w:eastAsia="Times New Roman" w:hAnsi="Arial" w:cs="Arial"/>
          <w:color w:val="000000" w:themeColor="text1"/>
          <w:lang w:eastAsia="es-ES_tradnl"/>
        </w:rPr>
        <w:t xml:space="preserve">a </w:t>
      </w:r>
      <w:r w:rsidR="00ED54FE" w:rsidRPr="00C470CD">
        <w:rPr>
          <w:rFonts w:ascii="Arial" w:eastAsia="Times New Roman" w:hAnsi="Arial" w:cs="Arial"/>
          <w:color w:val="000000" w:themeColor="text1"/>
          <w:lang w:eastAsia="es-ES_tradnl"/>
        </w:rPr>
        <w:t>reestablecer, por la vía de la emergencia y en forma sumari</w:t>
      </w:r>
      <w:r w:rsidR="00C470CD" w:rsidRPr="00C470CD">
        <w:rPr>
          <w:rFonts w:ascii="Arial" w:eastAsia="Times New Roman" w:hAnsi="Arial" w:cs="Arial"/>
          <w:color w:val="000000" w:themeColor="text1"/>
          <w:lang w:eastAsia="es-ES_tradnl"/>
        </w:rPr>
        <w:t>a</w:t>
      </w:r>
      <w:r w:rsidR="00ED54FE" w:rsidRPr="00C470CD">
        <w:rPr>
          <w:rFonts w:ascii="Arial" w:eastAsia="Times New Roman" w:hAnsi="Arial" w:cs="Arial"/>
          <w:color w:val="000000" w:themeColor="text1"/>
          <w:lang w:eastAsia="es-ES_tradnl"/>
        </w:rPr>
        <w:t>, el imperio del derecho con el objeto de “</w:t>
      </w:r>
      <w:r w:rsidR="00ED54FE" w:rsidRPr="00C470CD">
        <w:rPr>
          <w:rFonts w:ascii="Arial" w:eastAsia="Times New Roman" w:hAnsi="Arial" w:cs="Arial"/>
          <w:i/>
          <w:color w:val="000000" w:themeColor="text1"/>
          <w:lang w:eastAsia="es-ES_tradnl"/>
        </w:rPr>
        <w:t>garantizar el status quo</w:t>
      </w:r>
      <w:r w:rsidR="00C470CD" w:rsidRPr="00C470CD">
        <w:rPr>
          <w:rFonts w:ascii="Arial" w:eastAsia="Times New Roman" w:hAnsi="Arial" w:cs="Arial"/>
          <w:i/>
          <w:color w:val="000000" w:themeColor="text1"/>
          <w:lang w:eastAsia="es-ES_tradnl"/>
        </w:rPr>
        <w:t>,</w:t>
      </w:r>
      <w:r w:rsidR="00ED54FE" w:rsidRPr="00C470CD">
        <w:rPr>
          <w:rFonts w:ascii="Arial" w:eastAsia="Times New Roman" w:hAnsi="Arial" w:cs="Arial"/>
          <w:i/>
          <w:color w:val="000000" w:themeColor="text1"/>
          <w:lang w:eastAsia="es-ES_tradnl"/>
        </w:rPr>
        <w:t xml:space="preserve"> proscribiendo la autotutela</w:t>
      </w:r>
      <w:r w:rsidR="00ED54FE" w:rsidRPr="00C470CD">
        <w:rPr>
          <w:rFonts w:ascii="Arial" w:eastAsia="Times New Roman" w:hAnsi="Arial" w:cs="Arial"/>
          <w:color w:val="000000" w:themeColor="text1"/>
          <w:lang w:eastAsia="es-ES_tradnl"/>
        </w:rPr>
        <w:t>”, siendo útil</w:t>
      </w:r>
      <w:r w:rsidR="00C470CD" w:rsidRPr="00C470CD">
        <w:rPr>
          <w:rFonts w:ascii="Arial" w:eastAsia="Times New Roman" w:hAnsi="Arial" w:cs="Arial"/>
          <w:color w:val="000000" w:themeColor="text1"/>
          <w:lang w:eastAsia="es-ES_tradnl"/>
        </w:rPr>
        <w:t xml:space="preserve"> esta acción</w:t>
      </w:r>
      <w:r w:rsidR="00ED54FE" w:rsidRPr="00C470CD">
        <w:rPr>
          <w:rFonts w:ascii="Arial" w:eastAsia="Times New Roman" w:hAnsi="Arial" w:cs="Arial"/>
          <w:color w:val="000000" w:themeColor="text1"/>
          <w:lang w:eastAsia="es-ES_tradnl"/>
        </w:rPr>
        <w:t xml:space="preserve"> en este reducido cometido, dejando intactas “</w:t>
      </w:r>
      <w:r w:rsidR="00ED54FE" w:rsidRPr="00C470CD">
        <w:rPr>
          <w:rFonts w:ascii="Arial" w:eastAsia="Times New Roman" w:hAnsi="Arial" w:cs="Arial"/>
          <w:b/>
          <w:i/>
          <w:color w:val="000000" w:themeColor="text1"/>
          <w:lang w:eastAsia="es-ES_tradnl"/>
        </w:rPr>
        <w:t>la interposición de una acción de plena cognición, como si provee el procedimiento laboral ordinario</w:t>
      </w:r>
      <w:r w:rsidR="00ED54FE" w:rsidRPr="00C470CD">
        <w:rPr>
          <w:rFonts w:ascii="Arial" w:eastAsia="Times New Roman" w:hAnsi="Arial" w:cs="Arial"/>
          <w:color w:val="000000" w:themeColor="text1"/>
          <w:lang w:eastAsia="es-ES_tradnl"/>
        </w:rPr>
        <w:t>”, garantizando la tutela efectiva de dichos derechos.</w:t>
      </w:r>
    </w:p>
    <w:p w:rsidR="00C470CD" w:rsidRPr="00C470CD" w:rsidRDefault="00ED54FE" w:rsidP="00ED54FE">
      <w:pPr>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ab/>
        <w:t xml:space="preserve">A su turno, la acción administrativa ante </w:t>
      </w:r>
      <w:r w:rsidR="00C765EA" w:rsidRPr="00C470CD">
        <w:rPr>
          <w:rFonts w:ascii="Arial" w:eastAsia="Times New Roman" w:hAnsi="Arial" w:cs="Arial"/>
          <w:color w:val="000000" w:themeColor="text1"/>
          <w:lang w:eastAsia="es-ES_tradnl"/>
        </w:rPr>
        <w:t>la</w:t>
      </w:r>
      <w:r w:rsidRPr="00C470CD">
        <w:rPr>
          <w:rFonts w:ascii="Arial" w:eastAsia="Times New Roman" w:hAnsi="Arial" w:cs="Arial"/>
          <w:color w:val="000000" w:themeColor="text1"/>
          <w:lang w:eastAsia="es-ES_tradnl"/>
        </w:rPr>
        <w:t xml:space="preserve"> Contralor</w:t>
      </w:r>
      <w:r w:rsidR="00C765EA" w:rsidRPr="00C470CD">
        <w:rPr>
          <w:rFonts w:ascii="Arial" w:eastAsia="Times New Roman" w:hAnsi="Arial" w:cs="Arial"/>
          <w:color w:val="000000" w:themeColor="text1"/>
          <w:lang w:eastAsia="es-ES_tradnl"/>
        </w:rPr>
        <w:t>ía</w:t>
      </w:r>
      <w:r w:rsidRPr="00C470CD">
        <w:rPr>
          <w:rFonts w:ascii="Arial" w:eastAsia="Times New Roman" w:hAnsi="Arial" w:cs="Arial"/>
          <w:color w:val="000000" w:themeColor="text1"/>
          <w:lang w:eastAsia="es-ES_tradnl"/>
        </w:rPr>
        <w:t xml:space="preserve"> General de la República debe ser sopesada a la luz de sus atribuciones; a saber, </w:t>
      </w:r>
      <w:r w:rsidRPr="00C470CD">
        <w:rPr>
          <w:rFonts w:ascii="Arial" w:eastAsia="Times New Roman" w:hAnsi="Arial" w:cs="Arial"/>
          <w:b/>
          <w:color w:val="000000" w:themeColor="text1"/>
          <w:lang w:eastAsia="es-ES_tradnl"/>
        </w:rPr>
        <w:t>el Contra</w:t>
      </w:r>
      <w:r w:rsidR="00C765EA" w:rsidRPr="00C470CD">
        <w:rPr>
          <w:rFonts w:ascii="Arial" w:eastAsia="Times New Roman" w:hAnsi="Arial" w:cs="Arial"/>
          <w:b/>
          <w:color w:val="000000" w:themeColor="text1"/>
          <w:lang w:eastAsia="es-ES_tradnl"/>
        </w:rPr>
        <w:t>l</w:t>
      </w:r>
      <w:r w:rsidRPr="00C470CD">
        <w:rPr>
          <w:rFonts w:ascii="Arial" w:eastAsia="Times New Roman" w:hAnsi="Arial" w:cs="Arial"/>
          <w:b/>
          <w:color w:val="000000" w:themeColor="text1"/>
          <w:lang w:eastAsia="es-ES_tradnl"/>
        </w:rPr>
        <w:t>or no se encuentra facultado para pronunciarse sobre los presupuestos fácticos de la vulneración de derechos</w:t>
      </w:r>
      <w:r w:rsidRPr="00C470CD">
        <w:rPr>
          <w:rFonts w:ascii="Arial" w:eastAsia="Times New Roman" w:hAnsi="Arial" w:cs="Arial"/>
          <w:color w:val="000000" w:themeColor="text1"/>
          <w:lang w:eastAsia="es-ES_tradnl"/>
        </w:rPr>
        <w:t xml:space="preserve">, sino más bien, como dice el citado Artículo 156 del Estatuto de Funcionarios Municipales, se la habilita para evidenciar vicios de legalidad, los cuales no alcanzan a evaluar los aspectos de mérito, constatando simplemente si acaso la autoridad cometió alguna ilegalidad en el uso de potestades </w:t>
      </w:r>
      <w:r w:rsidR="00C765EA" w:rsidRPr="00C470CD">
        <w:rPr>
          <w:rFonts w:ascii="Arial" w:eastAsia="Times New Roman" w:hAnsi="Arial" w:cs="Arial"/>
          <w:color w:val="000000" w:themeColor="text1"/>
          <w:lang w:eastAsia="es-ES_tradnl"/>
        </w:rPr>
        <w:t>discrecionales</w:t>
      </w:r>
      <w:r w:rsidRPr="00C470CD">
        <w:rPr>
          <w:rFonts w:ascii="Arial" w:eastAsia="Times New Roman" w:hAnsi="Arial" w:cs="Arial"/>
          <w:color w:val="000000" w:themeColor="text1"/>
          <w:lang w:eastAsia="es-ES_tradnl"/>
        </w:rPr>
        <w:t xml:space="preserve"> y no si ejerciéndolas vulnera</w:t>
      </w:r>
      <w:r w:rsidR="00C765EA" w:rsidRPr="00C470CD">
        <w:rPr>
          <w:rFonts w:ascii="Arial" w:eastAsia="Times New Roman" w:hAnsi="Arial" w:cs="Arial"/>
          <w:color w:val="000000" w:themeColor="text1"/>
          <w:lang w:eastAsia="es-ES_tradnl"/>
        </w:rPr>
        <w:t xml:space="preserve"> o no</w:t>
      </w:r>
      <w:r w:rsidR="00C470CD" w:rsidRPr="00C470CD">
        <w:rPr>
          <w:rFonts w:ascii="Arial" w:eastAsia="Times New Roman" w:hAnsi="Arial" w:cs="Arial"/>
          <w:color w:val="000000" w:themeColor="text1"/>
          <w:lang w:eastAsia="es-ES_tradnl"/>
        </w:rPr>
        <w:t>,</w:t>
      </w:r>
      <w:r w:rsidRPr="00C470CD">
        <w:rPr>
          <w:rFonts w:ascii="Arial" w:eastAsia="Times New Roman" w:hAnsi="Arial" w:cs="Arial"/>
          <w:color w:val="000000" w:themeColor="text1"/>
          <w:lang w:eastAsia="es-ES_tradnl"/>
        </w:rPr>
        <w:t xml:space="preserve"> derechos fundamentales. La mentada sentencia, en su considerando 22, corrobora el razonamiento anterior al hacer suyo el argumento según el cual </w:t>
      </w:r>
      <w:r w:rsidR="00C6675A" w:rsidRPr="00C470CD">
        <w:rPr>
          <w:rFonts w:ascii="Arial" w:eastAsia="Times New Roman" w:hAnsi="Arial" w:cs="Arial"/>
          <w:color w:val="000000" w:themeColor="text1"/>
          <w:lang w:eastAsia="es-ES_tradnl"/>
        </w:rPr>
        <w:t>“</w:t>
      </w:r>
      <w:r w:rsidR="00C6675A" w:rsidRPr="00C470CD">
        <w:rPr>
          <w:rFonts w:ascii="Arial" w:eastAsia="Times New Roman" w:hAnsi="Arial" w:cs="Arial"/>
          <w:i/>
          <w:color w:val="000000" w:themeColor="text1"/>
          <w:lang w:eastAsia="es-ES_tradnl"/>
        </w:rPr>
        <w:t xml:space="preserve">la existencia de arbitrios administrativos </w:t>
      </w:r>
      <w:r w:rsidR="00C6675A" w:rsidRPr="00C470CD">
        <w:rPr>
          <w:rFonts w:ascii="Arial" w:eastAsia="Times New Roman" w:hAnsi="Arial" w:cs="Arial"/>
          <w:i/>
          <w:color w:val="000000" w:themeColor="text1"/>
          <w:lang w:eastAsia="es-ES_tradnl"/>
        </w:rPr>
        <w:lastRenderedPageBreak/>
        <w:t xml:space="preserve">útiles para reclamar de situaciones de </w:t>
      </w:r>
      <w:r w:rsidR="0055486D" w:rsidRPr="00C470CD">
        <w:rPr>
          <w:rFonts w:ascii="Arial" w:eastAsia="Times New Roman" w:hAnsi="Arial" w:cs="Arial"/>
          <w:i/>
          <w:color w:val="000000" w:themeColor="text1"/>
          <w:lang w:eastAsia="es-ES_tradnl"/>
        </w:rPr>
        <w:t>discriminación</w:t>
      </w:r>
      <w:r w:rsidR="00C6675A" w:rsidRPr="00C470CD">
        <w:rPr>
          <w:rFonts w:ascii="Arial" w:eastAsia="Times New Roman" w:hAnsi="Arial" w:cs="Arial"/>
          <w:i/>
          <w:color w:val="000000" w:themeColor="text1"/>
          <w:lang w:eastAsia="es-ES_tradnl"/>
        </w:rPr>
        <w:t xml:space="preserve"> es palmario que aquellos no ocupan el mismo lugar ni preponderancia que los judiciales en las garantías de los derechos de las personas</w:t>
      </w:r>
      <w:r w:rsidR="00C6675A" w:rsidRPr="00C470CD">
        <w:rPr>
          <w:rFonts w:ascii="Arial" w:eastAsia="Times New Roman" w:hAnsi="Arial" w:cs="Arial"/>
          <w:color w:val="000000" w:themeColor="text1"/>
          <w:lang w:eastAsia="es-ES_tradnl"/>
        </w:rPr>
        <w:t>”</w:t>
      </w:r>
      <w:r w:rsidRPr="00C470CD">
        <w:rPr>
          <w:rFonts w:ascii="Arial" w:eastAsia="Times New Roman" w:hAnsi="Arial" w:cs="Arial"/>
          <w:color w:val="000000" w:themeColor="text1"/>
          <w:lang w:eastAsia="es-ES_tradnl"/>
        </w:rPr>
        <w:t>.</w:t>
      </w:r>
    </w:p>
    <w:p w:rsidR="00652066" w:rsidRPr="00C470CD" w:rsidRDefault="00ED54FE" w:rsidP="00C470CD">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Finalmente, la eficacia del ejercicio de un</w:t>
      </w:r>
      <w:r w:rsidR="00C765EA" w:rsidRPr="00C470CD">
        <w:rPr>
          <w:rFonts w:ascii="Arial" w:eastAsia="Times New Roman" w:hAnsi="Arial" w:cs="Arial"/>
          <w:color w:val="000000" w:themeColor="text1"/>
          <w:lang w:eastAsia="es-ES_tradnl"/>
        </w:rPr>
        <w:t>a acción tutelar</w:t>
      </w:r>
      <w:r w:rsidRPr="00C470CD">
        <w:rPr>
          <w:rFonts w:ascii="Arial" w:eastAsia="Times New Roman" w:hAnsi="Arial" w:cs="Arial"/>
          <w:color w:val="000000" w:themeColor="text1"/>
          <w:lang w:eastAsia="es-ES_tradnl"/>
        </w:rPr>
        <w:t xml:space="preserve"> se debe medir por su posibilidad material de </w:t>
      </w:r>
      <w:r w:rsidR="00C765EA" w:rsidRPr="00C470CD">
        <w:rPr>
          <w:rFonts w:ascii="Arial" w:eastAsia="Times New Roman" w:hAnsi="Arial" w:cs="Arial"/>
          <w:color w:val="000000" w:themeColor="text1"/>
          <w:lang w:eastAsia="es-ES_tradnl"/>
        </w:rPr>
        <w:t>restablecimiento del derecho acometido</w:t>
      </w:r>
      <w:r w:rsidRPr="00C470CD">
        <w:rPr>
          <w:rFonts w:ascii="Arial" w:eastAsia="Times New Roman" w:hAnsi="Arial" w:cs="Arial"/>
          <w:color w:val="000000" w:themeColor="text1"/>
          <w:lang w:eastAsia="es-ES_tradnl"/>
        </w:rPr>
        <w:t>, cuestión que no sucede en el caso del Contralor toda vez que se ve privado de facultad de imperio para hacer cumplir sus resoluciones.</w:t>
      </w:r>
    </w:p>
    <w:p w:rsidR="00ED54FE" w:rsidRPr="00C470CD" w:rsidRDefault="00ED54FE" w:rsidP="00ED54FE">
      <w:pPr>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eastAsia="es-ES_tradnl"/>
        </w:rPr>
        <w:tab/>
        <w:t xml:space="preserve">La interpretación que proponemos a través de esta moción sitúa la protección de los derechos fundamentales de los trabajadores en la acción procesal que </w:t>
      </w:r>
      <w:r w:rsidR="00C765EA" w:rsidRPr="00C470CD">
        <w:rPr>
          <w:rFonts w:ascii="Arial" w:eastAsia="Times New Roman" w:hAnsi="Arial" w:cs="Arial"/>
          <w:color w:val="000000" w:themeColor="text1"/>
          <w:lang w:eastAsia="es-ES_tradnl"/>
        </w:rPr>
        <w:t xml:space="preserve">proporciona </w:t>
      </w:r>
      <w:r w:rsidRPr="00C470CD">
        <w:rPr>
          <w:rFonts w:ascii="Arial" w:eastAsia="Times New Roman" w:hAnsi="Arial" w:cs="Arial"/>
          <w:color w:val="000000" w:themeColor="text1"/>
          <w:lang w:eastAsia="es-ES_tradnl"/>
        </w:rPr>
        <w:t>mayores garantías de eficacia y tutela, esto es, el Artículo 485 del Código del Trabajo. Lo anterior concuerda plenamente con lo establecido en el Artículo 25 de la Convención Americana de los Derechos Humanos que, en su numero primero, establece que “</w:t>
      </w:r>
      <w:r w:rsidRPr="00C470CD">
        <w:rPr>
          <w:rFonts w:ascii="Arial" w:eastAsia="Times New Roman" w:hAnsi="Arial" w:cs="Arial"/>
          <w:i/>
          <w:color w:val="000000" w:themeColor="text1"/>
          <w:lang w:val="es-CL" w:eastAsia="es-ES_tradnl"/>
        </w:rPr>
        <w:t>Toda persona tiene derecho a un recurso sencillo y rápido o a cualquier otro recurso efectivo ante los jueces o tribunales competentes, que la ampare contra actos que violen sus derechos fundamentales</w:t>
      </w:r>
      <w:r w:rsidRPr="00C470CD">
        <w:rPr>
          <w:rFonts w:ascii="Arial" w:eastAsia="Times New Roman" w:hAnsi="Arial" w:cs="Arial"/>
          <w:color w:val="000000" w:themeColor="text1"/>
          <w:lang w:val="es-CL" w:eastAsia="es-ES_tradnl"/>
        </w:rPr>
        <w:t>”.</w:t>
      </w:r>
      <w:r w:rsidR="00C765EA" w:rsidRPr="00C470CD">
        <w:rPr>
          <w:rFonts w:ascii="Arial" w:eastAsia="Times New Roman" w:hAnsi="Arial" w:cs="Arial"/>
          <w:color w:val="000000" w:themeColor="text1"/>
          <w:lang w:val="es-CL" w:eastAsia="es-ES_tradnl"/>
        </w:rPr>
        <w:t xml:space="preserve"> </w:t>
      </w:r>
    </w:p>
    <w:p w:rsidR="00C765EA" w:rsidRPr="00C470CD" w:rsidRDefault="00BA1EAA" w:rsidP="00ED54FE">
      <w:pPr>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val="es-CL" w:eastAsia="es-ES_tradnl"/>
        </w:rPr>
        <w:tab/>
        <w:t xml:space="preserve">El voto de minoría, citando jurisprudencia de la Corte Suprema, muestra sintonía con el razonamiento anterior al señalar, en su considerando 18, que </w:t>
      </w:r>
      <w:r w:rsidR="00C765EA" w:rsidRPr="00C470CD">
        <w:rPr>
          <w:rFonts w:ascii="Arial" w:eastAsia="Times New Roman" w:hAnsi="Arial" w:cs="Arial"/>
          <w:color w:val="000000" w:themeColor="text1"/>
          <w:lang w:eastAsia="es-ES_tradnl"/>
        </w:rPr>
        <w:t>“</w:t>
      </w:r>
      <w:r w:rsidR="00C765EA" w:rsidRPr="00C470CD">
        <w:rPr>
          <w:rFonts w:ascii="Arial" w:eastAsia="Times New Roman" w:hAnsi="Arial" w:cs="Arial"/>
          <w:i/>
          <w:color w:val="000000" w:themeColor="text1"/>
          <w:lang w:eastAsia="es-ES_tradnl"/>
        </w:rPr>
        <w:t>atendida la entidad y naturaleza de los derechos que por esta vía se pretende proteger, los que según también se dijo, deben considerarse “inviolables en cualquier circunstancia</w:t>
      </w:r>
      <w:r w:rsidR="00C765EA" w:rsidRPr="00C470CD">
        <w:rPr>
          <w:rFonts w:ascii="Arial" w:eastAsia="Times New Roman" w:hAnsi="Arial" w:cs="Arial"/>
          <w:color w:val="000000" w:themeColor="text1"/>
          <w:lang w:eastAsia="es-ES_tradnl"/>
        </w:rPr>
        <w:t>”</w:t>
      </w:r>
      <w:r w:rsidRPr="00C470CD">
        <w:rPr>
          <w:rFonts w:ascii="Arial" w:eastAsia="Times New Roman" w:hAnsi="Arial" w:cs="Arial"/>
          <w:color w:val="000000" w:themeColor="text1"/>
          <w:lang w:eastAsia="es-ES_tradnl"/>
        </w:rPr>
        <w:t>. Con este presupuesto de protección, el tribunal establece que “</w:t>
      </w:r>
      <w:r w:rsidR="00C765EA" w:rsidRPr="00C470CD">
        <w:rPr>
          <w:rFonts w:ascii="Arial" w:eastAsia="Times New Roman" w:hAnsi="Arial" w:cs="Arial"/>
          <w:i/>
          <w:color w:val="000000" w:themeColor="text1"/>
          <w:lang w:eastAsia="es-ES_tradnl"/>
        </w:rPr>
        <w:t>no exist</w:t>
      </w:r>
      <w:r w:rsidRPr="00C470CD">
        <w:rPr>
          <w:rFonts w:ascii="Arial" w:eastAsia="Times New Roman" w:hAnsi="Arial" w:cs="Arial"/>
          <w:i/>
          <w:color w:val="000000" w:themeColor="text1"/>
          <w:lang w:eastAsia="es-ES_tradnl"/>
        </w:rPr>
        <w:t>e</w:t>
      </w:r>
      <w:r w:rsidR="00C765EA" w:rsidRPr="00C470CD">
        <w:rPr>
          <w:rFonts w:ascii="Arial" w:eastAsia="Times New Roman" w:hAnsi="Arial" w:cs="Arial"/>
          <w:i/>
          <w:color w:val="000000" w:themeColor="text1"/>
          <w:lang w:eastAsia="es-ES_tradnl"/>
        </w:rPr>
        <w:t xml:space="preserve"> una razón jurídica para excluir de su aplicación a toda una categoría de trabajadores, como son los funcionarios públicos</w:t>
      </w:r>
      <w:r w:rsidR="00C765EA" w:rsidRPr="00C470CD">
        <w:rPr>
          <w:rFonts w:ascii="Arial" w:eastAsia="Times New Roman" w:hAnsi="Arial" w:cs="Arial"/>
          <w:color w:val="000000" w:themeColor="text1"/>
          <w:lang w:eastAsia="es-ES_tradnl"/>
        </w:rPr>
        <w:t>”</w:t>
      </w:r>
      <w:r w:rsidRPr="00C470CD">
        <w:rPr>
          <w:rFonts w:ascii="Arial" w:eastAsia="Times New Roman" w:hAnsi="Arial" w:cs="Arial"/>
          <w:color w:val="000000" w:themeColor="text1"/>
          <w:lang w:eastAsia="es-ES_tradnl"/>
        </w:rPr>
        <w:t>.</w:t>
      </w:r>
    </w:p>
    <w:p w:rsidR="00C765EA" w:rsidRPr="00C470CD" w:rsidRDefault="00C765EA" w:rsidP="00ED54FE">
      <w:pPr>
        <w:jc w:val="both"/>
        <w:rPr>
          <w:rFonts w:ascii="Arial" w:eastAsia="Times New Roman" w:hAnsi="Arial" w:cs="Arial"/>
          <w:color w:val="000000" w:themeColor="text1"/>
          <w:lang w:eastAsia="es-ES_tradnl"/>
        </w:rPr>
      </w:pPr>
    </w:p>
    <w:p w:rsidR="00BA1EAA" w:rsidRPr="00C470CD" w:rsidRDefault="00BA1EAA" w:rsidP="00BA1EAA">
      <w:pPr>
        <w:pStyle w:val="Prrafodelista"/>
        <w:numPr>
          <w:ilvl w:val="0"/>
          <w:numId w:val="1"/>
        </w:numPr>
        <w:jc w:val="both"/>
        <w:rPr>
          <w:rFonts w:ascii="Arial" w:eastAsia="Times New Roman" w:hAnsi="Arial" w:cs="Arial"/>
          <w:b/>
          <w:color w:val="000000" w:themeColor="text1"/>
          <w:lang w:eastAsia="es-ES_tradnl"/>
        </w:rPr>
      </w:pPr>
      <w:r w:rsidRPr="00C470CD">
        <w:rPr>
          <w:rFonts w:ascii="Arial" w:eastAsia="Times New Roman" w:hAnsi="Arial" w:cs="Arial"/>
          <w:b/>
          <w:color w:val="000000" w:themeColor="text1"/>
          <w:lang w:eastAsia="es-ES_tradnl"/>
        </w:rPr>
        <w:t>Jurisprudencia de la Corte Suprema</w:t>
      </w:r>
    </w:p>
    <w:p w:rsidR="00BA1EAA" w:rsidRPr="00C470CD" w:rsidRDefault="00BA1EAA" w:rsidP="00BA1EAA">
      <w:pPr>
        <w:pStyle w:val="Prrafodelista"/>
        <w:jc w:val="both"/>
        <w:rPr>
          <w:rFonts w:ascii="Arial" w:eastAsia="Times New Roman" w:hAnsi="Arial" w:cs="Arial"/>
          <w:color w:val="000000" w:themeColor="text1"/>
          <w:lang w:eastAsia="es-ES_tradnl"/>
        </w:rPr>
      </w:pPr>
    </w:p>
    <w:p w:rsidR="00C765EA" w:rsidRPr="00C470CD" w:rsidRDefault="00ED54FE" w:rsidP="008315BF">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Como se ha expuesto, el mecanismo de mayor sustantividad para la tutela de estos derechos es el contemplado en el Código del Trabajo y así también lo ha entendido nuestra judicatura</w:t>
      </w:r>
      <w:r w:rsidR="008315BF" w:rsidRPr="00C470CD">
        <w:rPr>
          <w:rFonts w:ascii="Arial" w:eastAsia="Times New Roman" w:hAnsi="Arial" w:cs="Arial"/>
          <w:color w:val="000000" w:themeColor="text1"/>
          <w:lang w:eastAsia="es-ES_tradnl"/>
        </w:rPr>
        <w:t>, como se verá.</w:t>
      </w:r>
    </w:p>
    <w:p w:rsidR="008315BF" w:rsidRPr="008C2670" w:rsidRDefault="008315BF" w:rsidP="008C2670">
      <w:pPr>
        <w:ind w:firstLine="360"/>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ab/>
        <w:t xml:space="preserve">Menester es hacer una lectura del tenor literal del Artículo 1 del Código del </w:t>
      </w:r>
      <w:r w:rsidRPr="008C2670">
        <w:rPr>
          <w:rFonts w:ascii="Arial" w:eastAsia="Times New Roman" w:hAnsi="Arial" w:cs="Arial"/>
          <w:color w:val="000000" w:themeColor="text1"/>
          <w:lang w:eastAsia="es-ES_tradnl"/>
        </w:rPr>
        <w:t>Trabajo para comprender que no puede haber una interpretación discriminatoria sobre la aplicabilidad de la tutela a los funcionarios públicos, toda vez que estos son considerados dentro de la voz trabajador, por la misma ley</w:t>
      </w:r>
      <w:r w:rsidR="00807AAA" w:rsidRPr="008C2670">
        <w:rPr>
          <w:rFonts w:ascii="Arial" w:eastAsia="Times New Roman" w:hAnsi="Arial" w:cs="Arial"/>
          <w:color w:val="000000" w:themeColor="text1"/>
          <w:lang w:eastAsia="es-ES_tradnl"/>
        </w:rPr>
        <w:t>, siendo aplicable por tanto el procedimiento señalado.</w:t>
      </w:r>
    </w:p>
    <w:p w:rsidR="008C2670" w:rsidRPr="008C2670" w:rsidRDefault="008315BF" w:rsidP="008C2670">
      <w:pPr>
        <w:ind w:firstLine="708"/>
        <w:jc w:val="both"/>
        <w:rPr>
          <w:rFonts w:ascii="Arial" w:hAnsi="Arial" w:cs="Arial"/>
        </w:rPr>
      </w:pPr>
      <w:r w:rsidRPr="008C2670">
        <w:rPr>
          <w:rFonts w:ascii="Arial" w:hAnsi="Arial" w:cs="Arial"/>
          <w:lang w:eastAsia="es-ES_tradnl"/>
        </w:rPr>
        <w:t xml:space="preserve">El inciso primero del citado cuerpo de normas dispone que </w:t>
      </w:r>
      <w:r w:rsidR="008C2670" w:rsidRPr="008C2670">
        <w:rPr>
          <w:rFonts w:ascii="Arial" w:hAnsi="Arial" w:cs="Arial"/>
        </w:rPr>
        <w:t>las relaciones laborales entre los empleadores y los trabajadores se regularán por este Código y por sus leyes complementarias”. De lo anterior se infiere que es trabajador toda persona que preste servicios personales a una organización de medios (pública o privada, la norma no distingue).</w:t>
      </w:r>
    </w:p>
    <w:p w:rsidR="008C2670" w:rsidRPr="008C2670" w:rsidRDefault="008C2670" w:rsidP="008C2670">
      <w:pPr>
        <w:ind w:firstLine="708"/>
        <w:jc w:val="both"/>
        <w:rPr>
          <w:rFonts w:ascii="Arial" w:hAnsi="Arial" w:cs="Arial"/>
        </w:rPr>
      </w:pPr>
      <w:r w:rsidRPr="008C2670">
        <w:rPr>
          <w:rFonts w:ascii="Arial" w:hAnsi="Arial" w:cs="Arial"/>
        </w:rPr>
        <w:t>Reglón seguido, el inciso segundo excluye a aquellos sujetos a Estatutos Especiales del Estado. Pues bien, dicha exclusión no sería necesaria si la premisa no fuese que aquellos son trabajadores y su vínculo con el Estado de naturaleza laboral. No se puede excluir lo que nunca estuvo incorporado.</w:t>
      </w:r>
      <w:r>
        <w:rPr>
          <w:rFonts w:ascii="Arial" w:hAnsi="Arial" w:cs="Arial"/>
        </w:rPr>
        <w:t xml:space="preserve"> </w:t>
      </w:r>
      <w:r w:rsidRPr="008C2670">
        <w:rPr>
          <w:rFonts w:ascii="Arial" w:hAnsi="Arial" w:cs="Arial"/>
        </w:rPr>
        <w:t xml:space="preserve"> Consecuencia de lo anterior es que el inciso tercero, cerrando la regla, establece dos exigencias copulativas para hacer aplicables normas de legislación ordinaria: a) en los aspectos o materias no regulados y b) que no fueren incompatibles con los estatutos especiales.</w:t>
      </w:r>
    </w:p>
    <w:p w:rsidR="008315BF" w:rsidRPr="00C470CD" w:rsidRDefault="008315BF" w:rsidP="00C470CD">
      <w:pPr>
        <w:rPr>
          <w:rFonts w:ascii="Arial" w:eastAsia="Times New Roman" w:hAnsi="Arial" w:cs="Arial"/>
          <w:color w:val="000000" w:themeColor="text1"/>
          <w:shd w:val="clear" w:color="auto" w:fill="F5F5F5"/>
          <w:lang w:val="es-CL" w:eastAsia="es-ES_tradnl"/>
        </w:rPr>
      </w:pPr>
    </w:p>
    <w:p w:rsidR="002011A3" w:rsidRPr="00C470CD" w:rsidRDefault="00807AAA" w:rsidP="00807AAA">
      <w:pPr>
        <w:ind w:firstLine="360"/>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val="es-CL" w:eastAsia="es-ES_tradnl"/>
        </w:rPr>
        <w:lastRenderedPageBreak/>
        <w:t xml:space="preserve">Siguiendo esta linea, </w:t>
      </w:r>
      <w:r w:rsidRPr="00C470CD">
        <w:rPr>
          <w:rFonts w:ascii="Arial" w:eastAsia="Times New Roman" w:hAnsi="Arial" w:cs="Arial"/>
          <w:color w:val="000000" w:themeColor="text1"/>
          <w:lang w:eastAsia="es-ES_tradnl"/>
        </w:rPr>
        <w:t>l</w:t>
      </w:r>
      <w:r w:rsidR="00BA1EAA" w:rsidRPr="00C470CD">
        <w:rPr>
          <w:rFonts w:ascii="Arial" w:eastAsia="Times New Roman" w:hAnsi="Arial" w:cs="Arial"/>
          <w:color w:val="000000" w:themeColor="text1"/>
          <w:lang w:eastAsia="es-ES_tradnl"/>
        </w:rPr>
        <w:t xml:space="preserve">a </w:t>
      </w:r>
      <w:r w:rsidR="002011A3" w:rsidRPr="00C470CD">
        <w:rPr>
          <w:rFonts w:ascii="Arial" w:eastAsia="Times New Roman" w:hAnsi="Arial" w:cs="Arial"/>
          <w:color w:val="000000" w:themeColor="text1"/>
          <w:lang w:eastAsia="es-ES_tradnl"/>
        </w:rPr>
        <w:t>Excelentísima Corte Suprema,</w:t>
      </w:r>
      <w:r w:rsidR="00BA1EAA" w:rsidRPr="00C470CD">
        <w:rPr>
          <w:rFonts w:ascii="Arial" w:eastAsia="Times New Roman" w:hAnsi="Arial" w:cs="Arial"/>
          <w:color w:val="000000" w:themeColor="text1"/>
          <w:lang w:eastAsia="es-ES_tradnl"/>
        </w:rPr>
        <w:t xml:space="preserve"> en Causa Rol 10972-2013, sustanciado entre un</w:t>
      </w:r>
      <w:r w:rsidRPr="00C470CD">
        <w:rPr>
          <w:rFonts w:ascii="Arial" w:eastAsia="Times New Roman" w:hAnsi="Arial" w:cs="Arial"/>
          <w:color w:val="000000" w:themeColor="text1"/>
          <w:lang w:eastAsia="es-ES_tradnl"/>
        </w:rPr>
        <w:t xml:space="preserve"> </w:t>
      </w:r>
      <w:r w:rsidR="002011A3" w:rsidRPr="00C470CD">
        <w:rPr>
          <w:rFonts w:ascii="Arial" w:eastAsia="Times New Roman" w:hAnsi="Arial" w:cs="Arial"/>
          <w:color w:val="000000" w:themeColor="text1"/>
          <w:lang w:eastAsia="es-ES_tradnl"/>
        </w:rPr>
        <w:t xml:space="preserve">trabajador y la </w:t>
      </w:r>
      <w:r w:rsidR="00BA1EAA" w:rsidRPr="00C470CD">
        <w:rPr>
          <w:rFonts w:ascii="Arial" w:eastAsia="Times New Roman" w:hAnsi="Arial" w:cs="Arial"/>
          <w:color w:val="000000" w:themeColor="text1"/>
          <w:lang w:eastAsia="es-ES_tradnl"/>
        </w:rPr>
        <w:t>C</w:t>
      </w:r>
      <w:r w:rsidR="002011A3" w:rsidRPr="00C470CD">
        <w:rPr>
          <w:rFonts w:ascii="Arial" w:eastAsia="Times New Roman" w:hAnsi="Arial" w:cs="Arial"/>
          <w:color w:val="000000" w:themeColor="text1"/>
          <w:lang w:eastAsia="es-ES_tradnl"/>
        </w:rPr>
        <w:t xml:space="preserve">entral </w:t>
      </w:r>
      <w:r w:rsidR="00BA1EAA" w:rsidRPr="00C470CD">
        <w:rPr>
          <w:rFonts w:ascii="Arial" w:eastAsia="Times New Roman" w:hAnsi="Arial" w:cs="Arial"/>
          <w:color w:val="000000" w:themeColor="text1"/>
          <w:lang w:eastAsia="es-ES_tradnl"/>
        </w:rPr>
        <w:t>N</w:t>
      </w:r>
      <w:r w:rsidR="002011A3" w:rsidRPr="00C470CD">
        <w:rPr>
          <w:rFonts w:ascii="Arial" w:eastAsia="Times New Roman" w:hAnsi="Arial" w:cs="Arial"/>
          <w:color w:val="000000" w:themeColor="text1"/>
          <w:lang w:eastAsia="es-ES_tradnl"/>
        </w:rPr>
        <w:t xml:space="preserve">acional de </w:t>
      </w:r>
      <w:r w:rsidR="00BA1EAA" w:rsidRPr="00C470CD">
        <w:rPr>
          <w:rFonts w:ascii="Arial" w:eastAsia="Times New Roman" w:hAnsi="Arial" w:cs="Arial"/>
          <w:color w:val="000000" w:themeColor="text1"/>
          <w:lang w:eastAsia="es-ES_tradnl"/>
        </w:rPr>
        <w:t>A</w:t>
      </w:r>
      <w:r w:rsidR="002011A3" w:rsidRPr="00C470CD">
        <w:rPr>
          <w:rFonts w:ascii="Arial" w:eastAsia="Times New Roman" w:hAnsi="Arial" w:cs="Arial"/>
          <w:color w:val="000000" w:themeColor="text1"/>
          <w:lang w:eastAsia="es-ES_tradnl"/>
        </w:rPr>
        <w:t>bastecimiento (CENABAST</w:t>
      </w:r>
      <w:r w:rsidR="00BA1EAA" w:rsidRPr="00C470CD">
        <w:rPr>
          <w:rFonts w:ascii="Arial" w:eastAsia="Times New Roman" w:hAnsi="Arial" w:cs="Arial"/>
          <w:color w:val="000000" w:themeColor="text1"/>
          <w:lang w:eastAsia="es-ES_tradnl"/>
        </w:rPr>
        <w:t xml:space="preserve">). La Corte, </w:t>
      </w:r>
      <w:r w:rsidR="002011A3" w:rsidRPr="00C470CD">
        <w:rPr>
          <w:rFonts w:ascii="Arial" w:eastAsia="Times New Roman" w:hAnsi="Arial" w:cs="Arial"/>
          <w:color w:val="000000" w:themeColor="text1"/>
          <w:lang w:eastAsia="es-ES_tradnl"/>
        </w:rPr>
        <w:t xml:space="preserve">haciendo uso de sus facultades, resolvió una interpretación definitiva </w:t>
      </w:r>
      <w:r w:rsidR="00BA1EAA" w:rsidRPr="00C470CD">
        <w:rPr>
          <w:rFonts w:ascii="Arial" w:eastAsia="Times New Roman" w:hAnsi="Arial" w:cs="Arial"/>
          <w:color w:val="000000" w:themeColor="text1"/>
          <w:lang w:eastAsia="es-ES_tradnl"/>
        </w:rPr>
        <w:t>sobre la competencia de los tribunales laborales en la tutela de los derechos de los funcionarios públicos, uniformando el criterio dispar existente sobre la materia.</w:t>
      </w:r>
    </w:p>
    <w:p w:rsidR="00BA1EAA" w:rsidRPr="00C470CD" w:rsidRDefault="00BA1EAA" w:rsidP="00BA1EAA">
      <w:pPr>
        <w:ind w:firstLine="708"/>
        <w:jc w:val="both"/>
        <w:rPr>
          <w:rFonts w:ascii="Arial" w:eastAsia="Times New Roman" w:hAnsi="Arial" w:cs="Arial"/>
          <w:i/>
          <w:iCs/>
          <w:color w:val="000000" w:themeColor="text1"/>
          <w:lang w:eastAsia="es-ES_tradnl"/>
        </w:rPr>
      </w:pPr>
      <w:r w:rsidRPr="00C470CD">
        <w:rPr>
          <w:rFonts w:ascii="Arial" w:eastAsia="Times New Roman" w:hAnsi="Arial" w:cs="Arial"/>
          <w:color w:val="000000" w:themeColor="text1"/>
          <w:lang w:eastAsia="es-ES_tradnl"/>
        </w:rPr>
        <w:t>E</w:t>
      </w:r>
      <w:r w:rsidR="002011A3" w:rsidRPr="00C470CD">
        <w:rPr>
          <w:rFonts w:ascii="Arial" w:eastAsia="Times New Roman" w:hAnsi="Arial" w:cs="Arial"/>
          <w:color w:val="000000" w:themeColor="text1"/>
          <w:lang w:eastAsia="es-ES_tradnl"/>
        </w:rPr>
        <w:t xml:space="preserve">n el </w:t>
      </w:r>
      <w:r w:rsidR="00500F6B" w:rsidRPr="00C470CD">
        <w:rPr>
          <w:rFonts w:ascii="Arial" w:eastAsia="Times New Roman" w:hAnsi="Arial" w:cs="Arial"/>
          <w:color w:val="000000" w:themeColor="text1"/>
          <w:lang w:eastAsia="es-ES_tradnl"/>
        </w:rPr>
        <w:t>C</w:t>
      </w:r>
      <w:r w:rsidR="002011A3" w:rsidRPr="00C470CD">
        <w:rPr>
          <w:rFonts w:ascii="Arial" w:eastAsia="Times New Roman" w:hAnsi="Arial" w:cs="Arial"/>
          <w:color w:val="000000" w:themeColor="text1"/>
          <w:lang w:eastAsia="es-ES_tradnl"/>
        </w:rPr>
        <w:t xml:space="preserve">onsiderando 5º de la </w:t>
      </w:r>
      <w:r w:rsidRPr="00C470CD">
        <w:rPr>
          <w:rFonts w:ascii="Arial" w:eastAsia="Times New Roman" w:hAnsi="Arial" w:cs="Arial"/>
          <w:color w:val="000000" w:themeColor="text1"/>
          <w:lang w:eastAsia="es-ES_tradnl"/>
        </w:rPr>
        <w:t>s</w:t>
      </w:r>
      <w:r w:rsidR="002011A3" w:rsidRPr="00C470CD">
        <w:rPr>
          <w:rFonts w:ascii="Arial" w:eastAsia="Times New Roman" w:hAnsi="Arial" w:cs="Arial"/>
          <w:color w:val="000000" w:themeColor="text1"/>
          <w:lang w:eastAsia="es-ES_tradnl"/>
        </w:rPr>
        <w:t>entencia que acoge el recurso de unificación de jurisprudencia</w:t>
      </w:r>
      <w:r w:rsidRPr="00C470CD">
        <w:rPr>
          <w:rFonts w:ascii="Arial" w:eastAsia="Times New Roman" w:hAnsi="Arial" w:cs="Arial"/>
          <w:color w:val="000000" w:themeColor="text1"/>
          <w:lang w:eastAsia="es-ES_tradnl"/>
        </w:rPr>
        <w:t>, el máximo tribunal es claro en consignar que “</w:t>
      </w:r>
      <w:r w:rsidR="00500F6B" w:rsidRPr="00C470CD">
        <w:rPr>
          <w:rFonts w:ascii="Arial" w:eastAsia="Times New Roman" w:hAnsi="Arial" w:cs="Arial"/>
          <w:i/>
          <w:color w:val="000000" w:themeColor="text1"/>
          <w:lang w:eastAsia="es-ES_tradnl"/>
        </w:rPr>
        <w:t>si</w:t>
      </w:r>
      <w:r w:rsidR="00500F6B" w:rsidRPr="00C470CD">
        <w:rPr>
          <w:rFonts w:ascii="Arial" w:eastAsia="Times New Roman" w:hAnsi="Arial" w:cs="Arial"/>
          <w:color w:val="000000" w:themeColor="text1"/>
          <w:lang w:eastAsia="es-ES_tradnl"/>
        </w:rPr>
        <w:t xml:space="preserve"> </w:t>
      </w:r>
      <w:r w:rsidR="002011A3" w:rsidRPr="00C470CD">
        <w:rPr>
          <w:rFonts w:ascii="Arial" w:eastAsia="Times New Roman" w:hAnsi="Arial" w:cs="Arial"/>
          <w:i/>
          <w:iCs/>
          <w:color w:val="000000" w:themeColor="text1"/>
          <w:lang w:eastAsia="es-ES_tradnl"/>
        </w:rPr>
        <w:t xml:space="preserve">bien el actor es una persona que en su contrato se ha indicado que se rige por la ley 18.834, esta normativa no contempla la posibilidad de accionar en un procedimiento especial, por vulneración de tutela de derechos fundamentales, no pudiendo entenderse que una acción de esta clase se oponga a las normas de ese estatuto especial, atendido a que el procedimiento de tutela, si bien aparece establecido para solucionar un conflicto que surge en una relación vinculada al trabajo, busca cautelar en definitiva derechos fundamentales que se reconocen a todas las personas sin distinción.” </w:t>
      </w:r>
    </w:p>
    <w:p w:rsidR="00807AAA" w:rsidRPr="00C470CD" w:rsidRDefault="002011A3" w:rsidP="00BA1EAA">
      <w:pPr>
        <w:ind w:firstLine="708"/>
        <w:jc w:val="both"/>
        <w:rPr>
          <w:rFonts w:ascii="Arial" w:eastAsia="Times New Roman" w:hAnsi="Arial" w:cs="Arial"/>
          <w:color w:val="000000" w:themeColor="text1"/>
          <w:lang w:eastAsia="es-ES_tradnl"/>
        </w:rPr>
      </w:pPr>
      <w:r w:rsidRPr="00C470CD">
        <w:rPr>
          <w:rFonts w:ascii="Arial" w:eastAsia="Times New Roman" w:hAnsi="Arial" w:cs="Arial"/>
          <w:iCs/>
          <w:color w:val="000000" w:themeColor="text1"/>
          <w:lang w:eastAsia="es-ES_tradnl"/>
        </w:rPr>
        <w:t>La sentencia en análisis destaca, en el considerando siguiente</w:t>
      </w:r>
      <w:r w:rsidRPr="00C470CD">
        <w:rPr>
          <w:rFonts w:ascii="Arial" w:eastAsia="Times New Roman" w:hAnsi="Arial" w:cs="Arial"/>
          <w:i/>
          <w:iCs/>
          <w:color w:val="000000" w:themeColor="text1"/>
          <w:lang w:eastAsia="es-ES_tradnl"/>
        </w:rPr>
        <w:t>, que “el inciso tercero del artículo 1° del Código del Trabajo, emplee la expresión “trabajadores” para referirse a los funcionarios de la Administración del Estado que indica en el inciso segundo y que excluye en principio a su respecto la aplicación de las normas del Código del Trabajo, calificación que coincide con la empleada en el artículo 485 del mismo cuerpo legal cuando establece el ámbito de aplicación del procedimiento de Tutela Laboral</w:t>
      </w:r>
      <w:r w:rsidRPr="00C470CD">
        <w:rPr>
          <w:rFonts w:ascii="Arial" w:eastAsia="Times New Roman" w:hAnsi="Arial" w:cs="Arial"/>
          <w:color w:val="000000" w:themeColor="text1"/>
          <w:lang w:eastAsia="es-ES_tradnl"/>
        </w:rPr>
        <w:t xml:space="preserve">”. </w:t>
      </w:r>
    </w:p>
    <w:p w:rsidR="002011A3" w:rsidRPr="00C470CD" w:rsidRDefault="00807AAA" w:rsidP="00BA1EAA">
      <w:pPr>
        <w:ind w:firstLine="708"/>
        <w:jc w:val="both"/>
        <w:rPr>
          <w:rFonts w:ascii="Times New Roman" w:eastAsia="Times New Roman" w:hAnsi="Times New Roman" w:cs="Times New Roman"/>
          <w:color w:val="000000" w:themeColor="text1"/>
          <w:lang w:eastAsia="es-ES_tradnl"/>
        </w:rPr>
      </w:pPr>
      <w:r w:rsidRPr="00C470CD">
        <w:rPr>
          <w:rFonts w:ascii="Arial" w:eastAsia="Times New Roman" w:hAnsi="Arial" w:cs="Arial"/>
          <w:color w:val="000000" w:themeColor="text1"/>
          <w:lang w:eastAsia="es-ES_tradnl"/>
        </w:rPr>
        <w:t>En base a estas consideraciones</w:t>
      </w:r>
      <w:r w:rsidR="002011A3" w:rsidRPr="00C470CD">
        <w:rPr>
          <w:rFonts w:ascii="Arial" w:eastAsia="Times New Roman" w:hAnsi="Arial" w:cs="Arial"/>
          <w:color w:val="000000" w:themeColor="text1"/>
          <w:lang w:eastAsia="es-ES_tradnl"/>
        </w:rPr>
        <w:t xml:space="preserve">, en el </w:t>
      </w:r>
      <w:r w:rsidRPr="00C470CD">
        <w:rPr>
          <w:rFonts w:ascii="Arial" w:eastAsia="Times New Roman" w:hAnsi="Arial" w:cs="Arial"/>
          <w:color w:val="000000" w:themeColor="text1"/>
          <w:lang w:eastAsia="es-ES_tradnl"/>
        </w:rPr>
        <w:t>C</w:t>
      </w:r>
      <w:r w:rsidR="002011A3" w:rsidRPr="00C470CD">
        <w:rPr>
          <w:rFonts w:ascii="Arial" w:eastAsia="Times New Roman" w:hAnsi="Arial" w:cs="Arial"/>
          <w:color w:val="000000" w:themeColor="text1"/>
          <w:lang w:eastAsia="es-ES_tradnl"/>
        </w:rPr>
        <w:t xml:space="preserve">onsiderando 7º, acoge el recurso de unificación de jurisprudencia, al existir criterios dispares entre Tribunales </w:t>
      </w:r>
      <w:r w:rsidRPr="00C470CD">
        <w:rPr>
          <w:rFonts w:ascii="Arial" w:eastAsia="Times New Roman" w:hAnsi="Arial" w:cs="Arial"/>
          <w:color w:val="000000" w:themeColor="text1"/>
          <w:lang w:eastAsia="es-ES_tradnl"/>
        </w:rPr>
        <w:t>S</w:t>
      </w:r>
      <w:r w:rsidR="002011A3" w:rsidRPr="00C470CD">
        <w:rPr>
          <w:rFonts w:ascii="Arial" w:eastAsia="Times New Roman" w:hAnsi="Arial" w:cs="Arial"/>
          <w:color w:val="000000" w:themeColor="text1"/>
          <w:lang w:eastAsia="es-ES_tradnl"/>
        </w:rPr>
        <w:t xml:space="preserve">uperiores de </w:t>
      </w:r>
      <w:r w:rsidRPr="00C470CD">
        <w:rPr>
          <w:rFonts w:ascii="Arial" w:eastAsia="Times New Roman" w:hAnsi="Arial" w:cs="Arial"/>
          <w:color w:val="000000" w:themeColor="text1"/>
          <w:lang w:eastAsia="es-ES_tradnl"/>
        </w:rPr>
        <w:t>J</w:t>
      </w:r>
      <w:r w:rsidR="002011A3" w:rsidRPr="00C470CD">
        <w:rPr>
          <w:rFonts w:ascii="Arial" w:eastAsia="Times New Roman" w:hAnsi="Arial" w:cs="Arial"/>
          <w:color w:val="000000" w:themeColor="text1"/>
          <w:lang w:eastAsia="es-ES_tradnl"/>
        </w:rPr>
        <w:t xml:space="preserve">usticia, a saber, en este caso, la Ilustrísima Corte de Apelaciones de Santiago y la Ilustrísima Corte de Apelaciones de Valparaíso, ordenando que se dicte la respectiva sentencia de reemplazo. </w:t>
      </w:r>
    </w:p>
    <w:p w:rsidR="002011A3" w:rsidRPr="00C470CD" w:rsidRDefault="00807AAA" w:rsidP="00807AAA">
      <w:pPr>
        <w:ind w:firstLine="708"/>
        <w:jc w:val="both"/>
        <w:rPr>
          <w:rFonts w:ascii="Times New Roman" w:eastAsia="Times New Roman" w:hAnsi="Times New Roman" w:cs="Times New Roman"/>
          <w:color w:val="000000" w:themeColor="text1"/>
          <w:lang w:eastAsia="es-ES_tradnl"/>
        </w:rPr>
      </w:pPr>
      <w:r w:rsidRPr="00C470CD">
        <w:rPr>
          <w:rFonts w:ascii="Arial" w:eastAsia="Times New Roman" w:hAnsi="Arial" w:cs="Arial"/>
          <w:color w:val="000000" w:themeColor="text1"/>
          <w:lang w:eastAsia="es-ES_tradnl"/>
        </w:rPr>
        <w:t xml:space="preserve">En la sentencia de reemplazo la Corte Suprema quiso relevar la importancia de explicitar y reforzar la vigencia de los derechos fundamentales en el marco de las relaciones laborales. En ese sentido, la introducción de la noción de ciudadanía laboral en la empresa dialoga con la prohibición de todo tipo de discriminaciones (Artículo 2 del Código del Trabajo). El tribunal señala que </w:t>
      </w:r>
      <w:r w:rsidRPr="00C470CD">
        <w:rPr>
          <w:rFonts w:ascii="Arial" w:eastAsia="Times New Roman" w:hAnsi="Arial" w:cs="Arial"/>
          <w:i/>
          <w:iCs/>
          <w:color w:val="000000" w:themeColor="text1"/>
          <w:lang w:eastAsia="es-ES_tradnl"/>
        </w:rPr>
        <w:t>“</w:t>
      </w:r>
      <w:r w:rsidR="002011A3" w:rsidRPr="00C470CD">
        <w:rPr>
          <w:rFonts w:ascii="Arial" w:eastAsia="Times New Roman" w:hAnsi="Arial" w:cs="Arial"/>
          <w:i/>
          <w:iCs/>
          <w:color w:val="000000" w:themeColor="text1"/>
          <w:lang w:eastAsia="es-ES_tradnl"/>
        </w:rPr>
        <w:t>la vigencia efectiva en el ejercicio de los derechos fundamentales del trabajador, las normas de Tutela consagradas recientemente vienen a colmar ese vacío, al establecer una acción específica para salvaguardarlos, abriendo un espacio a lo que se ha denominado la “eficacia horizontal” de esa clase de derechos.</w:t>
      </w:r>
      <w:r w:rsidRPr="00C470CD">
        <w:rPr>
          <w:rFonts w:ascii="Arial" w:eastAsia="Times New Roman" w:hAnsi="Arial" w:cs="Arial"/>
          <w:i/>
          <w:iCs/>
          <w:color w:val="000000" w:themeColor="text1"/>
          <w:lang w:eastAsia="es-ES_tradnl"/>
        </w:rPr>
        <w:t>”</w:t>
      </w:r>
    </w:p>
    <w:p w:rsidR="00672889" w:rsidRPr="00C470CD" w:rsidRDefault="00807AAA" w:rsidP="00807AAA">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Finalmente, cabe señalar que l</w:t>
      </w:r>
      <w:r w:rsidR="002011A3" w:rsidRPr="00C470CD">
        <w:rPr>
          <w:rFonts w:ascii="Arial" w:eastAsia="Times New Roman" w:hAnsi="Arial" w:cs="Arial"/>
          <w:color w:val="000000" w:themeColor="text1"/>
          <w:lang w:eastAsia="es-ES_tradnl"/>
        </w:rPr>
        <w:t xml:space="preserve">a Constitución Política de la República en sus </w:t>
      </w:r>
      <w:r w:rsidR="008315BF" w:rsidRPr="00C470CD">
        <w:rPr>
          <w:rFonts w:ascii="Arial" w:eastAsia="Times New Roman" w:hAnsi="Arial" w:cs="Arial"/>
          <w:color w:val="000000" w:themeColor="text1"/>
          <w:lang w:eastAsia="es-ES_tradnl"/>
        </w:rPr>
        <w:t>A</w:t>
      </w:r>
      <w:r w:rsidR="002011A3" w:rsidRPr="00C470CD">
        <w:rPr>
          <w:rFonts w:ascii="Arial" w:eastAsia="Times New Roman" w:hAnsi="Arial" w:cs="Arial"/>
          <w:color w:val="000000" w:themeColor="text1"/>
          <w:lang w:eastAsia="es-ES_tradnl"/>
        </w:rPr>
        <w:t xml:space="preserve">rtículos 73 y siguientes, así como el Código </w:t>
      </w:r>
      <w:r w:rsidR="008315BF" w:rsidRPr="00C470CD">
        <w:rPr>
          <w:rFonts w:ascii="Arial" w:eastAsia="Times New Roman" w:hAnsi="Arial" w:cs="Arial"/>
          <w:color w:val="000000" w:themeColor="text1"/>
          <w:lang w:eastAsia="es-ES_tradnl"/>
        </w:rPr>
        <w:t>O</w:t>
      </w:r>
      <w:r w:rsidR="002011A3" w:rsidRPr="00C470CD">
        <w:rPr>
          <w:rFonts w:ascii="Arial" w:eastAsia="Times New Roman" w:hAnsi="Arial" w:cs="Arial"/>
          <w:color w:val="000000" w:themeColor="text1"/>
          <w:lang w:eastAsia="es-ES_tradnl"/>
        </w:rPr>
        <w:t xml:space="preserve">rgánico de Tribunales en su </w:t>
      </w:r>
      <w:r w:rsidR="008315BF" w:rsidRPr="00C470CD">
        <w:rPr>
          <w:rFonts w:ascii="Arial" w:eastAsia="Times New Roman" w:hAnsi="Arial" w:cs="Arial"/>
          <w:color w:val="000000" w:themeColor="text1"/>
          <w:lang w:eastAsia="es-ES_tradnl"/>
        </w:rPr>
        <w:t>C</w:t>
      </w:r>
      <w:r w:rsidR="002011A3" w:rsidRPr="00C470CD">
        <w:rPr>
          <w:rFonts w:ascii="Arial" w:eastAsia="Times New Roman" w:hAnsi="Arial" w:cs="Arial"/>
          <w:color w:val="000000" w:themeColor="text1"/>
          <w:lang w:eastAsia="es-ES_tradnl"/>
        </w:rPr>
        <w:t xml:space="preserve">apítulo VI, artículos 93 y siguientes, le otorgan a la Excelentísima Corte Suprema, el más alto rango en la jerarquía de los tribunales en la estructura del país, así como </w:t>
      </w:r>
      <w:r w:rsidR="002011A3" w:rsidRPr="00C470CD">
        <w:rPr>
          <w:rFonts w:ascii="Arial" w:eastAsia="Times New Roman" w:hAnsi="Arial" w:cs="Arial"/>
          <w:b/>
          <w:color w:val="000000" w:themeColor="text1"/>
          <w:lang w:eastAsia="es-ES_tradnl"/>
        </w:rPr>
        <w:t>el rol de corte de casación</w:t>
      </w:r>
      <w:r w:rsidR="002011A3" w:rsidRPr="00C470CD">
        <w:rPr>
          <w:rFonts w:ascii="Arial" w:eastAsia="Times New Roman" w:hAnsi="Arial" w:cs="Arial"/>
          <w:color w:val="000000" w:themeColor="text1"/>
          <w:lang w:eastAsia="es-ES_tradnl"/>
        </w:rPr>
        <w:t>, a quienes les corresponde la final y correcta interpretación de la ley</w:t>
      </w:r>
      <w:r w:rsidR="008315BF" w:rsidRPr="00C470CD">
        <w:rPr>
          <w:rFonts w:ascii="Arial" w:eastAsia="Times New Roman" w:hAnsi="Arial" w:cs="Arial"/>
          <w:color w:val="000000" w:themeColor="text1"/>
          <w:lang w:eastAsia="es-ES_tradnl"/>
        </w:rPr>
        <w:t xml:space="preserve">. En el caso que nos convoca, dicha interpretación ya se ha realizado conforme a la ley por lo que, estimados </w:t>
      </w:r>
      <w:r w:rsidR="002011A3" w:rsidRPr="00C470CD">
        <w:rPr>
          <w:rFonts w:ascii="Arial" w:eastAsia="Times New Roman" w:hAnsi="Arial" w:cs="Arial"/>
          <w:color w:val="000000" w:themeColor="text1"/>
          <w:lang w:eastAsia="es-ES_tradnl"/>
        </w:rPr>
        <w:t xml:space="preserve">que lo resuelto por el Tribunal </w:t>
      </w:r>
      <w:r w:rsidR="008315BF" w:rsidRPr="00C470CD">
        <w:rPr>
          <w:rFonts w:ascii="Arial" w:eastAsia="Times New Roman" w:hAnsi="Arial" w:cs="Arial"/>
          <w:color w:val="000000" w:themeColor="text1"/>
          <w:lang w:eastAsia="es-ES_tradnl"/>
        </w:rPr>
        <w:t>C</w:t>
      </w:r>
      <w:r w:rsidR="002011A3" w:rsidRPr="00C470CD">
        <w:rPr>
          <w:rFonts w:ascii="Arial" w:eastAsia="Times New Roman" w:hAnsi="Arial" w:cs="Arial"/>
          <w:color w:val="000000" w:themeColor="text1"/>
          <w:lang w:eastAsia="es-ES_tradnl"/>
        </w:rPr>
        <w:t xml:space="preserve">onstitucional en el citado fallo, corresponde una invasión a las potestades de Corte de </w:t>
      </w:r>
      <w:r w:rsidR="008315BF" w:rsidRPr="00C470CD">
        <w:rPr>
          <w:rFonts w:ascii="Arial" w:eastAsia="Times New Roman" w:hAnsi="Arial" w:cs="Arial"/>
          <w:color w:val="000000" w:themeColor="text1"/>
          <w:lang w:eastAsia="es-ES_tradnl"/>
        </w:rPr>
        <w:t>C</w:t>
      </w:r>
      <w:r w:rsidR="002011A3" w:rsidRPr="00C470CD">
        <w:rPr>
          <w:rFonts w:ascii="Arial" w:eastAsia="Times New Roman" w:hAnsi="Arial" w:cs="Arial"/>
          <w:color w:val="000000" w:themeColor="text1"/>
          <w:lang w:eastAsia="es-ES_tradnl"/>
        </w:rPr>
        <w:t>asación que le están entregadas a la Excelentísima Corte Suprema</w:t>
      </w:r>
      <w:r w:rsidR="008315BF" w:rsidRPr="00C470CD">
        <w:rPr>
          <w:rFonts w:ascii="Arial" w:eastAsia="Times New Roman" w:hAnsi="Arial" w:cs="Arial"/>
          <w:color w:val="000000" w:themeColor="text1"/>
          <w:lang w:eastAsia="es-ES_tradnl"/>
        </w:rPr>
        <w:t>, lo cual debe ser corregido por el legislador.</w:t>
      </w:r>
    </w:p>
    <w:p w:rsidR="00CA65FE" w:rsidRDefault="00CA65FE">
      <w:pPr>
        <w:rPr>
          <w:rFonts w:ascii="Times New Roman" w:eastAsia="Times New Roman" w:hAnsi="Times New Roman" w:cs="Times New Roman"/>
          <w:color w:val="000000" w:themeColor="text1"/>
          <w:lang w:eastAsia="es-ES_tradnl"/>
        </w:rPr>
      </w:pPr>
      <w:r>
        <w:rPr>
          <w:rFonts w:ascii="Times New Roman" w:eastAsia="Times New Roman" w:hAnsi="Times New Roman" w:cs="Times New Roman"/>
          <w:color w:val="000000" w:themeColor="text1"/>
          <w:lang w:eastAsia="es-ES_tradnl"/>
        </w:rPr>
        <w:br w:type="page"/>
      </w:r>
    </w:p>
    <w:p w:rsidR="008315BF" w:rsidRPr="00C470CD" w:rsidRDefault="008315BF" w:rsidP="002011A3">
      <w:pPr>
        <w:jc w:val="both"/>
        <w:rPr>
          <w:rFonts w:ascii="Times New Roman" w:eastAsia="Times New Roman" w:hAnsi="Times New Roman" w:cs="Times New Roman"/>
          <w:color w:val="000000" w:themeColor="text1"/>
          <w:lang w:eastAsia="es-ES_tradnl"/>
        </w:rPr>
      </w:pPr>
    </w:p>
    <w:p w:rsidR="00672889" w:rsidRPr="00C470CD" w:rsidRDefault="00672889" w:rsidP="00672889">
      <w:pPr>
        <w:pStyle w:val="Prrafodelista"/>
        <w:numPr>
          <w:ilvl w:val="0"/>
          <w:numId w:val="1"/>
        </w:numPr>
        <w:jc w:val="both"/>
        <w:rPr>
          <w:rFonts w:ascii="Arial" w:eastAsia="Times New Roman" w:hAnsi="Arial" w:cs="Arial"/>
          <w:b/>
          <w:color w:val="000000" w:themeColor="text1"/>
          <w:lang w:eastAsia="es-ES_tradnl"/>
        </w:rPr>
      </w:pPr>
      <w:r w:rsidRPr="00C470CD">
        <w:rPr>
          <w:rFonts w:ascii="Arial" w:eastAsia="Times New Roman" w:hAnsi="Arial" w:cs="Arial"/>
          <w:b/>
          <w:color w:val="000000" w:themeColor="text1"/>
          <w:lang w:eastAsia="es-ES_tradnl"/>
        </w:rPr>
        <w:t>Los Derechos Humanos y los Trabajadores</w:t>
      </w:r>
    </w:p>
    <w:p w:rsidR="00672889" w:rsidRPr="00C470CD" w:rsidRDefault="00672889" w:rsidP="00500F6B">
      <w:pPr>
        <w:jc w:val="both"/>
        <w:rPr>
          <w:rFonts w:ascii="Arial" w:eastAsia="Times New Roman" w:hAnsi="Arial" w:cs="Arial"/>
          <w:b/>
          <w:color w:val="000000" w:themeColor="text1"/>
          <w:lang w:eastAsia="es-ES_tradnl"/>
        </w:rPr>
      </w:pPr>
    </w:p>
    <w:p w:rsidR="00672889" w:rsidRPr="00C470CD" w:rsidRDefault="00672889" w:rsidP="00500F6B">
      <w:pPr>
        <w:ind w:firstLine="708"/>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val="es-CL" w:eastAsia="es-ES_tradnl"/>
        </w:rPr>
        <w:t>La aplicabilidad del procedimiento de tutela a trabajadores del sector público debe tener en primacía de consideración los criterios de interpretación que la doctrina considera propios del ámbito de los derechos fundamentale.</w:t>
      </w:r>
    </w:p>
    <w:p w:rsidR="00672889" w:rsidRPr="00C470CD" w:rsidRDefault="00672889" w:rsidP="00500F6B">
      <w:pPr>
        <w:ind w:firstLine="708"/>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val="es-CL" w:eastAsia="es-ES_tradnl"/>
        </w:rPr>
        <w:t xml:space="preserve">De esta manera, </w:t>
      </w:r>
      <w:r w:rsidRPr="00C470CD">
        <w:rPr>
          <w:rFonts w:ascii="Arial" w:eastAsia="Times New Roman" w:hAnsi="Arial" w:cs="Arial"/>
          <w:b/>
          <w:color w:val="000000" w:themeColor="text1"/>
          <w:lang w:val="es-CL" w:eastAsia="es-ES_tradnl"/>
        </w:rPr>
        <w:t>el principio de primacía constitucional</w:t>
      </w:r>
      <w:r w:rsidRPr="00C470CD">
        <w:rPr>
          <w:rFonts w:ascii="Arial" w:eastAsia="Times New Roman" w:hAnsi="Arial" w:cs="Arial"/>
          <w:color w:val="000000" w:themeColor="text1"/>
          <w:lang w:val="es-CL" w:eastAsia="es-ES_tradnl"/>
        </w:rPr>
        <w:t>, conforme el cual toda norma de rango inferior al constitucional debe guardar coherencia con dicho cuerpo normativo, debiendo ser interpretada con el resguardo de ser respetuosa irrestrictamente con los derechos fundamentales que allí se garantizan. En el mismo orden de ideas, el Artículo 19 Nº 26 establece la prohibicion de afectar los derechos en su esencia, no imponiendo condiciones, tributos o requisitos que impidan su libre ejercicio. En consecuencia, si la tutela de los derechos fundamentales no es eficaz por una vía distinta a la que provee la legislación ordinaria, debe primar ésta para no alterar su ejercicio ni ser contradictoria al espíritu y letra de la Constitución.</w:t>
      </w:r>
    </w:p>
    <w:p w:rsidR="00672889" w:rsidRPr="00C470CD" w:rsidRDefault="00672889" w:rsidP="00500F6B">
      <w:pPr>
        <w:ind w:firstLine="708"/>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val="es-CL" w:eastAsia="es-ES_tradnl"/>
        </w:rPr>
        <w:t xml:space="preserve">Sin duda, la expresión positiva de esta garantia de eficacia debe considerar </w:t>
      </w:r>
      <w:r w:rsidRPr="00C470CD">
        <w:rPr>
          <w:rFonts w:ascii="Arial" w:eastAsia="Times New Roman" w:hAnsi="Arial" w:cs="Arial"/>
          <w:b/>
          <w:color w:val="000000" w:themeColor="text1"/>
          <w:lang w:val="es-CL" w:eastAsia="es-ES_tradnl"/>
        </w:rPr>
        <w:t xml:space="preserve">el principio pro homine, </w:t>
      </w:r>
      <w:r w:rsidRPr="00C470CD">
        <w:rPr>
          <w:rFonts w:ascii="Arial" w:eastAsia="Times New Roman" w:hAnsi="Arial" w:cs="Arial"/>
          <w:color w:val="000000" w:themeColor="text1"/>
          <w:lang w:val="es-CL" w:eastAsia="es-ES_tradnl"/>
        </w:rPr>
        <w:t>conforme el</w:t>
      </w:r>
      <w:r w:rsidRPr="00C470CD">
        <w:rPr>
          <w:rFonts w:ascii="Arial" w:eastAsia="Times New Roman" w:hAnsi="Arial" w:cs="Arial"/>
          <w:b/>
          <w:color w:val="000000" w:themeColor="text1"/>
          <w:lang w:val="es-CL" w:eastAsia="es-ES_tradnl"/>
        </w:rPr>
        <w:t xml:space="preserve"> </w:t>
      </w:r>
      <w:r w:rsidRPr="00C470CD">
        <w:rPr>
          <w:rFonts w:ascii="Arial" w:eastAsia="Times New Roman" w:hAnsi="Arial" w:cs="Arial"/>
          <w:color w:val="000000" w:themeColor="text1"/>
          <w:lang w:val="es-CL" w:eastAsia="es-ES_tradnl"/>
        </w:rPr>
        <w:t xml:space="preserve">cual las disposiciones deben ser interpretadas de la forma en que mejor satisfagan la protección y garantía de los derechos humanos. Estos derechos, en caso de existir evidente desigualdad de condiciones de fuerza, conforme el </w:t>
      </w:r>
      <w:r w:rsidRPr="00C470CD">
        <w:rPr>
          <w:rFonts w:ascii="Arial" w:eastAsia="Times New Roman" w:hAnsi="Arial" w:cs="Arial"/>
          <w:b/>
          <w:color w:val="000000" w:themeColor="text1"/>
          <w:lang w:val="es-CL" w:eastAsia="es-ES_tradnl"/>
        </w:rPr>
        <w:t>pro debilis</w:t>
      </w:r>
      <w:r w:rsidRPr="00C470CD">
        <w:rPr>
          <w:rFonts w:ascii="Arial" w:eastAsia="Times New Roman" w:hAnsi="Arial" w:cs="Arial"/>
          <w:color w:val="000000" w:themeColor="text1"/>
          <w:lang w:val="es-CL" w:eastAsia="es-ES_tradnl"/>
        </w:rPr>
        <w:t xml:space="preserve">, </w:t>
      </w:r>
      <w:r w:rsidR="00500F6B" w:rsidRPr="00C470CD">
        <w:rPr>
          <w:rFonts w:ascii="Arial" w:eastAsia="Times New Roman" w:hAnsi="Arial" w:cs="Arial"/>
          <w:color w:val="000000" w:themeColor="text1"/>
          <w:lang w:val="es-CL" w:eastAsia="es-ES_tradnl"/>
        </w:rPr>
        <w:t xml:space="preserve">debe privlegiar una aplicación que, interpretando la norma, permita alcanzar un mayor grado de equilibrio en las posiciones. En el ámbito laboral específico, este último principio debe ser concordado con el </w:t>
      </w:r>
      <w:r w:rsidR="00500F6B" w:rsidRPr="00C470CD">
        <w:rPr>
          <w:rFonts w:ascii="Arial" w:eastAsia="Times New Roman" w:hAnsi="Arial" w:cs="Arial"/>
          <w:b/>
          <w:color w:val="000000" w:themeColor="text1"/>
          <w:lang w:val="es-CL" w:eastAsia="es-ES_tradnl"/>
        </w:rPr>
        <w:t>principio indubio pro operario</w:t>
      </w:r>
      <w:r w:rsidR="00500F6B" w:rsidRPr="00C470CD">
        <w:rPr>
          <w:rFonts w:ascii="Arial" w:eastAsia="Times New Roman" w:hAnsi="Arial" w:cs="Arial"/>
          <w:color w:val="000000" w:themeColor="text1"/>
          <w:lang w:val="es-CL" w:eastAsia="es-ES_tradnl"/>
        </w:rPr>
        <w:t>, que establece que ante la duda sobre la aplicación de una norma u otra, debe preferirse a aquella que otorge una protección más intensa y eficaz a la contraparte débil de la relación laboral, es decir, al trabajador.</w:t>
      </w:r>
    </w:p>
    <w:p w:rsidR="00500F6B" w:rsidRPr="00C470CD" w:rsidRDefault="00500F6B" w:rsidP="00500F6B">
      <w:pPr>
        <w:ind w:firstLine="708"/>
        <w:jc w:val="both"/>
        <w:rPr>
          <w:rFonts w:ascii="Arial" w:eastAsia="Times New Roman" w:hAnsi="Arial" w:cs="Arial"/>
          <w:color w:val="000000" w:themeColor="text1"/>
          <w:lang w:eastAsia="es-ES_tradnl"/>
        </w:rPr>
      </w:pPr>
      <w:r w:rsidRPr="00C470CD">
        <w:rPr>
          <w:rFonts w:ascii="Arial" w:eastAsia="Times New Roman" w:hAnsi="Arial" w:cs="Arial"/>
          <w:color w:val="000000" w:themeColor="text1"/>
          <w:lang w:eastAsia="es-ES_tradnl"/>
        </w:rPr>
        <w:t>La combinación de estos principios y normas constitucionales se compaginan con la igualdad ante la ley y igual protección en el ejercicio de sus derechos que le es a</w:t>
      </w:r>
      <w:r w:rsidR="00807AAA" w:rsidRPr="00C470CD">
        <w:rPr>
          <w:rFonts w:ascii="Arial" w:eastAsia="Times New Roman" w:hAnsi="Arial" w:cs="Arial"/>
          <w:color w:val="000000" w:themeColor="text1"/>
          <w:lang w:eastAsia="es-ES_tradnl"/>
        </w:rPr>
        <w:t>s</w:t>
      </w:r>
      <w:r w:rsidRPr="00C470CD">
        <w:rPr>
          <w:rFonts w:ascii="Arial" w:eastAsia="Times New Roman" w:hAnsi="Arial" w:cs="Arial"/>
          <w:color w:val="000000" w:themeColor="text1"/>
          <w:lang w:eastAsia="es-ES_tradnl"/>
        </w:rPr>
        <w:t xml:space="preserve">egurada a todas las personas en el Artículo 19 Nº 2 y Nº 3 de la Constitución, respectivamente. </w:t>
      </w:r>
    </w:p>
    <w:p w:rsidR="00500F6B" w:rsidRPr="00C470CD" w:rsidRDefault="00500F6B" w:rsidP="00500F6B">
      <w:pPr>
        <w:ind w:firstLine="708"/>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eastAsia="es-ES_tradnl"/>
        </w:rPr>
        <w:t xml:space="preserve">Finalmente, atendida la constatación fáctica de que los trabajadores públicos hoy gozan de una protección inferior que la de sus pares del sector privado, no podemos sino explicitar, </w:t>
      </w:r>
      <w:r w:rsidR="0055486D" w:rsidRPr="00C470CD">
        <w:rPr>
          <w:rFonts w:ascii="Arial" w:eastAsia="Times New Roman" w:hAnsi="Arial" w:cs="Arial"/>
          <w:color w:val="000000" w:themeColor="text1"/>
          <w:lang w:eastAsia="es-ES_tradnl"/>
        </w:rPr>
        <w:t>vía</w:t>
      </w:r>
      <w:r w:rsidRPr="00C470CD">
        <w:rPr>
          <w:rFonts w:ascii="Arial" w:eastAsia="Times New Roman" w:hAnsi="Arial" w:cs="Arial"/>
          <w:color w:val="000000" w:themeColor="text1"/>
          <w:lang w:eastAsia="es-ES_tradnl"/>
        </w:rPr>
        <w:t xml:space="preserve"> </w:t>
      </w:r>
      <w:r w:rsidR="0055486D" w:rsidRPr="00C470CD">
        <w:rPr>
          <w:rFonts w:ascii="Arial" w:eastAsia="Times New Roman" w:hAnsi="Arial" w:cs="Arial"/>
          <w:color w:val="000000" w:themeColor="text1"/>
          <w:lang w:eastAsia="es-ES_tradnl"/>
        </w:rPr>
        <w:t>interpretación</w:t>
      </w:r>
      <w:r w:rsidRPr="00C470CD">
        <w:rPr>
          <w:rFonts w:ascii="Arial" w:eastAsia="Times New Roman" w:hAnsi="Arial" w:cs="Arial"/>
          <w:color w:val="000000" w:themeColor="text1"/>
          <w:lang w:eastAsia="es-ES_tradnl"/>
        </w:rPr>
        <w:t xml:space="preserve"> legal, los dispositivos de homologación de dichos derechos con el fin de reparar una injusticia manifiesta. </w:t>
      </w:r>
      <w:r w:rsidRPr="00C470CD">
        <w:rPr>
          <w:rFonts w:ascii="Arial" w:eastAsia="Times New Roman" w:hAnsi="Arial" w:cs="Arial"/>
          <w:color w:val="000000" w:themeColor="text1"/>
          <w:lang w:val="es-CL" w:eastAsia="es-ES_tradnl"/>
        </w:rPr>
        <w:t xml:space="preserve">No hacerlo implica perpetuar una situación de discriminación arbitraria del todo contraria al texto y espíritu de la Constitución y de los tratados internacionales que Chile ha suscrito. </w:t>
      </w:r>
    </w:p>
    <w:p w:rsidR="00500F6B" w:rsidRPr="00C470CD" w:rsidRDefault="002011A3" w:rsidP="00500F6B">
      <w:pPr>
        <w:ind w:firstLine="708"/>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eastAsia="es-ES_tradnl"/>
        </w:rPr>
        <w:t xml:space="preserve">Las trabajadoras y trabajadores de nuestro </w:t>
      </w:r>
      <w:r w:rsidR="0055486D" w:rsidRPr="00C470CD">
        <w:rPr>
          <w:rFonts w:ascii="Arial" w:eastAsia="Times New Roman" w:hAnsi="Arial" w:cs="Arial"/>
          <w:color w:val="000000" w:themeColor="text1"/>
          <w:lang w:eastAsia="es-ES_tradnl"/>
        </w:rPr>
        <w:t>país</w:t>
      </w:r>
      <w:r w:rsidRPr="00C470CD">
        <w:rPr>
          <w:rFonts w:ascii="Arial" w:eastAsia="Times New Roman" w:hAnsi="Arial" w:cs="Arial"/>
          <w:color w:val="000000" w:themeColor="text1"/>
          <w:lang w:eastAsia="es-ES_tradnl"/>
        </w:rPr>
        <w:t xml:space="preserve"> necesitan de la protección de nuestro sistema normativo, ante la vulneración de sus derechos fundamentales, con independencia de si su empleador es un privado o el </w:t>
      </w:r>
      <w:r w:rsidR="00500F6B" w:rsidRPr="00C470CD">
        <w:rPr>
          <w:rFonts w:ascii="Arial" w:eastAsia="Times New Roman" w:hAnsi="Arial" w:cs="Arial"/>
          <w:color w:val="000000" w:themeColor="text1"/>
          <w:lang w:eastAsia="es-ES_tradnl"/>
        </w:rPr>
        <w:t>E</w:t>
      </w:r>
      <w:r w:rsidRPr="00C470CD">
        <w:rPr>
          <w:rFonts w:ascii="Arial" w:eastAsia="Times New Roman" w:hAnsi="Arial" w:cs="Arial"/>
          <w:color w:val="000000" w:themeColor="text1"/>
          <w:lang w:eastAsia="es-ES_tradnl"/>
        </w:rPr>
        <w:t>stado</w:t>
      </w:r>
      <w:r w:rsidR="00500F6B" w:rsidRPr="00C470CD">
        <w:rPr>
          <w:rFonts w:ascii="Arial" w:eastAsia="Times New Roman" w:hAnsi="Arial" w:cs="Arial"/>
          <w:color w:val="000000" w:themeColor="text1"/>
          <w:lang w:eastAsia="es-ES_tradnl"/>
        </w:rPr>
        <w:t>.</w:t>
      </w:r>
    </w:p>
    <w:p w:rsidR="007E5B2A" w:rsidRDefault="007E5B2A">
      <w:pPr>
        <w:rPr>
          <w:rFonts w:ascii="Arial" w:eastAsia="Times New Roman" w:hAnsi="Arial" w:cs="Arial"/>
          <w:color w:val="000000" w:themeColor="text1"/>
          <w:lang w:eastAsia="es-ES_tradnl"/>
        </w:rPr>
      </w:pPr>
      <w:r>
        <w:rPr>
          <w:rFonts w:ascii="Arial" w:eastAsia="Times New Roman" w:hAnsi="Arial" w:cs="Arial"/>
          <w:color w:val="000000" w:themeColor="text1"/>
          <w:lang w:eastAsia="es-ES_tradnl"/>
        </w:rPr>
        <w:br w:type="page"/>
      </w:r>
    </w:p>
    <w:p w:rsidR="002011A3" w:rsidRPr="00C470CD" w:rsidRDefault="002011A3" w:rsidP="00500F6B">
      <w:pPr>
        <w:ind w:firstLine="708"/>
        <w:jc w:val="both"/>
        <w:rPr>
          <w:rFonts w:ascii="Arial" w:eastAsia="Times New Roman" w:hAnsi="Arial" w:cs="Arial"/>
          <w:color w:val="000000" w:themeColor="text1"/>
          <w:lang w:val="es-CL" w:eastAsia="es-ES_tradnl"/>
        </w:rPr>
      </w:pPr>
      <w:r w:rsidRPr="00C470CD">
        <w:rPr>
          <w:rFonts w:ascii="Arial" w:eastAsia="Times New Roman" w:hAnsi="Arial" w:cs="Arial"/>
          <w:color w:val="000000" w:themeColor="text1"/>
          <w:lang w:eastAsia="es-ES_tradnl"/>
        </w:rPr>
        <w:lastRenderedPageBreak/>
        <w:t xml:space="preserve">En virtud de lo anterior, sometemos a vuestra consideración el siguiente proyecto de ley: </w:t>
      </w:r>
    </w:p>
    <w:p w:rsidR="002011A3" w:rsidRPr="00C470CD" w:rsidRDefault="002011A3" w:rsidP="002011A3">
      <w:pPr>
        <w:spacing w:after="240"/>
        <w:rPr>
          <w:rFonts w:ascii="Times New Roman" w:eastAsia="Times New Roman" w:hAnsi="Times New Roman" w:cs="Times New Roman"/>
          <w:color w:val="000000" w:themeColor="text1"/>
          <w:lang w:eastAsia="es-ES_tradnl"/>
        </w:rPr>
      </w:pPr>
    </w:p>
    <w:p w:rsidR="002011A3" w:rsidRPr="00C470CD" w:rsidRDefault="002011A3" w:rsidP="002011A3">
      <w:pPr>
        <w:jc w:val="center"/>
        <w:rPr>
          <w:rFonts w:ascii="Times New Roman" w:eastAsia="Times New Roman" w:hAnsi="Times New Roman" w:cs="Times New Roman"/>
          <w:color w:val="000000" w:themeColor="text1"/>
          <w:lang w:eastAsia="es-ES_tradnl"/>
        </w:rPr>
      </w:pPr>
      <w:r w:rsidRPr="00C470CD">
        <w:rPr>
          <w:rFonts w:ascii="Arial" w:eastAsia="Times New Roman" w:hAnsi="Arial" w:cs="Arial"/>
          <w:b/>
          <w:bCs/>
          <w:color w:val="000000" w:themeColor="text1"/>
          <w:u w:val="single"/>
          <w:lang w:eastAsia="es-ES_tradnl"/>
        </w:rPr>
        <w:t xml:space="preserve">Proyecto de </w:t>
      </w:r>
      <w:r w:rsidR="00807AAA" w:rsidRPr="00C470CD">
        <w:rPr>
          <w:rFonts w:ascii="Arial" w:eastAsia="Times New Roman" w:hAnsi="Arial" w:cs="Arial"/>
          <w:b/>
          <w:bCs/>
          <w:color w:val="000000" w:themeColor="text1"/>
          <w:u w:val="single"/>
          <w:lang w:eastAsia="es-ES_tradnl"/>
        </w:rPr>
        <w:t>L</w:t>
      </w:r>
      <w:r w:rsidRPr="00C470CD">
        <w:rPr>
          <w:rFonts w:ascii="Arial" w:eastAsia="Times New Roman" w:hAnsi="Arial" w:cs="Arial"/>
          <w:b/>
          <w:bCs/>
          <w:color w:val="000000" w:themeColor="text1"/>
          <w:u w:val="single"/>
          <w:lang w:eastAsia="es-ES_tradnl"/>
        </w:rPr>
        <w:t>ey</w:t>
      </w:r>
    </w:p>
    <w:p w:rsidR="002011A3" w:rsidRPr="00C470CD" w:rsidRDefault="002011A3" w:rsidP="002011A3">
      <w:pPr>
        <w:rPr>
          <w:rFonts w:ascii="Times New Roman" w:eastAsia="Times New Roman" w:hAnsi="Times New Roman" w:cs="Times New Roman"/>
          <w:color w:val="000000" w:themeColor="text1"/>
          <w:lang w:eastAsia="es-ES_tradnl"/>
        </w:rPr>
      </w:pPr>
    </w:p>
    <w:p w:rsidR="002011A3" w:rsidRPr="00C470CD" w:rsidRDefault="002011A3" w:rsidP="002011A3">
      <w:pPr>
        <w:rPr>
          <w:rFonts w:ascii="Times New Roman" w:eastAsia="Times New Roman" w:hAnsi="Times New Roman" w:cs="Times New Roman"/>
          <w:color w:val="000000" w:themeColor="text1"/>
          <w:lang w:eastAsia="es-ES_tradnl"/>
        </w:rPr>
      </w:pPr>
      <w:r w:rsidRPr="00C470CD">
        <w:rPr>
          <w:rFonts w:ascii="Arial" w:eastAsia="Times New Roman" w:hAnsi="Arial" w:cs="Arial"/>
          <w:b/>
          <w:bCs/>
          <w:color w:val="000000" w:themeColor="text1"/>
          <w:lang w:eastAsia="es-ES_tradnl"/>
        </w:rPr>
        <w:t>Artículo único:</w:t>
      </w:r>
      <w:r w:rsidRPr="00C470CD">
        <w:rPr>
          <w:rFonts w:ascii="Arial" w:eastAsia="Times New Roman" w:hAnsi="Arial" w:cs="Arial"/>
          <w:color w:val="000000" w:themeColor="text1"/>
          <w:lang w:eastAsia="es-ES_tradnl"/>
        </w:rPr>
        <w:t xml:space="preserve"> Declárase interpretada la expresión “trabajadores” contenida en el i</w:t>
      </w:r>
      <w:r w:rsidR="0055486D">
        <w:rPr>
          <w:rFonts w:ascii="Arial" w:eastAsia="Times New Roman" w:hAnsi="Arial" w:cs="Arial"/>
          <w:color w:val="000000" w:themeColor="text1"/>
          <w:lang w:eastAsia="es-ES_tradnl"/>
        </w:rPr>
        <w:t xml:space="preserve">nciso primero artículo 485 del </w:t>
      </w:r>
      <w:r w:rsidR="00807AAA" w:rsidRPr="00C470CD">
        <w:rPr>
          <w:rFonts w:ascii="Arial" w:eastAsia="Times New Roman" w:hAnsi="Arial" w:cs="Arial"/>
          <w:color w:val="000000" w:themeColor="text1"/>
          <w:lang w:eastAsia="es-ES_tradnl"/>
        </w:rPr>
        <w:t>C</w:t>
      </w:r>
      <w:r w:rsidRPr="00C470CD">
        <w:rPr>
          <w:rFonts w:ascii="Arial" w:eastAsia="Times New Roman" w:hAnsi="Arial" w:cs="Arial"/>
          <w:color w:val="000000" w:themeColor="text1"/>
          <w:lang w:eastAsia="es-ES_tradnl"/>
        </w:rPr>
        <w:t xml:space="preserve">ódigo del </w:t>
      </w:r>
      <w:r w:rsidR="00807AAA" w:rsidRPr="00C470CD">
        <w:rPr>
          <w:rFonts w:ascii="Arial" w:eastAsia="Times New Roman" w:hAnsi="Arial" w:cs="Arial"/>
          <w:color w:val="000000" w:themeColor="text1"/>
          <w:lang w:eastAsia="es-ES_tradnl"/>
        </w:rPr>
        <w:t>T</w:t>
      </w:r>
      <w:r w:rsidRPr="00C470CD">
        <w:rPr>
          <w:rFonts w:ascii="Arial" w:eastAsia="Times New Roman" w:hAnsi="Arial" w:cs="Arial"/>
          <w:color w:val="000000" w:themeColor="text1"/>
          <w:lang w:eastAsia="es-ES_tradnl"/>
        </w:rPr>
        <w:t xml:space="preserve">rabajo en el siguiente sentido: </w:t>
      </w:r>
    </w:p>
    <w:p w:rsidR="002011A3" w:rsidRPr="00C470CD" w:rsidRDefault="002011A3" w:rsidP="002011A3">
      <w:pPr>
        <w:rPr>
          <w:rFonts w:ascii="Times New Roman" w:eastAsia="Times New Roman" w:hAnsi="Times New Roman" w:cs="Times New Roman"/>
          <w:color w:val="000000" w:themeColor="text1"/>
          <w:lang w:eastAsia="es-ES_tradnl"/>
        </w:rPr>
      </w:pPr>
    </w:p>
    <w:p w:rsidR="002011A3" w:rsidRPr="00C470CD" w:rsidRDefault="002011A3" w:rsidP="002011A3">
      <w:pPr>
        <w:jc w:val="both"/>
        <w:rPr>
          <w:rFonts w:ascii="Times New Roman" w:eastAsia="Times New Roman" w:hAnsi="Times New Roman" w:cs="Times New Roman"/>
          <w:color w:val="000000" w:themeColor="text1"/>
          <w:lang w:eastAsia="es-ES_tradnl"/>
        </w:rPr>
      </w:pPr>
      <w:r w:rsidRPr="00C470CD">
        <w:rPr>
          <w:rFonts w:ascii="Arial" w:eastAsia="Times New Roman" w:hAnsi="Arial" w:cs="Arial"/>
          <w:color w:val="000000" w:themeColor="text1"/>
          <w:lang w:eastAsia="es-ES_tradnl"/>
        </w:rPr>
        <w:t xml:space="preserve">“Entiéndase comprendidos en la expresión </w:t>
      </w:r>
      <w:r w:rsidR="00807AAA" w:rsidRPr="00C470CD">
        <w:rPr>
          <w:rFonts w:ascii="Arial" w:eastAsia="Times New Roman" w:hAnsi="Arial" w:cs="Arial"/>
          <w:color w:val="000000" w:themeColor="text1"/>
          <w:lang w:eastAsia="es-ES_tradnl"/>
        </w:rPr>
        <w:t>a</w:t>
      </w:r>
      <w:r w:rsidRPr="00C470CD">
        <w:rPr>
          <w:rFonts w:ascii="Arial" w:eastAsia="Times New Roman" w:hAnsi="Arial" w:cs="Arial"/>
          <w:color w:val="000000" w:themeColor="text1"/>
          <w:lang w:eastAsia="es-ES_tradnl"/>
        </w:rPr>
        <w:t xml:space="preserve"> los trabajadores a los que hace referencia el inciso segundo del </w:t>
      </w:r>
      <w:r w:rsidR="00807AAA" w:rsidRPr="00C470CD">
        <w:rPr>
          <w:rFonts w:ascii="Arial" w:eastAsia="Times New Roman" w:hAnsi="Arial" w:cs="Arial"/>
          <w:color w:val="000000" w:themeColor="text1"/>
          <w:lang w:eastAsia="es-ES_tradnl"/>
        </w:rPr>
        <w:t>A</w:t>
      </w:r>
      <w:r w:rsidRPr="00C470CD">
        <w:rPr>
          <w:rFonts w:ascii="Arial" w:eastAsia="Times New Roman" w:hAnsi="Arial" w:cs="Arial"/>
          <w:color w:val="000000" w:themeColor="text1"/>
          <w:lang w:eastAsia="es-ES_tradnl"/>
        </w:rPr>
        <w:t>rtículo 1º del Código del Trabajo, en virtud de lo dispuesto en los incisos primero y tercero de este artículo”</w:t>
      </w:r>
    </w:p>
    <w:p w:rsidR="002011A3" w:rsidRPr="00C470CD" w:rsidRDefault="002011A3" w:rsidP="002011A3">
      <w:pPr>
        <w:spacing w:after="240"/>
        <w:rPr>
          <w:rFonts w:ascii="Times New Roman" w:eastAsia="Times New Roman" w:hAnsi="Times New Roman" w:cs="Times New Roman"/>
          <w:color w:val="000000" w:themeColor="text1"/>
          <w:lang w:eastAsia="es-ES_tradnl"/>
        </w:rPr>
      </w:pPr>
      <w:r w:rsidRPr="00C470CD">
        <w:rPr>
          <w:rFonts w:ascii="Times New Roman" w:eastAsia="Times New Roman" w:hAnsi="Times New Roman" w:cs="Times New Roman"/>
          <w:color w:val="000000" w:themeColor="text1"/>
          <w:lang w:eastAsia="es-ES_tradnl"/>
        </w:rPr>
        <w:br/>
      </w:r>
    </w:p>
    <w:p w:rsidR="002011A3" w:rsidRPr="00C470CD" w:rsidRDefault="002011A3">
      <w:pPr>
        <w:rPr>
          <w:color w:val="000000" w:themeColor="text1"/>
        </w:rPr>
      </w:pPr>
    </w:p>
    <w:sectPr w:rsidR="002011A3" w:rsidRPr="00C470CD" w:rsidSect="00CA65FE">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0696"/>
    <w:multiLevelType w:val="hybridMultilevel"/>
    <w:tmpl w:val="3C04D78C"/>
    <w:lvl w:ilvl="0" w:tplc="4A10A06E">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 w15:restartNumberingAfterBreak="0">
    <w:nsid w:val="55001DB9"/>
    <w:multiLevelType w:val="hybridMultilevel"/>
    <w:tmpl w:val="A68488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A3"/>
    <w:rsid w:val="002011A3"/>
    <w:rsid w:val="002075CA"/>
    <w:rsid w:val="00425425"/>
    <w:rsid w:val="00500F6B"/>
    <w:rsid w:val="00534DCA"/>
    <w:rsid w:val="0055486D"/>
    <w:rsid w:val="00610C1F"/>
    <w:rsid w:val="00652066"/>
    <w:rsid w:val="00654CB9"/>
    <w:rsid w:val="00672889"/>
    <w:rsid w:val="007567E7"/>
    <w:rsid w:val="007A5F90"/>
    <w:rsid w:val="007E5B2A"/>
    <w:rsid w:val="00807AAA"/>
    <w:rsid w:val="008210A0"/>
    <w:rsid w:val="008315BF"/>
    <w:rsid w:val="008C2670"/>
    <w:rsid w:val="009420A0"/>
    <w:rsid w:val="00BA1EAA"/>
    <w:rsid w:val="00C470CD"/>
    <w:rsid w:val="00C6675A"/>
    <w:rsid w:val="00C765EA"/>
    <w:rsid w:val="00CA65FE"/>
    <w:rsid w:val="00D4335F"/>
    <w:rsid w:val="00DF66D8"/>
    <w:rsid w:val="00ED54FE"/>
    <w:rsid w:val="00F73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B0166-066C-394F-8FB4-4167394F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11A3"/>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C7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5617">
      <w:bodyDiv w:val="1"/>
      <w:marLeft w:val="0"/>
      <w:marRight w:val="0"/>
      <w:marTop w:val="0"/>
      <w:marBottom w:val="0"/>
      <w:divBdr>
        <w:top w:val="none" w:sz="0" w:space="0" w:color="auto"/>
        <w:left w:val="none" w:sz="0" w:space="0" w:color="auto"/>
        <w:bottom w:val="none" w:sz="0" w:space="0" w:color="auto"/>
        <w:right w:val="none" w:sz="0" w:space="0" w:color="auto"/>
      </w:divBdr>
    </w:div>
    <w:div w:id="327094442">
      <w:bodyDiv w:val="1"/>
      <w:marLeft w:val="0"/>
      <w:marRight w:val="0"/>
      <w:marTop w:val="0"/>
      <w:marBottom w:val="0"/>
      <w:divBdr>
        <w:top w:val="none" w:sz="0" w:space="0" w:color="auto"/>
        <w:left w:val="none" w:sz="0" w:space="0" w:color="auto"/>
        <w:bottom w:val="none" w:sz="0" w:space="0" w:color="auto"/>
        <w:right w:val="none" w:sz="0" w:space="0" w:color="auto"/>
      </w:divBdr>
    </w:div>
    <w:div w:id="642809416">
      <w:bodyDiv w:val="1"/>
      <w:marLeft w:val="0"/>
      <w:marRight w:val="0"/>
      <w:marTop w:val="0"/>
      <w:marBottom w:val="0"/>
      <w:divBdr>
        <w:top w:val="none" w:sz="0" w:space="0" w:color="auto"/>
        <w:left w:val="none" w:sz="0" w:space="0" w:color="auto"/>
        <w:bottom w:val="none" w:sz="0" w:space="0" w:color="auto"/>
        <w:right w:val="none" w:sz="0" w:space="0" w:color="auto"/>
      </w:divBdr>
    </w:div>
    <w:div w:id="711809992">
      <w:bodyDiv w:val="1"/>
      <w:marLeft w:val="0"/>
      <w:marRight w:val="0"/>
      <w:marTop w:val="0"/>
      <w:marBottom w:val="0"/>
      <w:divBdr>
        <w:top w:val="none" w:sz="0" w:space="0" w:color="auto"/>
        <w:left w:val="none" w:sz="0" w:space="0" w:color="auto"/>
        <w:bottom w:val="none" w:sz="0" w:space="0" w:color="auto"/>
        <w:right w:val="none" w:sz="0" w:space="0" w:color="auto"/>
      </w:divBdr>
    </w:div>
    <w:div w:id="1194347215">
      <w:bodyDiv w:val="1"/>
      <w:marLeft w:val="0"/>
      <w:marRight w:val="0"/>
      <w:marTop w:val="0"/>
      <w:marBottom w:val="0"/>
      <w:divBdr>
        <w:top w:val="none" w:sz="0" w:space="0" w:color="auto"/>
        <w:left w:val="none" w:sz="0" w:space="0" w:color="auto"/>
        <w:bottom w:val="none" w:sz="0" w:space="0" w:color="auto"/>
        <w:right w:val="none" w:sz="0" w:space="0" w:color="auto"/>
      </w:divBdr>
    </w:div>
    <w:div w:id="13994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2554</Words>
  <Characters>14050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Riquelme</dc:creator>
  <cp:keywords/>
  <dc:description/>
  <cp:lastModifiedBy>Leonardo Lueiza Ureta</cp:lastModifiedBy>
  <cp:revision>7</cp:revision>
  <dcterms:created xsi:type="dcterms:W3CDTF">2018-12-30T21:07:00Z</dcterms:created>
  <dcterms:modified xsi:type="dcterms:W3CDTF">2019-01-09T15:14:00Z</dcterms:modified>
</cp:coreProperties>
</file>