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10" w:rsidRDefault="00952AA2" w:rsidP="00D40710">
      <w:pPr>
        <w:spacing w:line="256" w:lineRule="auto"/>
        <w:jc w:val="center"/>
        <w:rPr>
          <w:rFonts w:ascii="Palatino Linotype" w:eastAsia="Calibri" w:hAnsi="Palatino Linotype" w:cs="Times New Roman"/>
          <w:b/>
          <w:sz w:val="28"/>
          <w:szCs w:val="28"/>
        </w:rPr>
      </w:pPr>
      <w:r w:rsidRPr="00952AA2">
        <w:rPr>
          <w:rFonts w:ascii="Palatino Linotype" w:eastAsia="Calibri" w:hAnsi="Palatino Linotype" w:cs="Times New Roman"/>
          <w:b/>
          <w:sz w:val="28"/>
          <w:szCs w:val="28"/>
        </w:rPr>
        <w:t>Modifica la ley N° 19.070, que Aprueba Estatuto de los Profesionales de la Educación, en lo que respecta a la selección y rol de los directores de establecimientos educacionales municipales, y al término de la relación laboral de los docentes</w:t>
      </w:r>
    </w:p>
    <w:p w:rsidR="00952AA2" w:rsidRPr="00952AA2" w:rsidRDefault="00952AA2" w:rsidP="00952AA2">
      <w:pPr>
        <w:spacing w:line="240" w:lineRule="auto"/>
        <w:jc w:val="center"/>
        <w:rPr>
          <w:rFonts w:ascii="Palatino Linotype" w:eastAsia="Calibri" w:hAnsi="Palatino Linotype" w:cs="Times New Roman"/>
          <w:b/>
          <w:sz w:val="28"/>
          <w:szCs w:val="28"/>
        </w:rPr>
      </w:pPr>
    </w:p>
    <w:p w:rsidR="00D40710" w:rsidRDefault="00952AA2" w:rsidP="00D40710">
      <w:pPr>
        <w:spacing w:line="256" w:lineRule="auto"/>
        <w:jc w:val="center"/>
        <w:rPr>
          <w:rFonts w:ascii="Palatino Linotype" w:eastAsia="Calibri" w:hAnsi="Palatino Linotype" w:cs="Times New Roman"/>
          <w:b/>
        </w:rPr>
      </w:pPr>
      <w:r>
        <w:rPr>
          <w:rFonts w:ascii="Palatino Linotype" w:eastAsia="Calibri" w:hAnsi="Palatino Linotype" w:cs="Times New Roman"/>
          <w:b/>
        </w:rPr>
        <w:t>Boletín N°12380-04</w:t>
      </w:r>
    </w:p>
    <w:p w:rsidR="00952AA2" w:rsidRPr="00D40710" w:rsidRDefault="00952AA2" w:rsidP="00D40710">
      <w:pPr>
        <w:spacing w:line="256" w:lineRule="auto"/>
        <w:jc w:val="center"/>
        <w:rPr>
          <w:rFonts w:ascii="Palatino Linotype" w:eastAsia="Calibri" w:hAnsi="Palatino Linotype" w:cs="Times New Roman"/>
          <w:b/>
        </w:rPr>
      </w:pPr>
    </w:p>
    <w:p w:rsidR="00D40710" w:rsidRPr="00D40710" w:rsidRDefault="00D40710" w:rsidP="00D40710">
      <w:pPr>
        <w:spacing w:line="256" w:lineRule="auto"/>
        <w:jc w:val="both"/>
        <w:rPr>
          <w:rFonts w:ascii="Palatino Linotype" w:eastAsia="Calibri" w:hAnsi="Palatino Linotype" w:cs="Times New Roman"/>
          <w:b/>
        </w:rPr>
      </w:pPr>
      <w:r w:rsidRPr="00D40710">
        <w:rPr>
          <w:rFonts w:ascii="Palatino Linotype" w:eastAsia="Calibri" w:hAnsi="Palatino Linotype" w:cs="Times New Roman"/>
          <w:b/>
        </w:rPr>
        <w:tab/>
        <w:t>I.- ANTECEDENTES</w:t>
      </w: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 xml:space="preserve">El año 2011 entró en vigencia en Chile la Ley N°20.501 sobre Calidad y Equidad en la Educación, que estableció un nuevo mecanismo de selección de directores de colegios municipales, con el fin de mejorar la gestión y administración de la educación pública y fortalecer el desempeño directivo. </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Dicha ley supuso un cambio al sistema tradicional vigente, que dejaba en manos del municipio la selección de los directores, lo que se prestaba, se decía, para el “clientelismo” o pago de favores políticos, sin poder convocar para esa labor a educadores con las competencias profesionales e idoneidad para la gestión directiva.</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El nuevo sistema sometió la selección de directores al Sistema de Alta Dirección Pública, (ADP), institucionalidad creada el año 2003 para seleccionar directivos públicos de primer y segundo nivel jerárquico del Gobierno Central, con la colaboración de la Dirección Nacional del Servicio Civil</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En este sentido, la tarea de la Alta Dirección Pública fue entregar su experiencia en la selección directiva por medio de concursos públicos, abiertos, competitivos y transparentes, para identificar a profesionales con liderazgo pedagógico, capacidad de gestión y visión estratégica, comprometidos con su comunidad escolar en el desarrollo de proyectos educativos efectivos e innovadores.</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La Ley N° 20.501 también dispuso que los directores electos por este mecanismo pudieran formar sus propios equipos directivos, despedir anualmente hasta un 5% de su dotación docente (entre aquellos que obtuvieran una evaluación insatisfactoria) y crear mecanismos de evaluación descentralizados. Además, los nuevos directores podrían acceder a mejores sueldos, dependiendo de la matrícula del establecimiento y el grado de concentración de alumnos prioritarios.</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En consecuencia, la nueva normativa estableció, por una parte, un proceso de selección de directores en concursos que se asimilan a los de Alta Dirección</w:t>
      </w:r>
      <w:r>
        <w:rPr>
          <w:rFonts w:ascii="Palatino Linotype" w:eastAsia="Calibri" w:hAnsi="Palatino Linotype" w:cs="Times New Roman"/>
        </w:rPr>
        <w:t xml:space="preserve"> </w:t>
      </w:r>
      <w:r w:rsidRPr="00D40710">
        <w:rPr>
          <w:rFonts w:ascii="Palatino Linotype" w:eastAsia="Calibri" w:hAnsi="Palatino Linotype" w:cs="Times New Roman"/>
        </w:rPr>
        <w:t>Pública (ADP) con las garantías de dar impulso a procesos transparentes basados en el mérito de los postulantes y, por el otro, entregar a los directores electos mayores atribuciones para su gestión.</w:t>
      </w:r>
      <w:r w:rsidRPr="00D40710">
        <w:rPr>
          <w:rFonts w:ascii="Palatino Linotype" w:eastAsia="Calibri" w:hAnsi="Palatino Linotype" w:cs="Times New Roman"/>
        </w:rPr>
        <w:cr/>
      </w: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Luego de 7 años de implementación de la Ley Nº 20.501, estudios han concluido que su impacto sobre variables de desempeño</w:t>
      </w:r>
      <w:r>
        <w:rPr>
          <w:rFonts w:ascii="Palatino Linotype" w:eastAsia="Calibri" w:hAnsi="Palatino Linotype" w:cs="Times New Roman"/>
        </w:rPr>
        <w:t xml:space="preserve"> </w:t>
      </w:r>
      <w:r w:rsidRPr="00D40710">
        <w:rPr>
          <w:rFonts w:ascii="Palatino Linotype" w:eastAsia="Calibri" w:hAnsi="Palatino Linotype" w:cs="Times New Roman"/>
        </w:rPr>
        <w:t>escolar es más bien dispar.</w:t>
      </w:r>
      <w:r w:rsidRPr="00D40710">
        <w:rPr>
          <w:rFonts w:ascii="Palatino Linotype" w:eastAsia="Calibri" w:hAnsi="Palatino Linotype" w:cs="Times New Roman"/>
          <w:vertAlign w:val="superscript"/>
        </w:rPr>
        <w:footnoteReference w:id="1"/>
      </w:r>
    </w:p>
    <w:p w:rsidR="00D40710" w:rsidRPr="00D40710" w:rsidRDefault="00D40710" w:rsidP="00D40710">
      <w:pPr>
        <w:spacing w:after="0" w:line="256" w:lineRule="auto"/>
        <w:ind w:firstLine="708"/>
        <w:jc w:val="both"/>
        <w:rPr>
          <w:rFonts w:ascii="Palatino Linotype" w:eastAsia="Calibri" w:hAnsi="Palatino Linotype" w:cs="Times New Roman"/>
        </w:rPr>
      </w:pPr>
      <w:bookmarkStart w:id="0" w:name="_GoBack"/>
      <w:bookmarkEnd w:id="0"/>
      <w:r w:rsidRPr="00D40710">
        <w:rPr>
          <w:rFonts w:ascii="Palatino Linotype" w:eastAsia="Calibri" w:hAnsi="Palatino Linotype" w:cs="Times New Roman"/>
        </w:rPr>
        <w:lastRenderedPageBreak/>
        <w:t xml:space="preserve">La posición de los gremios de los profesionales de la educación es más bien crítica, pues señalan que dicha ley ha reducido el rol del </w:t>
      </w:r>
      <w:r>
        <w:rPr>
          <w:rFonts w:ascii="Palatino Linotype" w:eastAsia="Calibri" w:hAnsi="Palatino Linotype" w:cs="Times New Roman"/>
        </w:rPr>
        <w:t>d</w:t>
      </w:r>
      <w:r w:rsidRPr="00D40710">
        <w:rPr>
          <w:rFonts w:ascii="Palatino Linotype" w:eastAsia="Calibri" w:hAnsi="Palatino Linotype" w:cs="Times New Roman"/>
        </w:rPr>
        <w:t>irector al de un gerente, “buscando el cumplimiento de metas que solo fomentarían el trabajo individual de las comunidades educativas despojándolas del necesario trabajo colaborativo y de red que los servicios educacionales deben ofrecer a la</w:t>
      </w:r>
      <w:r w:rsidR="00641D2D">
        <w:rPr>
          <w:rFonts w:ascii="Palatino Linotype" w:eastAsia="Calibri" w:hAnsi="Palatino Linotype" w:cs="Times New Roman"/>
        </w:rPr>
        <w:t>s</w:t>
      </w:r>
      <w:r w:rsidRPr="00D40710">
        <w:rPr>
          <w:rFonts w:ascii="Palatino Linotype" w:eastAsia="Calibri" w:hAnsi="Palatino Linotype" w:cs="Times New Roman"/>
        </w:rPr>
        <w:t xml:space="preserve"> comunidades que atienden”.</w:t>
      </w:r>
      <w:r w:rsidRPr="00D40710">
        <w:rPr>
          <w:rFonts w:ascii="Palatino Linotype" w:eastAsia="Calibri" w:hAnsi="Palatino Linotype" w:cs="Times New Roman"/>
          <w:vertAlign w:val="superscript"/>
        </w:rPr>
        <w:footnoteReference w:id="2"/>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line="256" w:lineRule="auto"/>
        <w:ind w:firstLine="708"/>
        <w:jc w:val="both"/>
        <w:rPr>
          <w:rFonts w:ascii="Palatino Linotype" w:eastAsia="Calibri" w:hAnsi="Palatino Linotype" w:cs="Times New Roman"/>
          <w:b/>
        </w:rPr>
      </w:pPr>
      <w:r w:rsidRPr="00D40710">
        <w:rPr>
          <w:rFonts w:ascii="Palatino Linotype" w:eastAsia="Calibri" w:hAnsi="Palatino Linotype" w:cs="Times New Roman"/>
          <w:b/>
        </w:rPr>
        <w:t>II.- OBJETO DEL PROYECTO</w:t>
      </w:r>
    </w:p>
    <w:p w:rsidR="00D40710" w:rsidRPr="00D40710" w:rsidRDefault="00D40710" w:rsidP="00D40710">
      <w:pPr>
        <w:spacing w:after="0"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Mediante el presente proyecto de ley, se propone eliminar una serie de disposiciones introducidas por la Ley N° 20.501, al Estatuto Docente, que, a juicio de los diputados firmantes, atentan contra el verdadero rol que deben cumplir los directores de los establecimientos educacionales.</w:t>
      </w:r>
    </w:p>
    <w:p w:rsidR="00D40710" w:rsidRPr="00D40710" w:rsidRDefault="00D40710" w:rsidP="00D40710">
      <w:pPr>
        <w:spacing w:after="0" w:line="256" w:lineRule="auto"/>
        <w:ind w:firstLine="708"/>
        <w:jc w:val="both"/>
        <w:rPr>
          <w:rFonts w:ascii="Palatino Linotype" w:eastAsia="Calibri" w:hAnsi="Palatino Linotype" w:cs="Times New Roman"/>
        </w:rPr>
      </w:pPr>
    </w:p>
    <w:p w:rsidR="00D40710" w:rsidRPr="00D40710" w:rsidRDefault="00D40710" w:rsidP="00D40710">
      <w:pPr>
        <w:spacing w:line="256" w:lineRule="auto"/>
        <w:ind w:firstLine="708"/>
        <w:jc w:val="both"/>
        <w:rPr>
          <w:rFonts w:ascii="Palatino Linotype" w:eastAsia="Calibri" w:hAnsi="Palatino Linotype" w:cs="Times New Roman"/>
          <w:b/>
        </w:rPr>
      </w:pPr>
      <w:r w:rsidRPr="00D40710">
        <w:rPr>
          <w:rFonts w:ascii="Palatino Linotype" w:eastAsia="Calibri" w:hAnsi="Palatino Linotype" w:cs="Times New Roman"/>
          <w:b/>
        </w:rPr>
        <w:t>III.- CONTENIDO DEL PROYECTO</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La presente moción propone la eliminación de los siguientes artículos del Estatuto Docente:</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a.- Art. 24 inc. 4:</w:t>
      </w:r>
      <w:r>
        <w:rPr>
          <w:rFonts w:ascii="Palatino Linotype" w:eastAsia="Calibri" w:hAnsi="Palatino Linotype" w:cs="Times New Roman"/>
        </w:rPr>
        <w:t xml:space="preserve"> </w:t>
      </w:r>
      <w:r w:rsidRPr="00D40710">
        <w:rPr>
          <w:rFonts w:ascii="Palatino Linotype" w:eastAsia="Calibri" w:hAnsi="Palatino Linotype" w:cs="Times New Roman"/>
        </w:rPr>
        <w:t>“</w:t>
      </w:r>
      <w:r w:rsidRPr="00D40710">
        <w:rPr>
          <w:rFonts w:ascii="Palatino Linotype" w:eastAsia="Calibri" w:hAnsi="Palatino Linotype" w:cs="Times New Roman"/>
          <w:b/>
        </w:rPr>
        <w:t>Asimismo, podrán incorporarse a la función docente directiva quienes estén en posesión de un título profesional o licenciatura de al menos 8 semestres y hayan ejercido funciones docentes al menos durante cuatro años en un establecimiento educacional, sin que les sea exigible el requisito establecido en el número 4 del inciso primero del presente artículo.</w:t>
      </w:r>
      <w:r w:rsidRPr="00D40710">
        <w:rPr>
          <w:rFonts w:ascii="Palatino Linotype" w:eastAsia="Calibri" w:hAnsi="Palatino Linotype" w:cs="Times New Roman"/>
        </w:rPr>
        <w:t>” Se propone su eliminación por estimarse que un docente directivo debe tener la condición de profesional de la educación, ya que éste es el único profesional formado para la educación.</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b.- Art. 32 bis inc. 3: “</w:t>
      </w:r>
      <w:r w:rsidRPr="00D40710">
        <w:rPr>
          <w:rFonts w:ascii="Palatino Linotype" w:eastAsia="Calibri" w:hAnsi="Palatino Linotype" w:cs="Times New Roman"/>
          <w:b/>
        </w:rPr>
        <w:t>o declarar, previa resolución fundada, desierto el proceso de selección, caso en el cual se realizará un nuevo concurso</w:t>
      </w:r>
      <w:r w:rsidRPr="00D40710">
        <w:rPr>
          <w:rFonts w:ascii="Palatino Linotype" w:eastAsia="Calibri" w:hAnsi="Palatino Linotype" w:cs="Times New Roman"/>
        </w:rPr>
        <w:t>.” Se propone su eliminación, a fin de que el sostenedor deba necesariamente elegir entre los postulantes que se propone en el proceso de selección del director.</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 xml:space="preserve">c.- Art 34 inciso final: </w:t>
      </w:r>
      <w:r w:rsidRPr="00D40710">
        <w:rPr>
          <w:rFonts w:ascii="Palatino Linotype" w:eastAsia="Calibri" w:hAnsi="Palatino Linotype" w:cs="Times New Roman"/>
          <w:b/>
        </w:rPr>
        <w:t xml:space="preserve">“El Jefe del Departamento de Administración de Educación Municipal o de la Corporación Municipal con aprobación del sostenedor podrá pedir la renuncia anticipada del director cuando el grado de cumplimiento de los objetivos acordados en el convenio de desempeño sean insuficientes de acuerdo a los mínimos que establezca. En este caso se deberá realizar un nuevo concurso sin perjuicio de lo establecido en el inciso cuarto del artículo 33.”. </w:t>
      </w:r>
      <w:r w:rsidRPr="00D40710">
        <w:rPr>
          <w:rFonts w:ascii="Palatino Linotype" w:eastAsia="Calibri" w:hAnsi="Palatino Linotype" w:cs="Times New Roman"/>
        </w:rPr>
        <w:t>Se propone su eliminación, por estimarse que no debiera pedirse la renuncia anticipada.</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 xml:space="preserve">d.- Art 34 C inciso primero: </w:t>
      </w:r>
      <w:r w:rsidRPr="00D40710">
        <w:rPr>
          <w:rFonts w:ascii="Palatino Linotype" w:eastAsia="Calibri" w:hAnsi="Palatino Linotype" w:cs="Times New Roman"/>
          <w:b/>
        </w:rPr>
        <w:t>“Los profesionales de la educación que cumplan funciones de Subdirector, Inspector General y Jefe Técnico serán de exclusiva confianza del director del establecimiento educacional. Atendidas las necesidades de cada establecimiento educacional, el director podrá optar por no asignar todos los cargos a que hace referencia este inciso. En todo caso, quienes se desempeñen en estas funciones deberán cumplir con los requisitos establecidos en el artículo 24 de esta ley</w:t>
      </w:r>
      <w:r w:rsidRPr="00D40710">
        <w:rPr>
          <w:rFonts w:ascii="Palatino Linotype" w:eastAsia="Calibri" w:hAnsi="Palatino Linotype" w:cs="Times New Roman"/>
        </w:rPr>
        <w:t>.” Se propone su eliminación, por estimarse inconveniente que Subdirector, Inspector General y Jefe Técnico serán de exclusiva confianza del director del establecimiento educacional.</w:t>
      </w:r>
    </w:p>
    <w:p w:rsidR="00D40710" w:rsidRPr="00D40710" w:rsidRDefault="00D40710" w:rsidP="00D40710">
      <w:pPr>
        <w:spacing w:line="256" w:lineRule="auto"/>
        <w:ind w:firstLine="708"/>
        <w:jc w:val="both"/>
        <w:rPr>
          <w:rFonts w:ascii="Palatino Linotype" w:eastAsia="Calibri" w:hAnsi="Palatino Linotype" w:cs="Times New Roman"/>
          <w:b/>
        </w:rPr>
      </w:pPr>
      <w:proofErr w:type="spellStart"/>
      <w:r w:rsidRPr="00D40710">
        <w:rPr>
          <w:rFonts w:ascii="Palatino Linotype" w:eastAsia="Calibri" w:hAnsi="Palatino Linotype" w:cs="Times New Roman"/>
        </w:rPr>
        <w:t>e</w:t>
      </w:r>
      <w:proofErr w:type="spellEnd"/>
      <w:r w:rsidRPr="00D40710">
        <w:rPr>
          <w:rFonts w:ascii="Palatino Linotype" w:eastAsia="Calibri" w:hAnsi="Palatino Linotype" w:cs="Times New Roman"/>
        </w:rPr>
        <w:t>.- Art  70 bis inciso primero</w:t>
      </w:r>
      <w:r w:rsidR="00D96CC4">
        <w:rPr>
          <w:rFonts w:ascii="Palatino Linotype" w:eastAsia="Calibri" w:hAnsi="Palatino Linotype" w:cs="Times New Roman"/>
        </w:rPr>
        <w:t xml:space="preserve"> y segundo</w:t>
      </w:r>
      <w:r w:rsidRPr="00D40710">
        <w:rPr>
          <w:rFonts w:ascii="Palatino Linotype" w:eastAsia="Calibri" w:hAnsi="Palatino Linotype" w:cs="Times New Roman"/>
        </w:rPr>
        <w:t xml:space="preserve">: </w:t>
      </w:r>
      <w:r w:rsidRPr="00D40710">
        <w:rPr>
          <w:rFonts w:ascii="Palatino Linotype" w:eastAsia="Calibri" w:hAnsi="Palatino Linotype" w:cs="Times New Roman"/>
          <w:b/>
        </w:rPr>
        <w:t>“Sin perjuicio de la evaluación docente establecida en el artículo 70, los sostenedores podrán crear y administrar sistemas de evaluación que complementen a los mecanismos establecidos en esta ley para los docentes que se desempeñen en funciones de docencia de aula.</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b/>
        </w:rPr>
        <w:lastRenderedPageBreak/>
        <w:t>Asimismo, podrán evaluarse mediante estos sistemas quienes no ejerzan funciones de docencia de aula y quienes se desempeñen en funciones en los Departamentos de Administración de Educación Municipal.”</w:t>
      </w:r>
      <w:r w:rsidRPr="00D40710">
        <w:rPr>
          <w:rFonts w:ascii="Palatino Linotype" w:eastAsia="Calibri" w:hAnsi="Palatino Linotype" w:cs="Times New Roman"/>
        </w:rPr>
        <w:t xml:space="preserve"> Se propone eliminar ya que considera elementos subjetivos que no dicen relación con el ejercicio profesional docente, generando más agobio, considerando que el profesional de la educación ya debe rendir 2 instrumentos, evaluación docente y carrera profesional docente.</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f.- Art 72 letra b inciso 2do: “</w:t>
      </w:r>
      <w:r w:rsidRPr="00D40710">
        <w:rPr>
          <w:rFonts w:ascii="Palatino Linotype" w:eastAsia="Calibri" w:hAnsi="Palatino Linotype" w:cs="Times New Roman"/>
          <w:b/>
        </w:rPr>
        <w:t>En el caso que se trate de una investigación o sumario administrativo que afecte a un profesional de la educación, la designación del fiscal recaerá en un profesional de la respectiva Municipalidad o Departamento de Educación Municipal o de la Corporación Municipal, designado por el sostenedor</w:t>
      </w:r>
      <w:r w:rsidRPr="00D40710">
        <w:rPr>
          <w:rFonts w:ascii="Palatino Linotype" w:eastAsia="Calibri" w:hAnsi="Palatino Linotype" w:cs="Times New Roman"/>
        </w:rPr>
        <w:t>.”</w:t>
      </w:r>
      <w:r>
        <w:rPr>
          <w:rFonts w:ascii="Palatino Linotype" w:eastAsia="Calibri" w:hAnsi="Palatino Linotype" w:cs="Times New Roman"/>
        </w:rPr>
        <w:t xml:space="preserve"> </w:t>
      </w:r>
      <w:r w:rsidRPr="00D40710">
        <w:rPr>
          <w:rFonts w:ascii="Palatino Linotype" w:eastAsia="Calibri" w:hAnsi="Palatino Linotype" w:cs="Times New Roman"/>
        </w:rPr>
        <w:t xml:space="preserve">Se propone eliminar ya que puede implicar un juzgamiento no objetivo o parcial, toda vez que la ley 18883, aplicable a todos los funcionarios municipales establece que el fiscal deberá tener igual o mayor grado o jerarquía que el funcionario que aparezca involucrado en los hechos. </w:t>
      </w:r>
    </w:p>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g.-  Art 72 letra l): “</w:t>
      </w:r>
      <w:r w:rsidRPr="00D40710">
        <w:rPr>
          <w:rFonts w:ascii="Palatino Linotype" w:eastAsia="Calibri" w:hAnsi="Palatino Linotype" w:cs="Times New Roman"/>
          <w:b/>
        </w:rPr>
        <w:t>Por disposición del sostenedor, a proposición del director del establecimiento en el ejercicio de la facultad contemplada en el inciso tercero letra a) del artículo 7° bis de esta ley, tratándose de los docentes mal evaluados en virtud de lo dispuesto en el artículo 70 de esta ley. Para estos efectos, los establecimientos que contaren con menos de 20 docentes podrán poner término anualmente a la relación laboral de un docente</w:t>
      </w:r>
      <w:r w:rsidRPr="00D40710">
        <w:rPr>
          <w:rFonts w:ascii="Palatino Linotype" w:eastAsia="Calibri" w:hAnsi="Palatino Linotype" w:cs="Times New Roman"/>
        </w:rPr>
        <w:t>.”</w:t>
      </w:r>
      <w:r>
        <w:rPr>
          <w:rFonts w:ascii="Palatino Linotype" w:eastAsia="Calibri" w:hAnsi="Palatino Linotype" w:cs="Times New Roman"/>
        </w:rPr>
        <w:t xml:space="preserve"> </w:t>
      </w:r>
      <w:r w:rsidRPr="00D40710">
        <w:rPr>
          <w:rFonts w:ascii="Palatino Linotype" w:eastAsia="Calibri" w:hAnsi="Palatino Linotype" w:cs="Times New Roman"/>
        </w:rPr>
        <w:t>Se propone eliminar ya que la evalu</w:t>
      </w:r>
      <w:r>
        <w:rPr>
          <w:rFonts w:ascii="Palatino Linotype" w:eastAsia="Calibri" w:hAnsi="Palatino Linotype" w:cs="Times New Roman"/>
        </w:rPr>
        <w:t>a</w:t>
      </w:r>
      <w:r w:rsidRPr="00D40710">
        <w:rPr>
          <w:rFonts w:ascii="Palatino Linotype" w:eastAsia="Calibri" w:hAnsi="Palatino Linotype" w:cs="Times New Roman"/>
        </w:rPr>
        <w:t xml:space="preserve">ción docente y la carrera profesional docente establecen causales de término de la relación laboral objetivas y la presente constituye </w:t>
      </w:r>
      <w:bookmarkStart w:id="1" w:name="_Hlk527078430"/>
      <w:r w:rsidRPr="00D40710">
        <w:rPr>
          <w:rFonts w:ascii="Palatino Linotype" w:eastAsia="Calibri" w:hAnsi="Palatino Linotype" w:cs="Times New Roman"/>
        </w:rPr>
        <w:t>una causal de despido poco objetiva, ya que la frase “mal evaluado” no está definido en la ley.</w:t>
      </w:r>
    </w:p>
    <w:bookmarkEnd w:id="1"/>
    <w:p w:rsidR="00D40710" w:rsidRPr="00D40710" w:rsidRDefault="00D40710" w:rsidP="00D40710">
      <w:pPr>
        <w:spacing w:line="256" w:lineRule="auto"/>
        <w:ind w:firstLine="708"/>
        <w:jc w:val="both"/>
        <w:rPr>
          <w:rFonts w:ascii="Palatino Linotype" w:eastAsia="Calibri" w:hAnsi="Palatino Linotype" w:cs="Times New Roman"/>
        </w:rPr>
      </w:pPr>
      <w:r w:rsidRPr="00D40710">
        <w:rPr>
          <w:rFonts w:ascii="Palatino Linotype" w:eastAsia="Calibri" w:hAnsi="Palatino Linotype" w:cs="Times New Roman"/>
        </w:rPr>
        <w:t>Por lo anteriormente expuesto, los diputados firmantes venimos en proponer el siguiente:</w:t>
      </w:r>
    </w:p>
    <w:p w:rsidR="00D40710" w:rsidRPr="00D40710" w:rsidRDefault="00D40710" w:rsidP="00D40710">
      <w:pPr>
        <w:spacing w:before="240" w:line="256" w:lineRule="auto"/>
        <w:jc w:val="center"/>
        <w:rPr>
          <w:rFonts w:ascii="Palatino Linotype" w:eastAsia="Calibri" w:hAnsi="Palatino Linotype" w:cs="Times New Roman"/>
          <w:b/>
        </w:rPr>
      </w:pPr>
      <w:r w:rsidRPr="00D40710">
        <w:rPr>
          <w:rFonts w:ascii="Palatino Linotype" w:eastAsia="Calibri" w:hAnsi="Palatino Linotype" w:cs="Times New Roman"/>
          <w:b/>
        </w:rPr>
        <w:t>PROYECTO DE LEY</w:t>
      </w:r>
    </w:p>
    <w:p w:rsidR="00D40710" w:rsidRPr="00D40710" w:rsidRDefault="00D40710" w:rsidP="00D40710">
      <w:pPr>
        <w:spacing w:line="256" w:lineRule="auto"/>
        <w:jc w:val="center"/>
        <w:rPr>
          <w:rFonts w:ascii="Palatino Linotype" w:eastAsia="Calibri" w:hAnsi="Palatino Linotype" w:cs="Times New Roman"/>
          <w:b/>
        </w:rPr>
      </w:pPr>
      <w:r w:rsidRPr="00D40710">
        <w:rPr>
          <w:rFonts w:ascii="Palatino Linotype" w:eastAsia="Calibri" w:hAnsi="Palatino Linotype" w:cs="Times New Roman"/>
          <w:b/>
        </w:rPr>
        <w:t xml:space="preserve">MODIFICA EL ESTATUTO DOCENTE EN MATERIA DE NORMAS SOBRE CALIDAD Y EQUIDAD EN LA EDUCACIÓN, INTRODUCIDAS POR LA LEY N° 20.501. </w:t>
      </w:r>
    </w:p>
    <w:p w:rsidR="00D40710" w:rsidRPr="00D40710" w:rsidRDefault="00D40710" w:rsidP="00D40710">
      <w:pPr>
        <w:spacing w:line="256" w:lineRule="auto"/>
        <w:jc w:val="both"/>
        <w:rPr>
          <w:rFonts w:ascii="Palatino Linotype" w:eastAsia="Calibri" w:hAnsi="Palatino Linotype" w:cs="Times New Roman"/>
        </w:rPr>
      </w:pPr>
      <w:r w:rsidRPr="00D40710">
        <w:rPr>
          <w:rFonts w:ascii="Palatino Linotype" w:eastAsia="Calibri" w:hAnsi="Palatino Linotype" w:cs="Times New Roman"/>
        </w:rPr>
        <w:t xml:space="preserve">"Artículo único. – </w:t>
      </w:r>
      <w:proofErr w:type="spellStart"/>
      <w:r w:rsidRPr="00D40710">
        <w:rPr>
          <w:rFonts w:ascii="Palatino Linotype" w:eastAsia="Calibri" w:hAnsi="Palatino Linotype" w:cs="Times New Roman"/>
        </w:rPr>
        <w:t>Modifícase</w:t>
      </w:r>
      <w:proofErr w:type="spellEnd"/>
      <w:r w:rsidRPr="00D40710">
        <w:rPr>
          <w:rFonts w:ascii="Palatino Linotype" w:eastAsia="Calibri" w:hAnsi="Palatino Linotype" w:cs="Times New Roman"/>
        </w:rPr>
        <w:t xml:space="preserve"> el Estatuto Docente, en los términos que siguen:</w:t>
      </w:r>
    </w:p>
    <w:p w:rsidR="00D40710" w:rsidRPr="00D40710" w:rsidRDefault="00D40710" w:rsidP="00D40710">
      <w:pPr>
        <w:spacing w:line="256" w:lineRule="auto"/>
        <w:jc w:val="both"/>
        <w:rPr>
          <w:rFonts w:ascii="Palatino Linotype" w:eastAsia="Calibri" w:hAnsi="Palatino Linotype" w:cs="Times New Roman"/>
        </w:rPr>
      </w:pPr>
      <w:r w:rsidRPr="00D40710">
        <w:rPr>
          <w:rFonts w:ascii="Palatino Linotype" w:eastAsia="Calibri" w:hAnsi="Palatino Linotype" w:cs="Times New Roman"/>
        </w:rPr>
        <w:t>Elimínense los artículos 24 inc. 4; 32 bis inc. 3; 34 inciso final; 34 C inciso primero; 70 bis inciso primero; 72 letra b i</w:t>
      </w:r>
      <w:r w:rsidR="000730F7">
        <w:rPr>
          <w:rFonts w:ascii="Palatino Linotype" w:eastAsia="Calibri" w:hAnsi="Palatino Linotype" w:cs="Times New Roman"/>
        </w:rPr>
        <w:t xml:space="preserve">nciso 2do; </w:t>
      </w:r>
      <w:r w:rsidR="00BE730D">
        <w:rPr>
          <w:rFonts w:ascii="Palatino Linotype" w:eastAsia="Calibri" w:hAnsi="Palatino Linotype" w:cs="Times New Roman"/>
        </w:rPr>
        <w:t>y</w:t>
      </w:r>
      <w:r w:rsidR="000730F7">
        <w:rPr>
          <w:rFonts w:ascii="Palatino Linotype" w:eastAsia="Calibri" w:hAnsi="Palatino Linotype" w:cs="Times New Roman"/>
        </w:rPr>
        <w:t xml:space="preserve"> 72 letra l).</w:t>
      </w:r>
    </w:p>
    <w:p w:rsidR="00D40710" w:rsidRDefault="00D40710" w:rsidP="00D40710">
      <w:pPr>
        <w:spacing w:line="256" w:lineRule="auto"/>
        <w:jc w:val="both"/>
        <w:rPr>
          <w:rFonts w:ascii="Palatino Linotype" w:eastAsia="Calibri" w:hAnsi="Palatino Linotype" w:cs="Times New Roman"/>
        </w:rPr>
      </w:pPr>
    </w:p>
    <w:p w:rsidR="00D40710" w:rsidRPr="00D40710" w:rsidRDefault="00D40710" w:rsidP="00D40710">
      <w:pPr>
        <w:spacing w:line="256" w:lineRule="auto"/>
        <w:jc w:val="both"/>
        <w:rPr>
          <w:rFonts w:ascii="Palatino Linotype" w:eastAsia="Calibri" w:hAnsi="Palatino Linotype" w:cs="Times New Roman"/>
        </w:rPr>
      </w:pPr>
    </w:p>
    <w:p w:rsidR="00D40710" w:rsidRPr="00D40710" w:rsidRDefault="00D40710" w:rsidP="00D40710">
      <w:pPr>
        <w:spacing w:line="256" w:lineRule="auto"/>
        <w:jc w:val="both"/>
        <w:rPr>
          <w:rFonts w:ascii="Palatino Linotype" w:eastAsia="Calibri" w:hAnsi="Palatino Linotype" w:cs="Times New Roman"/>
          <w:b/>
        </w:rPr>
      </w:pPr>
    </w:p>
    <w:p w:rsidR="00D40710" w:rsidRPr="00D40710" w:rsidRDefault="00D40710" w:rsidP="00D40710">
      <w:pPr>
        <w:spacing w:after="0" w:line="256" w:lineRule="auto"/>
        <w:jc w:val="center"/>
        <w:rPr>
          <w:rFonts w:ascii="Palatino Linotype" w:eastAsia="Calibri" w:hAnsi="Palatino Linotype" w:cs="Times New Roman"/>
          <w:b/>
        </w:rPr>
      </w:pPr>
      <w:r w:rsidRPr="00D40710">
        <w:rPr>
          <w:rFonts w:ascii="Palatino Linotype" w:eastAsia="Calibri" w:hAnsi="Palatino Linotype" w:cs="Times New Roman"/>
          <w:b/>
        </w:rPr>
        <w:t xml:space="preserve"> RODRIGO GONZÁLEZ TORRES                        CRISTINA GIRARDI LAVÍN</w:t>
      </w:r>
    </w:p>
    <w:p w:rsidR="00D40710" w:rsidRPr="00D40710" w:rsidRDefault="00D40710" w:rsidP="00D40710">
      <w:pPr>
        <w:ind w:left="1416"/>
        <w:rPr>
          <w:rFonts w:ascii="Palatino Linotype" w:hAnsi="Palatino Linotype"/>
        </w:rPr>
      </w:pPr>
      <w:r>
        <w:rPr>
          <w:rFonts w:ascii="Palatino Linotype" w:eastAsia="Calibri" w:hAnsi="Palatino Linotype" w:cs="Times New Roman"/>
          <w:b/>
        </w:rPr>
        <w:t xml:space="preserve">   </w:t>
      </w:r>
      <w:r w:rsidRPr="00D40710">
        <w:rPr>
          <w:rFonts w:ascii="Palatino Linotype" w:eastAsia="Calibri" w:hAnsi="Palatino Linotype" w:cs="Times New Roman"/>
          <w:b/>
        </w:rPr>
        <w:t>DIPUTADO</w:t>
      </w:r>
      <w:r w:rsidRPr="00D40710">
        <w:rPr>
          <w:rFonts w:ascii="Palatino Linotype" w:eastAsia="Calibri" w:hAnsi="Palatino Linotype" w:cs="Times New Roman"/>
          <w:b/>
        </w:rPr>
        <w:tab/>
      </w:r>
      <w:r w:rsidRPr="00D40710">
        <w:rPr>
          <w:rFonts w:ascii="Palatino Linotype" w:eastAsia="Calibri" w:hAnsi="Palatino Linotype" w:cs="Times New Roman"/>
          <w:b/>
        </w:rPr>
        <w:tab/>
      </w:r>
      <w:r w:rsidRPr="00D40710">
        <w:rPr>
          <w:rFonts w:ascii="Palatino Linotype" w:eastAsia="Calibri" w:hAnsi="Palatino Linotype" w:cs="Times New Roman"/>
          <w:b/>
        </w:rPr>
        <w:tab/>
      </w:r>
      <w:r>
        <w:rPr>
          <w:rFonts w:ascii="Palatino Linotype" w:eastAsia="Calibri" w:hAnsi="Palatino Linotype" w:cs="Times New Roman"/>
          <w:b/>
        </w:rPr>
        <w:t xml:space="preserve">                       </w:t>
      </w:r>
      <w:r w:rsidRPr="00D40710">
        <w:rPr>
          <w:rFonts w:ascii="Palatino Linotype" w:eastAsia="Calibri" w:hAnsi="Palatino Linotype" w:cs="Times New Roman"/>
          <w:b/>
        </w:rPr>
        <w:t>DIPUTADA</w:t>
      </w:r>
    </w:p>
    <w:sectPr w:rsidR="00D40710" w:rsidRPr="00D40710" w:rsidSect="00641D2D">
      <w:pgSz w:w="12240" w:h="20160" w:code="5"/>
      <w:pgMar w:top="1418" w:right="1701"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B0" w:rsidRDefault="003718B0" w:rsidP="00D40710">
      <w:pPr>
        <w:spacing w:after="0" w:line="240" w:lineRule="auto"/>
      </w:pPr>
      <w:r>
        <w:separator/>
      </w:r>
    </w:p>
  </w:endnote>
  <w:endnote w:type="continuationSeparator" w:id="0">
    <w:p w:rsidR="003718B0" w:rsidRDefault="003718B0" w:rsidP="00D4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lantagenet Cherokee">
    <w:altName w:val="Gadugi"/>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B0" w:rsidRDefault="003718B0" w:rsidP="00D40710">
      <w:pPr>
        <w:spacing w:after="0" w:line="240" w:lineRule="auto"/>
      </w:pPr>
      <w:r>
        <w:separator/>
      </w:r>
    </w:p>
  </w:footnote>
  <w:footnote w:type="continuationSeparator" w:id="0">
    <w:p w:rsidR="003718B0" w:rsidRDefault="003718B0" w:rsidP="00D40710">
      <w:pPr>
        <w:spacing w:after="0" w:line="240" w:lineRule="auto"/>
      </w:pPr>
      <w:r>
        <w:continuationSeparator/>
      </w:r>
    </w:p>
  </w:footnote>
  <w:footnote w:id="1">
    <w:p w:rsidR="00D40710" w:rsidRPr="003803BD" w:rsidRDefault="00D40710" w:rsidP="00D40710">
      <w:pPr>
        <w:pStyle w:val="Textonotapie"/>
        <w:jc w:val="both"/>
        <w:rPr>
          <w:rFonts w:ascii="Plantagenet Cherokee" w:hAnsi="Plantagenet Cherokee"/>
          <w:sz w:val="18"/>
          <w:szCs w:val="18"/>
        </w:rPr>
      </w:pPr>
      <w:r w:rsidRPr="003803BD">
        <w:rPr>
          <w:rStyle w:val="Refdenotaalpie"/>
          <w:rFonts w:ascii="Plantagenet Cherokee" w:hAnsi="Plantagenet Cherokee"/>
          <w:sz w:val="18"/>
          <w:szCs w:val="18"/>
        </w:rPr>
        <w:footnoteRef/>
      </w:r>
      <w:r w:rsidRPr="003803BD">
        <w:rPr>
          <w:rFonts w:ascii="Plantagenet Cherokee" w:hAnsi="Plantagenet Cherokee"/>
          <w:sz w:val="18"/>
          <w:szCs w:val="18"/>
        </w:rPr>
        <w:t xml:space="preserve"> Manuela Errázuriz, Macarena </w:t>
      </w:r>
      <w:proofErr w:type="spellStart"/>
      <w:r w:rsidRPr="003803BD">
        <w:rPr>
          <w:rFonts w:ascii="Plantagenet Cherokee" w:hAnsi="Plantagenet Cherokee"/>
          <w:sz w:val="18"/>
          <w:szCs w:val="18"/>
        </w:rPr>
        <w:t>Kutscher</w:t>
      </w:r>
      <w:proofErr w:type="spellEnd"/>
      <w:r w:rsidRPr="003803BD">
        <w:rPr>
          <w:rFonts w:ascii="Plantagenet Cherokee" w:hAnsi="Plantagenet Cherokee"/>
          <w:sz w:val="18"/>
          <w:szCs w:val="18"/>
        </w:rPr>
        <w:t xml:space="preserve"> y Carlos </w:t>
      </w:r>
      <w:proofErr w:type="spellStart"/>
      <w:r w:rsidRPr="003803BD">
        <w:rPr>
          <w:rFonts w:ascii="Plantagenet Cherokee" w:hAnsi="Plantagenet Cherokee"/>
          <w:sz w:val="18"/>
          <w:szCs w:val="18"/>
        </w:rPr>
        <w:t>Williamson</w:t>
      </w:r>
      <w:proofErr w:type="spellEnd"/>
      <w:r w:rsidRPr="003803BD">
        <w:rPr>
          <w:rFonts w:ascii="Plantagenet Cherokee" w:hAnsi="Plantagenet Cherokee"/>
          <w:sz w:val="18"/>
          <w:szCs w:val="18"/>
        </w:rPr>
        <w:t>. “La Ley 20.501 sobre Calidad y Equidad en los Colegios Públicos: Efectos de la Selección de Directores por la Alta Dirección Pública (ADP)” Documento de Trabajo Nº 28</w:t>
      </w:r>
    </w:p>
  </w:footnote>
  <w:footnote w:id="2">
    <w:p w:rsidR="00D40710" w:rsidRPr="003803BD" w:rsidRDefault="00D40710" w:rsidP="00D40710">
      <w:pPr>
        <w:pStyle w:val="Textonotapie"/>
        <w:rPr>
          <w:rFonts w:ascii="Plantagenet Cherokee" w:hAnsi="Plantagenet Cherokee"/>
          <w:sz w:val="18"/>
          <w:szCs w:val="18"/>
        </w:rPr>
      </w:pPr>
      <w:r w:rsidRPr="003803BD">
        <w:rPr>
          <w:rStyle w:val="Refdenotaalpie"/>
          <w:rFonts w:ascii="Plantagenet Cherokee" w:hAnsi="Plantagenet Cherokee"/>
          <w:sz w:val="18"/>
          <w:szCs w:val="18"/>
        </w:rPr>
        <w:footnoteRef/>
      </w:r>
      <w:r w:rsidRPr="003803BD">
        <w:rPr>
          <w:rFonts w:ascii="Plantagenet Cherokee" w:hAnsi="Plantagenet Cherokee"/>
          <w:sz w:val="18"/>
          <w:szCs w:val="18"/>
        </w:rPr>
        <w:t xml:space="preserve"> Consejo de Directores e Establecimientos de Concepción.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10"/>
    <w:rsid w:val="000565DB"/>
    <w:rsid w:val="000730F7"/>
    <w:rsid w:val="001F0F67"/>
    <w:rsid w:val="003718B0"/>
    <w:rsid w:val="005869F3"/>
    <w:rsid w:val="005A3B5D"/>
    <w:rsid w:val="005A56C3"/>
    <w:rsid w:val="00641D2D"/>
    <w:rsid w:val="007F35E4"/>
    <w:rsid w:val="0083603D"/>
    <w:rsid w:val="00900CB2"/>
    <w:rsid w:val="00952AA2"/>
    <w:rsid w:val="00B60882"/>
    <w:rsid w:val="00BE730D"/>
    <w:rsid w:val="00D40710"/>
    <w:rsid w:val="00D96C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7A5B3-F689-4983-A13C-AC7EF928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4071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D4071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40710"/>
    <w:rPr>
      <w:vertAlign w:val="superscript"/>
    </w:rPr>
  </w:style>
  <w:style w:type="paragraph" w:styleId="Textodeglobo">
    <w:name w:val="Balloon Text"/>
    <w:basedOn w:val="Normal"/>
    <w:link w:val="TextodegloboCar"/>
    <w:uiPriority w:val="99"/>
    <w:semiHidden/>
    <w:unhideWhenUsed/>
    <w:rsid w:val="00BE73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1261</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Leonardo Lueiza Ureta</cp:lastModifiedBy>
  <cp:revision>5</cp:revision>
  <cp:lastPrinted>2019-01-03T04:14:00Z</cp:lastPrinted>
  <dcterms:created xsi:type="dcterms:W3CDTF">2019-01-03T04:10:00Z</dcterms:created>
  <dcterms:modified xsi:type="dcterms:W3CDTF">2019-01-16T19:52:00Z</dcterms:modified>
</cp:coreProperties>
</file>