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92" w:rsidRDefault="00C22392" w:rsidP="00185C3F">
      <w:pPr>
        <w:spacing w:after="0" w:line="360" w:lineRule="auto"/>
        <w:ind w:left="851"/>
        <w:jc w:val="center"/>
        <w:rPr>
          <w:rFonts w:ascii="Courier New" w:hAnsi="Courier New" w:cs="Courier New"/>
          <w:b/>
          <w:sz w:val="24"/>
          <w:szCs w:val="24"/>
        </w:rPr>
      </w:pPr>
    </w:p>
    <w:p w:rsidR="0057021F" w:rsidRDefault="005048DE" w:rsidP="0057021F">
      <w:pPr>
        <w:spacing w:after="0" w:line="360" w:lineRule="auto"/>
        <w:ind w:left="851"/>
        <w:jc w:val="both"/>
        <w:rPr>
          <w:rFonts w:ascii="Courier New" w:hAnsi="Courier New" w:cs="Courier New"/>
          <w:b/>
          <w:sz w:val="24"/>
          <w:szCs w:val="24"/>
        </w:rPr>
      </w:pPr>
      <w:r w:rsidRPr="005048DE">
        <w:rPr>
          <w:rFonts w:ascii="Courier New" w:hAnsi="Courier New" w:cs="Courier New"/>
          <w:b/>
          <w:sz w:val="24"/>
          <w:szCs w:val="24"/>
        </w:rPr>
        <w:t>Modifica la ley General de Servicios Eléctricos, con el objeto de proteger el derecho de propiedad de los usuarios de servicios eléctricos sobre los medidores y exigir a las concesionarias la adecuada gestión de residuos que se produzcan con motivo de su reemplazo</w:t>
      </w:r>
    </w:p>
    <w:p w:rsidR="005048DE" w:rsidRDefault="005048DE" w:rsidP="0057021F">
      <w:pPr>
        <w:spacing w:after="0" w:line="360" w:lineRule="auto"/>
        <w:ind w:left="851"/>
        <w:jc w:val="both"/>
        <w:rPr>
          <w:rFonts w:ascii="Courier New" w:hAnsi="Courier New" w:cs="Courier New"/>
          <w:b/>
          <w:sz w:val="24"/>
          <w:szCs w:val="24"/>
        </w:rPr>
      </w:pPr>
    </w:p>
    <w:p w:rsidR="000A4B57" w:rsidRDefault="005048DE" w:rsidP="00185C3F">
      <w:pPr>
        <w:spacing w:after="0" w:line="360" w:lineRule="auto"/>
        <w:ind w:left="851"/>
        <w:jc w:val="center"/>
        <w:rPr>
          <w:rFonts w:ascii="Courier New" w:hAnsi="Courier New" w:cs="Courier New"/>
          <w:b/>
          <w:sz w:val="24"/>
          <w:szCs w:val="24"/>
        </w:rPr>
      </w:pPr>
      <w:r>
        <w:rPr>
          <w:rFonts w:ascii="Courier New" w:hAnsi="Courier New" w:cs="Courier New"/>
          <w:b/>
          <w:sz w:val="24"/>
          <w:szCs w:val="24"/>
        </w:rPr>
        <w:t>Boletín N°12448-08</w:t>
      </w:r>
    </w:p>
    <w:p w:rsidR="0052570B" w:rsidRDefault="0052570B" w:rsidP="00185C3F">
      <w:pPr>
        <w:spacing w:after="0" w:line="360" w:lineRule="auto"/>
        <w:ind w:left="851"/>
        <w:jc w:val="both"/>
        <w:rPr>
          <w:rFonts w:ascii="Courier New" w:hAnsi="Courier New" w:cs="Courier New"/>
          <w:b/>
          <w:sz w:val="24"/>
          <w:szCs w:val="24"/>
        </w:rPr>
      </w:pPr>
    </w:p>
    <w:p w:rsidR="005048DE" w:rsidRDefault="005048DE" w:rsidP="00185C3F">
      <w:pPr>
        <w:spacing w:after="0" w:line="360" w:lineRule="auto"/>
        <w:ind w:left="851"/>
        <w:jc w:val="both"/>
        <w:rPr>
          <w:rFonts w:ascii="Courier New" w:hAnsi="Courier New" w:cs="Courier New"/>
          <w:b/>
          <w:sz w:val="24"/>
          <w:szCs w:val="24"/>
        </w:rPr>
      </w:pPr>
      <w:bookmarkStart w:id="0" w:name="_GoBack"/>
      <w:bookmarkEnd w:id="0"/>
    </w:p>
    <w:p w:rsidR="00973392" w:rsidRPr="0057021F" w:rsidRDefault="0052570B" w:rsidP="0057021F">
      <w:pPr>
        <w:pStyle w:val="Prrafodelista"/>
        <w:numPr>
          <w:ilvl w:val="0"/>
          <w:numId w:val="1"/>
        </w:numPr>
        <w:spacing w:after="0" w:line="360" w:lineRule="auto"/>
        <w:jc w:val="both"/>
        <w:rPr>
          <w:rFonts w:ascii="Courier New" w:hAnsi="Courier New" w:cs="Courier New"/>
          <w:sz w:val="24"/>
          <w:szCs w:val="24"/>
        </w:rPr>
      </w:pPr>
      <w:r>
        <w:rPr>
          <w:rFonts w:ascii="Courier New" w:hAnsi="Courier New" w:cs="Courier New"/>
          <w:b/>
          <w:sz w:val="24"/>
          <w:szCs w:val="24"/>
        </w:rPr>
        <w:t>FUNDAMENTOS</w:t>
      </w:r>
      <w:r w:rsidR="00DC5BEB">
        <w:rPr>
          <w:rFonts w:ascii="Courier New" w:hAnsi="Courier New" w:cs="Courier New"/>
          <w:b/>
          <w:sz w:val="24"/>
          <w:szCs w:val="24"/>
        </w:rPr>
        <w:t xml:space="preserve"> </w:t>
      </w:r>
    </w:p>
    <w:p w:rsidR="001F3E50" w:rsidRDefault="00002BA5" w:rsidP="00002BA5">
      <w:pPr>
        <w:spacing w:after="0" w:line="360" w:lineRule="auto"/>
        <w:ind w:left="851"/>
        <w:jc w:val="both"/>
        <w:rPr>
          <w:rFonts w:ascii="Courier New" w:hAnsi="Courier New" w:cs="Courier New"/>
          <w:sz w:val="24"/>
          <w:szCs w:val="24"/>
        </w:rPr>
      </w:pPr>
      <w:r>
        <w:rPr>
          <w:rFonts w:ascii="Courier New" w:hAnsi="Courier New" w:cs="Courier New"/>
          <w:sz w:val="24"/>
          <w:szCs w:val="24"/>
        </w:rPr>
        <w:t>La electricidad es un servicio básico para toda persona, sin distinción alguna. En consecuencia éste debe ser proporcionado por el Estado</w:t>
      </w:r>
      <w:r w:rsidR="00F55B87">
        <w:rPr>
          <w:rFonts w:ascii="Courier New" w:hAnsi="Courier New" w:cs="Courier New"/>
          <w:sz w:val="24"/>
          <w:szCs w:val="24"/>
        </w:rPr>
        <w:t>, a través del mecanismo más eficiente y eficaz que determine la Administración</w:t>
      </w:r>
      <w:r w:rsidR="00F55B87">
        <w:rPr>
          <w:rStyle w:val="Refdenotaalpie"/>
          <w:rFonts w:ascii="Courier New" w:hAnsi="Courier New" w:cs="Courier New"/>
          <w:sz w:val="24"/>
          <w:szCs w:val="24"/>
        </w:rPr>
        <w:footnoteReference w:id="1"/>
      </w:r>
      <w:r w:rsidR="00F55B87">
        <w:rPr>
          <w:rFonts w:ascii="Courier New" w:hAnsi="Courier New" w:cs="Courier New"/>
          <w:sz w:val="24"/>
          <w:szCs w:val="24"/>
        </w:rPr>
        <w:t xml:space="preserve"> para el cumplimiento del principio de servicialidad </w:t>
      </w:r>
      <w:r w:rsidR="006D755B">
        <w:rPr>
          <w:rFonts w:ascii="Courier New" w:hAnsi="Courier New" w:cs="Courier New"/>
          <w:sz w:val="24"/>
          <w:szCs w:val="24"/>
        </w:rPr>
        <w:t xml:space="preserve">consagrado en </w:t>
      </w:r>
      <w:r w:rsidR="00F55B87">
        <w:rPr>
          <w:rFonts w:ascii="Courier New" w:hAnsi="Courier New" w:cs="Courier New"/>
          <w:sz w:val="24"/>
          <w:szCs w:val="24"/>
        </w:rPr>
        <w:t xml:space="preserve">la Constitución Política de la República al </w:t>
      </w:r>
      <w:r w:rsidR="006D755B">
        <w:rPr>
          <w:rFonts w:ascii="Courier New" w:hAnsi="Courier New" w:cs="Courier New"/>
          <w:sz w:val="24"/>
          <w:szCs w:val="24"/>
        </w:rPr>
        <w:t>señalar: El Estado</w:t>
      </w:r>
      <w:r w:rsidR="00F55B87">
        <w:rPr>
          <w:rFonts w:ascii="Courier New" w:hAnsi="Courier New" w:cs="Courier New"/>
          <w:sz w:val="24"/>
          <w:szCs w:val="24"/>
        </w:rPr>
        <w:t xml:space="preserve"> </w:t>
      </w:r>
      <w:r w:rsidR="006D755B">
        <w:rPr>
          <w:rFonts w:ascii="Courier New" w:hAnsi="Courier New" w:cs="Courier New"/>
          <w:sz w:val="24"/>
          <w:szCs w:val="24"/>
        </w:rPr>
        <w:t>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r w:rsidR="00277AAC">
        <w:rPr>
          <w:rStyle w:val="Refdenotaalpie"/>
          <w:rFonts w:ascii="Courier New" w:hAnsi="Courier New" w:cs="Courier New"/>
          <w:sz w:val="24"/>
          <w:szCs w:val="24"/>
        </w:rPr>
        <w:footnoteReference w:id="2"/>
      </w:r>
      <w:r w:rsidR="006D755B">
        <w:rPr>
          <w:rFonts w:ascii="Courier New" w:hAnsi="Courier New" w:cs="Courier New"/>
          <w:sz w:val="24"/>
          <w:szCs w:val="24"/>
        </w:rPr>
        <w:t xml:space="preserve"> </w:t>
      </w:r>
    </w:p>
    <w:p w:rsidR="00BC4C16" w:rsidRDefault="00BC4C16" w:rsidP="00002BA5">
      <w:pPr>
        <w:spacing w:after="0" w:line="360" w:lineRule="auto"/>
        <w:ind w:left="851"/>
        <w:jc w:val="both"/>
        <w:rPr>
          <w:rFonts w:ascii="Courier New" w:hAnsi="Courier New" w:cs="Courier New"/>
          <w:sz w:val="24"/>
          <w:szCs w:val="24"/>
        </w:rPr>
      </w:pPr>
    </w:p>
    <w:p w:rsidR="00277AAC" w:rsidRDefault="00277AAC" w:rsidP="00002BA5">
      <w:pPr>
        <w:spacing w:after="0" w:line="360" w:lineRule="auto"/>
        <w:ind w:left="851"/>
        <w:jc w:val="both"/>
        <w:rPr>
          <w:rFonts w:ascii="Courier New" w:hAnsi="Courier New" w:cs="Courier New"/>
          <w:sz w:val="24"/>
          <w:szCs w:val="24"/>
        </w:rPr>
      </w:pPr>
      <w:r>
        <w:rPr>
          <w:rFonts w:ascii="Courier New" w:hAnsi="Courier New" w:cs="Courier New"/>
          <w:sz w:val="24"/>
          <w:szCs w:val="24"/>
        </w:rPr>
        <w:t xml:space="preserve">Para el cumplimiento de la función </w:t>
      </w:r>
      <w:r w:rsidR="00DA5C59">
        <w:rPr>
          <w:rFonts w:ascii="Courier New" w:hAnsi="Courier New" w:cs="Courier New"/>
          <w:sz w:val="24"/>
          <w:szCs w:val="24"/>
        </w:rPr>
        <w:t>administrativa, el Estado creará</w:t>
      </w:r>
      <w:r>
        <w:rPr>
          <w:rFonts w:ascii="Courier New" w:hAnsi="Courier New" w:cs="Courier New"/>
          <w:sz w:val="24"/>
          <w:szCs w:val="24"/>
        </w:rPr>
        <w:t xml:space="preserve"> los servicios públicos que estime convenientes para satisfacer las necesidades púb</w:t>
      </w:r>
      <w:r w:rsidR="00D26099">
        <w:rPr>
          <w:rFonts w:ascii="Courier New" w:hAnsi="Courier New" w:cs="Courier New"/>
          <w:sz w:val="24"/>
          <w:szCs w:val="24"/>
        </w:rPr>
        <w:t>licas, según determina la ley. En este sentido el suministro eléctrico para la población cumple con los requisitos básicos qu</w:t>
      </w:r>
      <w:r w:rsidR="00DA5C59">
        <w:rPr>
          <w:rFonts w:ascii="Courier New" w:hAnsi="Courier New" w:cs="Courier New"/>
          <w:sz w:val="24"/>
          <w:szCs w:val="24"/>
        </w:rPr>
        <w:t>e conforman el servicio público.</w:t>
      </w:r>
      <w:r w:rsidR="00D26099">
        <w:rPr>
          <w:rFonts w:ascii="Courier New" w:hAnsi="Courier New" w:cs="Courier New"/>
          <w:sz w:val="24"/>
          <w:szCs w:val="24"/>
        </w:rPr>
        <w:t xml:space="preserve"> Es una </w:t>
      </w:r>
      <w:r w:rsidR="00D26099">
        <w:rPr>
          <w:rFonts w:ascii="Courier New" w:hAnsi="Courier New" w:cs="Courier New"/>
          <w:sz w:val="24"/>
          <w:szCs w:val="24"/>
        </w:rPr>
        <w:lastRenderedPageBreak/>
        <w:t>necesidad de interés general; una necesidad que debe ser satisfecha por el Estado; determinación de quien presta el servicio; vinculación del servicio público con la autoridad pública; actividades ejecutadas a través de procedimientos especiales. Lo anterior reforzado por las características que reúne la prestación del servicio, en primer lugar la generalidad en cuanto a los beneficiarios de la prestación, la uniformidad de la prestación, la continuidad, la permanencia y la regularidad.</w:t>
      </w:r>
      <w:r w:rsidR="00D26099">
        <w:rPr>
          <w:rStyle w:val="Refdenotaalpie"/>
          <w:rFonts w:ascii="Courier New" w:hAnsi="Courier New" w:cs="Courier New"/>
          <w:sz w:val="24"/>
          <w:szCs w:val="24"/>
        </w:rPr>
        <w:footnoteReference w:id="3"/>
      </w:r>
    </w:p>
    <w:p w:rsidR="00BC4C16" w:rsidRDefault="00BC4C16" w:rsidP="00002BA5">
      <w:pPr>
        <w:spacing w:after="0" w:line="360" w:lineRule="auto"/>
        <w:ind w:left="851"/>
        <w:jc w:val="both"/>
        <w:rPr>
          <w:rFonts w:ascii="Courier New" w:hAnsi="Courier New" w:cs="Courier New"/>
          <w:sz w:val="24"/>
          <w:szCs w:val="24"/>
        </w:rPr>
      </w:pPr>
    </w:p>
    <w:p w:rsidR="00D26099" w:rsidRDefault="00D26099" w:rsidP="00002BA5">
      <w:pPr>
        <w:spacing w:after="0" w:line="360" w:lineRule="auto"/>
        <w:ind w:left="851"/>
        <w:jc w:val="both"/>
        <w:rPr>
          <w:rFonts w:ascii="Courier New" w:hAnsi="Courier New" w:cs="Courier New"/>
          <w:sz w:val="24"/>
          <w:szCs w:val="24"/>
        </w:rPr>
      </w:pPr>
      <w:r>
        <w:rPr>
          <w:rFonts w:ascii="Courier New" w:hAnsi="Courier New" w:cs="Courier New"/>
          <w:sz w:val="24"/>
          <w:szCs w:val="24"/>
        </w:rPr>
        <w:t>En el caso chileno, el servicio de s</w:t>
      </w:r>
      <w:r w:rsidR="00DA5C59">
        <w:rPr>
          <w:rFonts w:ascii="Courier New" w:hAnsi="Courier New" w:cs="Courier New"/>
          <w:sz w:val="24"/>
          <w:szCs w:val="24"/>
        </w:rPr>
        <w:t>uministrar energía se concesionó</w:t>
      </w:r>
      <w:r>
        <w:rPr>
          <w:rFonts w:ascii="Courier New" w:hAnsi="Courier New" w:cs="Courier New"/>
          <w:sz w:val="24"/>
          <w:szCs w:val="24"/>
        </w:rPr>
        <w:t xml:space="preserve"> a empresas privadas, ello amparado en </w:t>
      </w:r>
      <w:r w:rsidR="00BC4C16">
        <w:rPr>
          <w:rFonts w:ascii="Courier New" w:hAnsi="Courier New" w:cs="Courier New"/>
          <w:sz w:val="24"/>
          <w:szCs w:val="24"/>
        </w:rPr>
        <w:t xml:space="preserve">la legislación vigente que concibe a la concesión de servicio público según los términos del artículo 37 de la LOC de Bases Generales de la Administración del Estado que sostiene: </w:t>
      </w:r>
      <w:r w:rsidR="00BC4C16" w:rsidRPr="00DA5C59">
        <w:rPr>
          <w:rFonts w:ascii="Courier New" w:hAnsi="Courier New" w:cs="Courier New"/>
          <w:i/>
          <w:sz w:val="24"/>
          <w:szCs w:val="24"/>
        </w:rPr>
        <w:t>Los servicios públicos podrán encomendar la ejecución de acciones y entregar la administración de establecimientos o bienes de su propiedad, a las Municipalidades o a entidades de Derecho privado, previa autorización otorgada por ley y mediante la celebración de contratos, en los cuales deberá asegurarse el cumplimiento de los objetivos del servicio y el debido resguardo del patrimonio del Estado</w:t>
      </w:r>
      <w:r w:rsidR="00BC4C16">
        <w:rPr>
          <w:rFonts w:ascii="Courier New" w:hAnsi="Courier New" w:cs="Courier New"/>
          <w:sz w:val="24"/>
          <w:szCs w:val="24"/>
        </w:rPr>
        <w:t xml:space="preserve">. </w:t>
      </w:r>
    </w:p>
    <w:p w:rsidR="00BC4C16" w:rsidRDefault="00BC4C16" w:rsidP="00002BA5">
      <w:pPr>
        <w:spacing w:after="0" w:line="360" w:lineRule="auto"/>
        <w:ind w:left="851"/>
        <w:jc w:val="both"/>
        <w:rPr>
          <w:rFonts w:ascii="Courier New" w:hAnsi="Courier New" w:cs="Courier New"/>
          <w:sz w:val="24"/>
          <w:szCs w:val="24"/>
        </w:rPr>
      </w:pPr>
    </w:p>
    <w:p w:rsidR="00BC4C16" w:rsidRDefault="00BC4C16" w:rsidP="00002BA5">
      <w:pPr>
        <w:spacing w:after="0" w:line="360" w:lineRule="auto"/>
        <w:ind w:left="851"/>
        <w:jc w:val="both"/>
        <w:rPr>
          <w:rFonts w:ascii="Courier New" w:hAnsi="Courier New" w:cs="Courier New"/>
          <w:sz w:val="24"/>
          <w:szCs w:val="24"/>
        </w:rPr>
      </w:pPr>
      <w:r>
        <w:rPr>
          <w:rFonts w:ascii="Courier New" w:hAnsi="Courier New" w:cs="Courier New"/>
          <w:sz w:val="24"/>
          <w:szCs w:val="24"/>
        </w:rPr>
        <w:t xml:space="preserve">Seguidamente, hay que referirse a la titularidad del dominio que tienen las personas sobre los medidores del consumo de electricidad, ya que la legislación vigente reconoce expresamente que, previo al cambio de aparato, éstos son de propiedad de las personas, constituyendo de esta forma un derecho de propiedad sobre el mismo. </w:t>
      </w:r>
    </w:p>
    <w:p w:rsidR="00DA5C59" w:rsidRDefault="00DA5C59" w:rsidP="00BC4C16">
      <w:pPr>
        <w:spacing w:line="360" w:lineRule="auto"/>
        <w:ind w:left="851"/>
        <w:jc w:val="both"/>
        <w:rPr>
          <w:rFonts w:ascii="Courier New" w:hAnsi="Courier New" w:cs="Courier New"/>
          <w:sz w:val="24"/>
          <w:szCs w:val="24"/>
        </w:rPr>
      </w:pPr>
    </w:p>
    <w:p w:rsidR="00BC4C16" w:rsidRDefault="00BC4C16" w:rsidP="00BC4C16">
      <w:pPr>
        <w:spacing w:line="360" w:lineRule="auto"/>
        <w:ind w:left="851"/>
        <w:jc w:val="both"/>
        <w:rPr>
          <w:rFonts w:ascii="Courier New" w:hAnsi="Courier New" w:cs="Courier New"/>
          <w:sz w:val="24"/>
          <w:szCs w:val="24"/>
        </w:rPr>
      </w:pPr>
      <w:r>
        <w:rPr>
          <w:rFonts w:ascii="Courier New" w:hAnsi="Courier New" w:cs="Courier New"/>
          <w:sz w:val="24"/>
          <w:szCs w:val="24"/>
        </w:rPr>
        <w:t xml:space="preserve">La Constitución Política de la República es clara al señalar que la propiedad de una persona sólo puede verse vulnerada por las vías que el mismo constituyente </w:t>
      </w:r>
      <w:r>
        <w:rPr>
          <w:rFonts w:ascii="Courier New" w:hAnsi="Courier New" w:cs="Courier New"/>
          <w:sz w:val="24"/>
          <w:szCs w:val="24"/>
        </w:rPr>
        <w:lastRenderedPageBreak/>
        <w:t>establece en la carta fundamental. A saber, c</w:t>
      </w:r>
      <w:r w:rsidRPr="00BC4C16">
        <w:rPr>
          <w:rFonts w:ascii="Courier New" w:hAnsi="Courier New" w:cs="Courier New"/>
          <w:sz w:val="24"/>
          <w:szCs w:val="24"/>
        </w:rPr>
        <w:t>uan</w:t>
      </w:r>
      <w:r w:rsidR="00DA5C59">
        <w:rPr>
          <w:rFonts w:ascii="Courier New" w:hAnsi="Courier New" w:cs="Courier New"/>
          <w:sz w:val="24"/>
          <w:szCs w:val="24"/>
        </w:rPr>
        <w:t>d</w:t>
      </w:r>
      <w:r w:rsidRPr="00BC4C16">
        <w:rPr>
          <w:rFonts w:ascii="Courier New" w:hAnsi="Courier New" w:cs="Courier New"/>
          <w:sz w:val="24"/>
          <w:szCs w:val="24"/>
        </w:rPr>
        <w:t xml:space="preserve">o </w:t>
      </w:r>
      <w:r w:rsidR="00DA5C59">
        <w:rPr>
          <w:rFonts w:ascii="Courier New" w:hAnsi="Courier New" w:cs="Courier New"/>
          <w:sz w:val="24"/>
          <w:szCs w:val="24"/>
        </w:rPr>
        <w:t xml:space="preserve">lo </w:t>
      </w:r>
      <w:r w:rsidRPr="00BC4C16">
        <w:rPr>
          <w:rFonts w:ascii="Courier New" w:hAnsi="Courier New" w:cs="Courier New"/>
          <w:sz w:val="24"/>
          <w:szCs w:val="24"/>
        </w:rPr>
        <w:t>exijan los intereses generales de la Nación, la seguridad nacional, la utilidad y la salubridad públicas y la conservación del patrimonio ambiental.</w:t>
      </w:r>
    </w:p>
    <w:p w:rsidR="00BC4C16" w:rsidRDefault="00BC4C16" w:rsidP="00BC4C16">
      <w:pPr>
        <w:spacing w:line="360" w:lineRule="auto"/>
        <w:ind w:left="851"/>
        <w:jc w:val="both"/>
        <w:rPr>
          <w:rFonts w:ascii="Courier New" w:hAnsi="Courier New" w:cs="Courier New"/>
          <w:sz w:val="24"/>
          <w:szCs w:val="24"/>
        </w:rPr>
      </w:pPr>
      <w:r>
        <w:rPr>
          <w:rFonts w:ascii="Courier New" w:hAnsi="Courier New" w:cs="Courier New"/>
          <w:sz w:val="24"/>
          <w:szCs w:val="24"/>
        </w:rPr>
        <w:t xml:space="preserve">Por ende, de acuerdo a lo establecido por el constituyente, el único medio legal y constitucional permitido para limitar el derecho de propiedad es la expropiación mediante una ley que autorice dicho acto y que fije los mecanismos para indemnizar al titular del dominio </w:t>
      </w:r>
      <w:r w:rsidR="00795265">
        <w:rPr>
          <w:rFonts w:ascii="Courier New" w:hAnsi="Courier New" w:cs="Courier New"/>
          <w:sz w:val="24"/>
          <w:szCs w:val="24"/>
        </w:rPr>
        <w:t xml:space="preserve">las consecuencias o efectos del acto expropiatorio. Ello nos lleva a concluir que el cambio de medidores y el pago del mismo a cargo de las personas configuran un acto inconstitucional ya que el legislador omite la indemnización y vulnera la propiedad legítimamente constituida sobre el bien material a sustituir. </w:t>
      </w:r>
    </w:p>
    <w:p w:rsidR="00795265" w:rsidRPr="00BC4C16" w:rsidRDefault="00795265" w:rsidP="00BC4C16">
      <w:pPr>
        <w:spacing w:line="360" w:lineRule="auto"/>
        <w:ind w:left="851"/>
        <w:jc w:val="both"/>
        <w:rPr>
          <w:rFonts w:ascii="Courier New" w:hAnsi="Courier New" w:cs="Courier New"/>
          <w:sz w:val="24"/>
          <w:szCs w:val="24"/>
        </w:rPr>
      </w:pPr>
      <w:r>
        <w:rPr>
          <w:rFonts w:ascii="Courier New" w:hAnsi="Courier New" w:cs="Courier New"/>
          <w:sz w:val="24"/>
          <w:szCs w:val="24"/>
        </w:rPr>
        <w:t>En último término cabe referirse al acto posterior al cambio de medidor, el manejo de los residuos de los millones de medidores que no se utilizaran en el país. Dada las características técnicas de los materiales en cuestión es posible sostener que un mal manejo de residuos dará lugar a focos de contaminación a lo largo de todo el territorio nacional. Por esto es importante e ineludible que la empresa junto con cambiar el bien material se haga responsable del manejo de los residuos que estos dejaran al tiempo de efectuado el cambio, de acuerdo al mandato constitucional que protege y cautela el derecho de toda persona a vivir en un medio ambiente libre de contaminación.</w:t>
      </w:r>
    </w:p>
    <w:p w:rsidR="00BC4C16" w:rsidRDefault="00BC4C16" w:rsidP="00002BA5">
      <w:pPr>
        <w:spacing w:after="0" w:line="360" w:lineRule="auto"/>
        <w:ind w:left="851"/>
        <w:jc w:val="both"/>
        <w:rPr>
          <w:rFonts w:ascii="Courier New" w:hAnsi="Courier New" w:cs="Courier New"/>
          <w:sz w:val="24"/>
          <w:szCs w:val="24"/>
        </w:rPr>
      </w:pPr>
    </w:p>
    <w:p w:rsidR="009004B8" w:rsidRPr="009004B8" w:rsidRDefault="00F715D5" w:rsidP="009004B8">
      <w:pPr>
        <w:spacing w:after="0" w:line="360" w:lineRule="auto"/>
        <w:ind w:firstLine="708"/>
        <w:jc w:val="both"/>
        <w:rPr>
          <w:rFonts w:ascii="Courier New" w:hAnsi="Courier New" w:cs="Courier New"/>
          <w:b/>
          <w:sz w:val="24"/>
          <w:szCs w:val="24"/>
        </w:rPr>
      </w:pPr>
      <w:r w:rsidRPr="00F715D5">
        <w:rPr>
          <w:rFonts w:ascii="Courier New" w:hAnsi="Courier New" w:cs="Courier New"/>
          <w:b/>
          <w:sz w:val="24"/>
          <w:szCs w:val="24"/>
        </w:rPr>
        <w:t>2</w:t>
      </w:r>
      <w:r>
        <w:rPr>
          <w:rFonts w:ascii="Courier New" w:hAnsi="Courier New" w:cs="Courier New"/>
          <w:sz w:val="24"/>
          <w:szCs w:val="24"/>
        </w:rPr>
        <w:t xml:space="preserve">. </w:t>
      </w:r>
      <w:r w:rsidR="0057021F" w:rsidRPr="00F715D5">
        <w:rPr>
          <w:rFonts w:ascii="Courier New" w:hAnsi="Courier New" w:cs="Courier New"/>
          <w:b/>
          <w:sz w:val="24"/>
          <w:szCs w:val="24"/>
        </w:rPr>
        <w:t>IDEA MATRIZ</w:t>
      </w:r>
    </w:p>
    <w:p w:rsidR="004356BD" w:rsidRDefault="009004B8" w:rsidP="00795265">
      <w:pPr>
        <w:spacing w:after="0" w:line="360" w:lineRule="auto"/>
        <w:ind w:left="851"/>
        <w:jc w:val="both"/>
        <w:rPr>
          <w:rFonts w:ascii="Courier New" w:hAnsi="Courier New" w:cs="Courier New"/>
          <w:sz w:val="24"/>
          <w:szCs w:val="24"/>
        </w:rPr>
      </w:pPr>
      <w:r>
        <w:rPr>
          <w:rFonts w:ascii="Courier New" w:hAnsi="Courier New" w:cs="Courier New"/>
          <w:sz w:val="24"/>
          <w:szCs w:val="24"/>
        </w:rPr>
        <w:t xml:space="preserve">El proyecto propone </w:t>
      </w:r>
      <w:r w:rsidR="00795265">
        <w:rPr>
          <w:rFonts w:ascii="Courier New" w:hAnsi="Courier New" w:cs="Courier New"/>
          <w:sz w:val="24"/>
          <w:szCs w:val="24"/>
        </w:rPr>
        <w:t xml:space="preserve">una reforma al artículo 139 bis, garantizando una regulación legal expresa que proteja y cautele de buena manera el derecho de propiedad de cada usuario del servicio eléctrico y que mandate a la empresa a gestionar de buena forma los residuos que se </w:t>
      </w:r>
      <w:r w:rsidR="00795265">
        <w:rPr>
          <w:rFonts w:ascii="Courier New" w:hAnsi="Courier New" w:cs="Courier New"/>
          <w:sz w:val="24"/>
          <w:szCs w:val="24"/>
        </w:rPr>
        <w:lastRenderedPageBreak/>
        <w:t xml:space="preserve">producen en las labores propias de dicha operación. Evitando así un cobro injustificado e ilegal y además promoviendo el cuidado y uso razonable de los recursos naturales. </w:t>
      </w:r>
    </w:p>
    <w:p w:rsidR="0057021F" w:rsidRDefault="0057021F" w:rsidP="004356BD">
      <w:pPr>
        <w:spacing w:after="0" w:line="360" w:lineRule="auto"/>
        <w:jc w:val="both"/>
        <w:rPr>
          <w:rFonts w:ascii="Courier New" w:hAnsi="Courier New" w:cs="Courier New"/>
          <w:sz w:val="24"/>
          <w:szCs w:val="24"/>
        </w:rPr>
      </w:pPr>
    </w:p>
    <w:p w:rsidR="0057021F" w:rsidRDefault="0057021F" w:rsidP="0057021F">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En atención a lo expuesto, vengo en proponer el siguiente:</w:t>
      </w:r>
    </w:p>
    <w:p w:rsidR="0057021F" w:rsidRPr="0057021F" w:rsidRDefault="0057021F" w:rsidP="0057021F">
      <w:pPr>
        <w:spacing w:after="0" w:line="360" w:lineRule="auto"/>
        <w:ind w:left="851"/>
        <w:jc w:val="both"/>
        <w:rPr>
          <w:rFonts w:ascii="Courier New" w:hAnsi="Courier New" w:cs="Courier New"/>
          <w:sz w:val="24"/>
          <w:szCs w:val="24"/>
        </w:rPr>
      </w:pPr>
    </w:p>
    <w:p w:rsidR="00973392" w:rsidRPr="00AB6243" w:rsidRDefault="00973392" w:rsidP="00185C3F">
      <w:pPr>
        <w:spacing w:after="0" w:line="360" w:lineRule="auto"/>
        <w:ind w:left="851"/>
        <w:jc w:val="center"/>
        <w:rPr>
          <w:rFonts w:ascii="Courier New" w:hAnsi="Courier New" w:cs="Courier New"/>
          <w:b/>
          <w:sz w:val="24"/>
          <w:szCs w:val="24"/>
        </w:rPr>
      </w:pPr>
      <w:r w:rsidRPr="00AB6243">
        <w:rPr>
          <w:rFonts w:ascii="Courier New" w:hAnsi="Courier New" w:cs="Courier New"/>
          <w:b/>
          <w:sz w:val="24"/>
          <w:szCs w:val="24"/>
        </w:rPr>
        <w:t xml:space="preserve">Proyecto de </w:t>
      </w:r>
      <w:r w:rsidR="00004AD7">
        <w:rPr>
          <w:rFonts w:ascii="Courier New" w:hAnsi="Courier New" w:cs="Courier New"/>
          <w:b/>
          <w:sz w:val="24"/>
          <w:szCs w:val="24"/>
        </w:rPr>
        <w:t>Ley</w:t>
      </w:r>
    </w:p>
    <w:p w:rsidR="00973392" w:rsidRDefault="00973392" w:rsidP="00185C3F">
      <w:pPr>
        <w:spacing w:after="0" w:line="360" w:lineRule="auto"/>
        <w:ind w:left="851"/>
        <w:jc w:val="both"/>
        <w:rPr>
          <w:rFonts w:ascii="Courier New" w:hAnsi="Courier New" w:cs="Courier New"/>
          <w:sz w:val="24"/>
          <w:szCs w:val="24"/>
        </w:rPr>
      </w:pPr>
    </w:p>
    <w:p w:rsidR="00004AD7" w:rsidRDefault="003153C8" w:rsidP="00795265">
      <w:pPr>
        <w:spacing w:after="0" w:line="360" w:lineRule="auto"/>
        <w:ind w:left="851"/>
        <w:jc w:val="both"/>
        <w:rPr>
          <w:rFonts w:ascii="Courier New" w:hAnsi="Courier New" w:cs="Courier New"/>
          <w:b/>
          <w:sz w:val="24"/>
          <w:szCs w:val="24"/>
        </w:rPr>
      </w:pPr>
      <w:r>
        <w:rPr>
          <w:rFonts w:ascii="Courier New" w:hAnsi="Courier New" w:cs="Courier New"/>
          <w:b/>
          <w:sz w:val="24"/>
          <w:szCs w:val="24"/>
        </w:rPr>
        <w:t xml:space="preserve">Para agregar </w:t>
      </w:r>
      <w:r w:rsidR="009372D4">
        <w:rPr>
          <w:rFonts w:ascii="Courier New" w:hAnsi="Courier New" w:cs="Courier New"/>
          <w:b/>
          <w:sz w:val="24"/>
          <w:szCs w:val="24"/>
        </w:rPr>
        <w:t>un tres nuevos incisos</w:t>
      </w:r>
      <w:r>
        <w:rPr>
          <w:rFonts w:ascii="Courier New" w:hAnsi="Courier New" w:cs="Courier New"/>
          <w:b/>
          <w:sz w:val="24"/>
          <w:szCs w:val="24"/>
        </w:rPr>
        <w:t xml:space="preserve"> al </w:t>
      </w:r>
      <w:r w:rsidR="00973392">
        <w:rPr>
          <w:rFonts w:ascii="Courier New" w:hAnsi="Courier New" w:cs="Courier New"/>
          <w:b/>
          <w:sz w:val="24"/>
          <w:szCs w:val="24"/>
        </w:rPr>
        <w:t xml:space="preserve">Artículo </w:t>
      </w:r>
      <w:r w:rsidR="001052C1">
        <w:rPr>
          <w:rFonts w:ascii="Courier New" w:hAnsi="Courier New" w:cs="Courier New"/>
          <w:b/>
          <w:sz w:val="24"/>
          <w:szCs w:val="24"/>
        </w:rPr>
        <w:t>1</w:t>
      </w:r>
      <w:r w:rsidR="00795265">
        <w:rPr>
          <w:rFonts w:ascii="Courier New" w:hAnsi="Courier New" w:cs="Courier New"/>
          <w:b/>
          <w:sz w:val="24"/>
          <w:szCs w:val="24"/>
        </w:rPr>
        <w:t>39</w:t>
      </w:r>
      <w:r w:rsidR="001052C1">
        <w:rPr>
          <w:rFonts w:ascii="Courier New" w:hAnsi="Courier New" w:cs="Courier New"/>
          <w:b/>
          <w:sz w:val="24"/>
          <w:szCs w:val="24"/>
        </w:rPr>
        <w:t>°</w:t>
      </w:r>
      <w:r w:rsidR="00795265">
        <w:rPr>
          <w:rFonts w:ascii="Courier New" w:hAnsi="Courier New" w:cs="Courier New"/>
          <w:b/>
          <w:sz w:val="24"/>
          <w:szCs w:val="24"/>
        </w:rPr>
        <w:t xml:space="preserve"> bis</w:t>
      </w:r>
      <w:r w:rsidR="00B344AC">
        <w:rPr>
          <w:rFonts w:ascii="Courier New" w:hAnsi="Courier New" w:cs="Courier New"/>
          <w:b/>
          <w:sz w:val="24"/>
          <w:szCs w:val="24"/>
        </w:rPr>
        <w:t xml:space="preserve"> de la ley General de Servicios Eléctricos</w:t>
      </w:r>
      <w:r>
        <w:rPr>
          <w:rFonts w:ascii="Courier New" w:hAnsi="Courier New" w:cs="Courier New"/>
          <w:b/>
          <w:sz w:val="24"/>
          <w:szCs w:val="24"/>
        </w:rPr>
        <w:t>, con la siguiente redacción</w:t>
      </w:r>
      <w:r w:rsidR="00525CC7">
        <w:rPr>
          <w:rFonts w:ascii="Courier New" w:hAnsi="Courier New" w:cs="Courier New"/>
          <w:b/>
          <w:sz w:val="24"/>
          <w:szCs w:val="24"/>
        </w:rPr>
        <w:t>:</w:t>
      </w:r>
    </w:p>
    <w:p w:rsidR="009372D4" w:rsidRDefault="009372D4" w:rsidP="00795265">
      <w:pPr>
        <w:spacing w:after="0" w:line="360" w:lineRule="auto"/>
        <w:ind w:left="851"/>
        <w:jc w:val="both"/>
        <w:rPr>
          <w:rFonts w:ascii="Courier New" w:hAnsi="Courier New" w:cs="Courier New"/>
          <w:b/>
          <w:sz w:val="24"/>
          <w:szCs w:val="24"/>
        </w:rPr>
      </w:pPr>
    </w:p>
    <w:p w:rsidR="009372D4" w:rsidRDefault="009372D4" w:rsidP="00795265">
      <w:pPr>
        <w:spacing w:after="0" w:line="360" w:lineRule="auto"/>
        <w:ind w:left="851"/>
        <w:jc w:val="both"/>
        <w:rPr>
          <w:rFonts w:ascii="Courier New" w:hAnsi="Courier New" w:cs="Courier New"/>
          <w:b/>
          <w:sz w:val="24"/>
          <w:szCs w:val="24"/>
        </w:rPr>
      </w:pPr>
      <w:r>
        <w:rPr>
          <w:rFonts w:ascii="Courier New" w:hAnsi="Courier New" w:cs="Courier New"/>
          <w:b/>
          <w:sz w:val="24"/>
          <w:szCs w:val="24"/>
        </w:rPr>
        <w:t>Sin perjuicio de lo anterior, aquellos usuarios que antes de la entrada en vigencia de la Ley N° 21.076 fueran propietarios de sus respectivos medidores, conservarán la titularidad sobre ellos, debiendo percibir la correspondiente compensación en caso de retiro por decisión de la concesionaria del servicio.</w:t>
      </w:r>
      <w:r w:rsidR="005773C3">
        <w:rPr>
          <w:rFonts w:ascii="Courier New" w:hAnsi="Courier New" w:cs="Courier New"/>
          <w:b/>
          <w:sz w:val="24"/>
          <w:szCs w:val="24"/>
        </w:rPr>
        <w:t xml:space="preserve"> La modalidad de la referida compensación deberá ser regulada en el reglamento respectivo.</w:t>
      </w:r>
    </w:p>
    <w:p w:rsidR="009372D4" w:rsidRDefault="009372D4" w:rsidP="00795265">
      <w:pPr>
        <w:spacing w:after="0" w:line="360" w:lineRule="auto"/>
        <w:ind w:left="851"/>
        <w:jc w:val="both"/>
        <w:rPr>
          <w:rFonts w:ascii="Courier New" w:hAnsi="Courier New" w:cs="Courier New"/>
          <w:b/>
          <w:sz w:val="24"/>
          <w:szCs w:val="24"/>
        </w:rPr>
      </w:pPr>
    </w:p>
    <w:p w:rsidR="003153C8" w:rsidRDefault="003153C8" w:rsidP="00795265">
      <w:pPr>
        <w:spacing w:after="0" w:line="360" w:lineRule="auto"/>
        <w:ind w:left="851"/>
        <w:jc w:val="both"/>
        <w:rPr>
          <w:rFonts w:ascii="Courier New" w:hAnsi="Courier New" w:cs="Courier New"/>
          <w:b/>
          <w:sz w:val="24"/>
          <w:szCs w:val="24"/>
        </w:rPr>
      </w:pPr>
      <w:r>
        <w:rPr>
          <w:rFonts w:ascii="Courier New" w:hAnsi="Courier New" w:cs="Courier New"/>
          <w:b/>
          <w:sz w:val="24"/>
          <w:szCs w:val="24"/>
        </w:rPr>
        <w:t xml:space="preserve">Siempre que no se trate de negligencia imputable al usuario, los costos de mantención, reparación o </w:t>
      </w:r>
      <w:r w:rsidR="00681FAC">
        <w:rPr>
          <w:rFonts w:ascii="Courier New" w:hAnsi="Courier New" w:cs="Courier New"/>
          <w:b/>
          <w:sz w:val="24"/>
          <w:szCs w:val="24"/>
        </w:rPr>
        <w:t>reposición</w:t>
      </w:r>
      <w:r>
        <w:rPr>
          <w:rFonts w:ascii="Courier New" w:hAnsi="Courier New" w:cs="Courier New"/>
          <w:b/>
          <w:sz w:val="24"/>
          <w:szCs w:val="24"/>
        </w:rPr>
        <w:t xml:space="preserve"> del medidor</w:t>
      </w:r>
      <w:r w:rsidR="00681FAC">
        <w:rPr>
          <w:rFonts w:ascii="Courier New" w:hAnsi="Courier New" w:cs="Courier New"/>
          <w:b/>
          <w:sz w:val="24"/>
          <w:szCs w:val="24"/>
        </w:rPr>
        <w:t xml:space="preserve"> </w:t>
      </w:r>
      <w:r>
        <w:rPr>
          <w:rFonts w:ascii="Courier New" w:hAnsi="Courier New" w:cs="Courier New"/>
          <w:b/>
          <w:sz w:val="24"/>
          <w:szCs w:val="24"/>
        </w:rPr>
        <w:t>serán de cargo de l</w:t>
      </w:r>
      <w:r w:rsidR="00681FAC">
        <w:rPr>
          <w:rFonts w:ascii="Courier New" w:hAnsi="Courier New" w:cs="Courier New"/>
          <w:b/>
          <w:sz w:val="24"/>
          <w:szCs w:val="24"/>
        </w:rPr>
        <w:t>a empresa</w:t>
      </w:r>
      <w:r>
        <w:rPr>
          <w:rFonts w:ascii="Courier New" w:hAnsi="Courier New" w:cs="Courier New"/>
          <w:b/>
          <w:sz w:val="24"/>
          <w:szCs w:val="24"/>
        </w:rPr>
        <w:t>.</w:t>
      </w:r>
    </w:p>
    <w:p w:rsidR="003153C8" w:rsidRDefault="003153C8" w:rsidP="00795265">
      <w:pPr>
        <w:spacing w:after="0" w:line="360" w:lineRule="auto"/>
        <w:ind w:left="851"/>
        <w:jc w:val="both"/>
        <w:rPr>
          <w:rFonts w:ascii="Courier New" w:hAnsi="Courier New" w:cs="Courier New"/>
          <w:b/>
          <w:sz w:val="24"/>
          <w:szCs w:val="24"/>
        </w:rPr>
      </w:pPr>
    </w:p>
    <w:p w:rsidR="00795265" w:rsidRDefault="003153C8" w:rsidP="00795265">
      <w:pPr>
        <w:spacing w:after="0" w:line="360" w:lineRule="auto"/>
        <w:ind w:left="851"/>
        <w:jc w:val="both"/>
        <w:rPr>
          <w:rFonts w:ascii="Courier New" w:hAnsi="Courier New" w:cs="Courier New"/>
          <w:sz w:val="24"/>
          <w:szCs w:val="24"/>
        </w:rPr>
      </w:pPr>
      <w:r>
        <w:rPr>
          <w:rFonts w:ascii="Courier New" w:hAnsi="Courier New" w:cs="Courier New"/>
          <w:b/>
          <w:sz w:val="24"/>
          <w:szCs w:val="24"/>
        </w:rPr>
        <w:t>Asimismo, la prestadora del servicio</w:t>
      </w:r>
      <w:r w:rsidR="00681FAC">
        <w:rPr>
          <w:rFonts w:ascii="Courier New" w:hAnsi="Courier New" w:cs="Courier New"/>
          <w:b/>
          <w:sz w:val="24"/>
          <w:szCs w:val="24"/>
        </w:rPr>
        <w:t xml:space="preserve"> será responsable de la gestión de los residuos producidos por cualquier acto de </w:t>
      </w:r>
      <w:r w:rsidR="00960DE2">
        <w:rPr>
          <w:rFonts w:ascii="Courier New" w:hAnsi="Courier New" w:cs="Courier New"/>
          <w:b/>
          <w:sz w:val="24"/>
          <w:szCs w:val="24"/>
        </w:rPr>
        <w:t xml:space="preserve">mantención, </w:t>
      </w:r>
      <w:r w:rsidR="00681FAC">
        <w:rPr>
          <w:rFonts w:ascii="Courier New" w:hAnsi="Courier New" w:cs="Courier New"/>
          <w:b/>
          <w:sz w:val="24"/>
          <w:szCs w:val="24"/>
        </w:rPr>
        <w:t xml:space="preserve">reparación o reposición de medidores, empalmes o líneas de distribución. </w:t>
      </w:r>
      <w:r w:rsidR="005773C3">
        <w:rPr>
          <w:rFonts w:ascii="Courier New" w:hAnsi="Courier New" w:cs="Courier New"/>
          <w:b/>
          <w:sz w:val="24"/>
          <w:szCs w:val="24"/>
        </w:rPr>
        <w:t>Esta obligación deberá ser regulada por la autoridad administrativa competente.</w:t>
      </w:r>
    </w:p>
    <w:p w:rsidR="00C22392" w:rsidRDefault="00C22392" w:rsidP="00185C3F">
      <w:pPr>
        <w:spacing w:after="0" w:line="360" w:lineRule="auto"/>
        <w:jc w:val="both"/>
        <w:rPr>
          <w:rFonts w:ascii="Courier New" w:hAnsi="Courier New" w:cs="Courier New"/>
          <w:sz w:val="24"/>
          <w:szCs w:val="24"/>
        </w:rPr>
      </w:pPr>
    </w:p>
    <w:p w:rsidR="00D357CC" w:rsidRDefault="00D357CC" w:rsidP="00185C3F">
      <w:pPr>
        <w:spacing w:after="0" w:line="360" w:lineRule="auto"/>
        <w:jc w:val="both"/>
        <w:rPr>
          <w:rFonts w:ascii="Courier New" w:hAnsi="Courier New" w:cs="Courier New"/>
          <w:sz w:val="24"/>
          <w:szCs w:val="24"/>
        </w:rPr>
      </w:pPr>
    </w:p>
    <w:p w:rsidR="00C22392" w:rsidRDefault="00C22392" w:rsidP="00185C3F">
      <w:pPr>
        <w:spacing w:after="0" w:line="360" w:lineRule="auto"/>
        <w:jc w:val="center"/>
        <w:rPr>
          <w:rFonts w:ascii="Courier New" w:hAnsi="Courier New" w:cs="Courier New"/>
          <w:b/>
          <w:sz w:val="24"/>
          <w:szCs w:val="24"/>
        </w:rPr>
      </w:pPr>
      <w:r>
        <w:rPr>
          <w:rFonts w:ascii="Courier New" w:hAnsi="Courier New" w:cs="Courier New"/>
          <w:b/>
          <w:sz w:val="24"/>
          <w:szCs w:val="24"/>
        </w:rPr>
        <w:t>RAUL SOTO MARDONES</w:t>
      </w:r>
    </w:p>
    <w:p w:rsidR="00C22392" w:rsidRPr="00C22392" w:rsidRDefault="00C22392" w:rsidP="00185C3F">
      <w:pPr>
        <w:spacing w:after="0" w:line="360" w:lineRule="auto"/>
        <w:jc w:val="center"/>
        <w:rPr>
          <w:rFonts w:ascii="Courier New" w:hAnsi="Courier New" w:cs="Courier New"/>
          <w:b/>
          <w:sz w:val="24"/>
          <w:szCs w:val="24"/>
        </w:rPr>
      </w:pPr>
      <w:r>
        <w:rPr>
          <w:rFonts w:ascii="Courier New" w:hAnsi="Courier New" w:cs="Courier New"/>
          <w:b/>
          <w:sz w:val="24"/>
          <w:szCs w:val="24"/>
        </w:rPr>
        <w:t>Diputado de la República</w:t>
      </w:r>
    </w:p>
    <w:sectPr w:rsidR="00C22392" w:rsidRPr="00C22392" w:rsidSect="00525CC7">
      <w:headerReference w:type="default" r:id="rId8"/>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3E" w:rsidRDefault="008F523E" w:rsidP="00AE0FA0">
      <w:pPr>
        <w:spacing w:after="0" w:line="240" w:lineRule="auto"/>
      </w:pPr>
      <w:r>
        <w:separator/>
      </w:r>
    </w:p>
  </w:endnote>
  <w:endnote w:type="continuationSeparator" w:id="0">
    <w:p w:rsidR="008F523E" w:rsidRDefault="008F523E" w:rsidP="00AE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434576"/>
      <w:docPartObj>
        <w:docPartGallery w:val="Page Numbers (Bottom of Page)"/>
        <w:docPartUnique/>
      </w:docPartObj>
    </w:sdtPr>
    <w:sdtEndPr/>
    <w:sdtContent>
      <w:p w:rsidR="00795265" w:rsidRDefault="009B2446">
        <w:pPr>
          <w:pStyle w:val="Piedepgina"/>
          <w:jc w:val="right"/>
        </w:pPr>
        <w:r>
          <w:fldChar w:fldCharType="begin"/>
        </w:r>
        <w:r>
          <w:instrText>PAGE   \* MERGEFORMAT</w:instrText>
        </w:r>
        <w:r>
          <w:fldChar w:fldCharType="separate"/>
        </w:r>
        <w:r w:rsidR="005048DE" w:rsidRPr="005048DE">
          <w:rPr>
            <w:noProof/>
            <w:lang w:val="es-ES"/>
          </w:rPr>
          <w:t>1</w:t>
        </w:r>
        <w:r>
          <w:rPr>
            <w:noProof/>
            <w:lang w:val="es-ES"/>
          </w:rPr>
          <w:fldChar w:fldCharType="end"/>
        </w:r>
      </w:p>
    </w:sdtContent>
  </w:sdt>
  <w:p w:rsidR="00795265" w:rsidRDefault="00795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3E" w:rsidRDefault="008F523E" w:rsidP="00AE0FA0">
      <w:pPr>
        <w:spacing w:after="0" w:line="240" w:lineRule="auto"/>
      </w:pPr>
      <w:r>
        <w:separator/>
      </w:r>
    </w:p>
  </w:footnote>
  <w:footnote w:type="continuationSeparator" w:id="0">
    <w:p w:rsidR="008F523E" w:rsidRDefault="008F523E" w:rsidP="00AE0FA0">
      <w:pPr>
        <w:spacing w:after="0" w:line="240" w:lineRule="auto"/>
      </w:pPr>
      <w:r>
        <w:continuationSeparator/>
      </w:r>
    </w:p>
  </w:footnote>
  <w:footnote w:id="1">
    <w:p w:rsidR="00795265" w:rsidRPr="00DA5C59" w:rsidRDefault="00795265" w:rsidP="00F55B87">
      <w:pPr>
        <w:pStyle w:val="Textonotapie"/>
        <w:jc w:val="both"/>
        <w:rPr>
          <w:rFonts w:ascii="Courier New" w:hAnsi="Courier New" w:cs="Courier New"/>
        </w:rPr>
      </w:pPr>
      <w:r w:rsidRPr="00DA5C59">
        <w:rPr>
          <w:rStyle w:val="Refdenotaalpie"/>
          <w:rFonts w:ascii="Courier New" w:hAnsi="Courier New" w:cs="Courier New"/>
        </w:rPr>
        <w:footnoteRef/>
      </w:r>
      <w:r w:rsidRPr="00DA5C59">
        <w:rPr>
          <w:rFonts w:ascii="Courier New" w:hAnsi="Courier New" w:cs="Courier New"/>
        </w:rPr>
        <w:t xml:space="preserve"> El inciso  segundo del artículo 1 de la Ley N°18.575, Orgánica Constitucional de Bases Generales de la Administración del Estado prescribe: </w:t>
      </w:r>
      <w:r w:rsidRPr="00DA5C59">
        <w:rPr>
          <w:rFonts w:ascii="Courier New" w:hAnsi="Courier New" w:cs="Courier New"/>
          <w:i/>
        </w:rPr>
        <w:t>“La Administración del Estado estará constituida por los Ministerios, las Intendencias, las Gobernaciones y los servicios públicos creados para el cumplimiento de la función administrativa, incluidos la Contraloría General de la República, el Banco Central, las Fuerzas Armadas y las Fuerzas de Orden y Seguridad Pública, los Gobiernos Regionales, las Municipalidades y las empresas públicas creadas por ley”.</w:t>
      </w:r>
    </w:p>
  </w:footnote>
  <w:footnote w:id="2">
    <w:p w:rsidR="00795265" w:rsidRPr="00DA5C59" w:rsidRDefault="00795265">
      <w:pPr>
        <w:pStyle w:val="Textonotapie"/>
        <w:rPr>
          <w:rFonts w:ascii="Courier New" w:hAnsi="Courier New" w:cs="Courier New"/>
        </w:rPr>
      </w:pPr>
      <w:r w:rsidRPr="00DA5C59">
        <w:rPr>
          <w:rStyle w:val="Refdenotaalpie"/>
          <w:rFonts w:ascii="Courier New" w:hAnsi="Courier New" w:cs="Courier New"/>
        </w:rPr>
        <w:footnoteRef/>
      </w:r>
      <w:r w:rsidRPr="00DA5C59">
        <w:rPr>
          <w:rFonts w:ascii="Courier New" w:hAnsi="Courier New" w:cs="Courier New"/>
        </w:rPr>
        <w:t xml:space="preserve">  Inciso tercero, artículo 1; Constitución Política de la República.</w:t>
      </w:r>
    </w:p>
  </w:footnote>
  <w:footnote w:id="3">
    <w:p w:rsidR="00795265" w:rsidRPr="00DA5C59" w:rsidRDefault="00795265">
      <w:pPr>
        <w:pStyle w:val="Textonotapie"/>
        <w:rPr>
          <w:rFonts w:ascii="Courier New" w:hAnsi="Courier New" w:cs="Courier New"/>
        </w:rPr>
      </w:pPr>
      <w:r w:rsidRPr="00DA5C59">
        <w:rPr>
          <w:rStyle w:val="Refdenotaalpie"/>
          <w:rFonts w:ascii="Courier New" w:hAnsi="Courier New" w:cs="Courier New"/>
        </w:rPr>
        <w:footnoteRef/>
      </w:r>
      <w:r w:rsidRPr="00DA5C59">
        <w:rPr>
          <w:rFonts w:ascii="Courier New" w:hAnsi="Courier New" w:cs="Courier New"/>
        </w:rPr>
        <w:t xml:space="preserve"> BERMUDEZ SOTO, JORGE. Derecho Administrativo General (2014),</w:t>
      </w:r>
      <w:r w:rsidR="00DA5C59" w:rsidRPr="00DA5C59">
        <w:rPr>
          <w:rFonts w:ascii="Courier New" w:hAnsi="Courier New" w:cs="Courier New"/>
        </w:rPr>
        <w:t xml:space="preserve"> </w:t>
      </w:r>
      <w:r w:rsidRPr="00DA5C59">
        <w:rPr>
          <w:rFonts w:ascii="Courier New" w:hAnsi="Courier New" w:cs="Courier New"/>
        </w:rPr>
        <w:t>p.306.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65" w:rsidRDefault="00960DE2" w:rsidP="00B64062">
    <w:pPr>
      <w:pStyle w:val="Encabezado"/>
      <w:jc w:val="center"/>
    </w:pPr>
    <w:r>
      <w:rPr>
        <w:rFonts w:ascii="Monotype Corsiva" w:eastAsia="Times New Roman" w:hAnsi="Monotype Corsiva"/>
        <w:i/>
        <w:noProof/>
        <w:color w:val="1F497D"/>
        <w:sz w:val="20"/>
        <w:szCs w:val="20"/>
        <w:lang w:eastAsia="es-CL"/>
      </w:rPr>
      <w:drawing>
        <wp:inline distT="0" distB="0" distL="0" distR="0">
          <wp:extent cx="800100" cy="787400"/>
          <wp:effectExtent l="0" t="0" r="0" b="0"/>
          <wp:docPr id="1" name="Imagen 1" descr="cid:image001.png@01D05809.1CBE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5809.1CBE7C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3129B"/>
    <w:multiLevelType w:val="hybridMultilevel"/>
    <w:tmpl w:val="CB76030A"/>
    <w:lvl w:ilvl="0" w:tplc="7D4E8D80">
      <w:start w:val="2"/>
      <w:numFmt w:val="bullet"/>
      <w:lvlText w:val="-"/>
      <w:lvlJc w:val="left"/>
      <w:pPr>
        <w:ind w:left="1571" w:hanging="360"/>
      </w:pPr>
      <w:rPr>
        <w:rFonts w:ascii="Courier New" w:eastAsiaTheme="minorHAnsi" w:hAnsi="Courier New" w:cs="Courier New"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 w15:restartNumberingAfterBreak="0">
    <w:nsid w:val="625F1148"/>
    <w:multiLevelType w:val="hybridMultilevel"/>
    <w:tmpl w:val="325426CC"/>
    <w:lvl w:ilvl="0" w:tplc="FC4CBD42">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 w15:restartNumberingAfterBreak="0">
    <w:nsid w:val="6E4176A7"/>
    <w:multiLevelType w:val="hybridMultilevel"/>
    <w:tmpl w:val="84F07CCC"/>
    <w:lvl w:ilvl="0" w:tplc="2A764102">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0B"/>
    <w:rsid w:val="00002BA5"/>
    <w:rsid w:val="0000463A"/>
    <w:rsid w:val="00004AD7"/>
    <w:rsid w:val="00042A07"/>
    <w:rsid w:val="00046EC6"/>
    <w:rsid w:val="00046EDB"/>
    <w:rsid w:val="00061F5B"/>
    <w:rsid w:val="00067DC5"/>
    <w:rsid w:val="00091AD6"/>
    <w:rsid w:val="000A4B57"/>
    <w:rsid w:val="000A5052"/>
    <w:rsid w:val="000C6ECF"/>
    <w:rsid w:val="00101FE0"/>
    <w:rsid w:val="00103FA0"/>
    <w:rsid w:val="001052C1"/>
    <w:rsid w:val="00124234"/>
    <w:rsid w:val="00136878"/>
    <w:rsid w:val="00155B1B"/>
    <w:rsid w:val="00185C3F"/>
    <w:rsid w:val="001947FC"/>
    <w:rsid w:val="001967DA"/>
    <w:rsid w:val="001C3AA9"/>
    <w:rsid w:val="001C7CE4"/>
    <w:rsid w:val="001D1AED"/>
    <w:rsid w:val="001D2443"/>
    <w:rsid w:val="001F17AA"/>
    <w:rsid w:val="001F3E50"/>
    <w:rsid w:val="001F6BD4"/>
    <w:rsid w:val="002058F6"/>
    <w:rsid w:val="00205DBD"/>
    <w:rsid w:val="00224D5B"/>
    <w:rsid w:val="002325C3"/>
    <w:rsid w:val="0025221E"/>
    <w:rsid w:val="00267535"/>
    <w:rsid w:val="00274F31"/>
    <w:rsid w:val="00277AAC"/>
    <w:rsid w:val="002B4127"/>
    <w:rsid w:val="002B50BD"/>
    <w:rsid w:val="002D32A5"/>
    <w:rsid w:val="002D6DBF"/>
    <w:rsid w:val="0030457F"/>
    <w:rsid w:val="00306D42"/>
    <w:rsid w:val="00314F03"/>
    <w:rsid w:val="003153C8"/>
    <w:rsid w:val="00327AAD"/>
    <w:rsid w:val="003A27B8"/>
    <w:rsid w:val="003B7673"/>
    <w:rsid w:val="003C035B"/>
    <w:rsid w:val="003D7215"/>
    <w:rsid w:val="003E1738"/>
    <w:rsid w:val="003E4A7D"/>
    <w:rsid w:val="004279F9"/>
    <w:rsid w:val="004356BD"/>
    <w:rsid w:val="00465ACF"/>
    <w:rsid w:val="004762F2"/>
    <w:rsid w:val="0049729F"/>
    <w:rsid w:val="004A3F8B"/>
    <w:rsid w:val="004C793E"/>
    <w:rsid w:val="004D1572"/>
    <w:rsid w:val="004E0571"/>
    <w:rsid w:val="004E3714"/>
    <w:rsid w:val="004F418E"/>
    <w:rsid w:val="005048DE"/>
    <w:rsid w:val="005057B4"/>
    <w:rsid w:val="005147EE"/>
    <w:rsid w:val="0051589F"/>
    <w:rsid w:val="005234B2"/>
    <w:rsid w:val="0052570B"/>
    <w:rsid w:val="00525CC7"/>
    <w:rsid w:val="0054317F"/>
    <w:rsid w:val="0057021F"/>
    <w:rsid w:val="005773C3"/>
    <w:rsid w:val="00580D32"/>
    <w:rsid w:val="005A3D97"/>
    <w:rsid w:val="005A5754"/>
    <w:rsid w:val="005A68C5"/>
    <w:rsid w:val="005B0B4C"/>
    <w:rsid w:val="005C1B3F"/>
    <w:rsid w:val="005C2E6C"/>
    <w:rsid w:val="005D40C4"/>
    <w:rsid w:val="005D4574"/>
    <w:rsid w:val="005D71F9"/>
    <w:rsid w:val="005F7C7A"/>
    <w:rsid w:val="00623578"/>
    <w:rsid w:val="00633FA8"/>
    <w:rsid w:val="0067032D"/>
    <w:rsid w:val="00681FAC"/>
    <w:rsid w:val="00683124"/>
    <w:rsid w:val="006909DB"/>
    <w:rsid w:val="00691B24"/>
    <w:rsid w:val="006D0526"/>
    <w:rsid w:val="006D755B"/>
    <w:rsid w:val="00715DE3"/>
    <w:rsid w:val="007165A5"/>
    <w:rsid w:val="00741570"/>
    <w:rsid w:val="00795265"/>
    <w:rsid w:val="007E6DD0"/>
    <w:rsid w:val="007F6DF4"/>
    <w:rsid w:val="00816795"/>
    <w:rsid w:val="00836FBC"/>
    <w:rsid w:val="00897F64"/>
    <w:rsid w:val="008A52D5"/>
    <w:rsid w:val="008B349C"/>
    <w:rsid w:val="008C38DC"/>
    <w:rsid w:val="008D4FED"/>
    <w:rsid w:val="008F523E"/>
    <w:rsid w:val="009004B8"/>
    <w:rsid w:val="009372D4"/>
    <w:rsid w:val="00960DE2"/>
    <w:rsid w:val="00965AF2"/>
    <w:rsid w:val="00973392"/>
    <w:rsid w:val="0098066A"/>
    <w:rsid w:val="009B2446"/>
    <w:rsid w:val="009D4E3E"/>
    <w:rsid w:val="009E3904"/>
    <w:rsid w:val="00A42302"/>
    <w:rsid w:val="00A603F1"/>
    <w:rsid w:val="00A907B6"/>
    <w:rsid w:val="00A94E27"/>
    <w:rsid w:val="00AB6243"/>
    <w:rsid w:val="00AE0FA0"/>
    <w:rsid w:val="00AE3F56"/>
    <w:rsid w:val="00B21D7A"/>
    <w:rsid w:val="00B2399F"/>
    <w:rsid w:val="00B344AC"/>
    <w:rsid w:val="00B64062"/>
    <w:rsid w:val="00B672F2"/>
    <w:rsid w:val="00B82895"/>
    <w:rsid w:val="00B92271"/>
    <w:rsid w:val="00BA0063"/>
    <w:rsid w:val="00BC0E0B"/>
    <w:rsid w:val="00BC432E"/>
    <w:rsid w:val="00BC4C16"/>
    <w:rsid w:val="00BD34C7"/>
    <w:rsid w:val="00C02E66"/>
    <w:rsid w:val="00C16BA3"/>
    <w:rsid w:val="00C22392"/>
    <w:rsid w:val="00C6401C"/>
    <w:rsid w:val="00C66C93"/>
    <w:rsid w:val="00CA59F2"/>
    <w:rsid w:val="00CD37C2"/>
    <w:rsid w:val="00CF738B"/>
    <w:rsid w:val="00D26099"/>
    <w:rsid w:val="00D357CC"/>
    <w:rsid w:val="00D414EF"/>
    <w:rsid w:val="00D43F29"/>
    <w:rsid w:val="00D44A33"/>
    <w:rsid w:val="00D76EB2"/>
    <w:rsid w:val="00DA479F"/>
    <w:rsid w:val="00DA5C59"/>
    <w:rsid w:val="00DC5BEB"/>
    <w:rsid w:val="00DC79D5"/>
    <w:rsid w:val="00DD147E"/>
    <w:rsid w:val="00E13C73"/>
    <w:rsid w:val="00E32E0A"/>
    <w:rsid w:val="00E60BD0"/>
    <w:rsid w:val="00E77F4A"/>
    <w:rsid w:val="00EB0711"/>
    <w:rsid w:val="00EC742A"/>
    <w:rsid w:val="00ED10BC"/>
    <w:rsid w:val="00F10E5A"/>
    <w:rsid w:val="00F27BF7"/>
    <w:rsid w:val="00F55B87"/>
    <w:rsid w:val="00F61353"/>
    <w:rsid w:val="00F715D5"/>
    <w:rsid w:val="00FE6648"/>
    <w:rsid w:val="00FF0F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0A96-9DEF-4AAE-BFC4-51B2C0BF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70B"/>
    <w:pPr>
      <w:ind w:left="720"/>
      <w:contextualSpacing/>
    </w:pPr>
  </w:style>
  <w:style w:type="paragraph" w:styleId="Textonotapie">
    <w:name w:val="footnote text"/>
    <w:basedOn w:val="Normal"/>
    <w:link w:val="TextonotapieCar"/>
    <w:uiPriority w:val="99"/>
    <w:unhideWhenUsed/>
    <w:rsid w:val="00AE0FA0"/>
    <w:pPr>
      <w:spacing w:after="0" w:line="240" w:lineRule="auto"/>
    </w:pPr>
    <w:rPr>
      <w:sz w:val="20"/>
      <w:szCs w:val="20"/>
    </w:rPr>
  </w:style>
  <w:style w:type="character" w:customStyle="1" w:styleId="TextonotapieCar">
    <w:name w:val="Texto nota pie Car"/>
    <w:basedOn w:val="Fuentedeprrafopredeter"/>
    <w:link w:val="Textonotapie"/>
    <w:uiPriority w:val="99"/>
    <w:rsid w:val="00AE0FA0"/>
    <w:rPr>
      <w:sz w:val="20"/>
      <w:szCs w:val="20"/>
    </w:rPr>
  </w:style>
  <w:style w:type="character" w:styleId="Refdenotaalpie">
    <w:name w:val="footnote reference"/>
    <w:basedOn w:val="Fuentedeprrafopredeter"/>
    <w:uiPriority w:val="99"/>
    <w:semiHidden/>
    <w:unhideWhenUsed/>
    <w:rsid w:val="00AE0FA0"/>
    <w:rPr>
      <w:vertAlign w:val="superscript"/>
    </w:rPr>
  </w:style>
  <w:style w:type="paragraph" w:styleId="Textodeglobo">
    <w:name w:val="Balloon Text"/>
    <w:basedOn w:val="Normal"/>
    <w:link w:val="TextodegloboCar"/>
    <w:uiPriority w:val="99"/>
    <w:semiHidden/>
    <w:unhideWhenUsed/>
    <w:rsid w:val="00AB6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243"/>
    <w:rPr>
      <w:rFonts w:ascii="Segoe UI" w:hAnsi="Segoe UI" w:cs="Segoe UI"/>
      <w:sz w:val="18"/>
      <w:szCs w:val="18"/>
    </w:rPr>
  </w:style>
  <w:style w:type="paragraph" w:styleId="Encabezado">
    <w:name w:val="header"/>
    <w:basedOn w:val="Normal"/>
    <w:link w:val="EncabezadoCar"/>
    <w:uiPriority w:val="99"/>
    <w:unhideWhenUsed/>
    <w:rsid w:val="00B64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062"/>
  </w:style>
  <w:style w:type="paragraph" w:styleId="Piedepgina">
    <w:name w:val="footer"/>
    <w:basedOn w:val="Normal"/>
    <w:link w:val="PiedepginaCar"/>
    <w:uiPriority w:val="99"/>
    <w:unhideWhenUsed/>
    <w:rsid w:val="00B64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062"/>
  </w:style>
  <w:style w:type="paragraph" w:styleId="NormalWeb">
    <w:name w:val="Normal (Web)"/>
    <w:basedOn w:val="Normal"/>
    <w:uiPriority w:val="99"/>
    <w:semiHidden/>
    <w:unhideWhenUsed/>
    <w:rsid w:val="005A68C5"/>
    <w:rPr>
      <w:rFonts w:ascii="Times New Roman" w:hAnsi="Times New Roman" w:cs="Times New Roman"/>
      <w:sz w:val="24"/>
      <w:szCs w:val="24"/>
    </w:rPr>
  </w:style>
  <w:style w:type="character" w:styleId="Hipervnculo">
    <w:name w:val="Hyperlink"/>
    <w:basedOn w:val="Fuentedeprrafopredeter"/>
    <w:uiPriority w:val="99"/>
    <w:unhideWhenUsed/>
    <w:rsid w:val="00691B24"/>
    <w:rPr>
      <w:color w:val="0563C1" w:themeColor="hyperlink"/>
      <w:u w:val="single"/>
    </w:rPr>
  </w:style>
  <w:style w:type="paragraph" w:styleId="HTMLconformatoprevio">
    <w:name w:val="HTML Preformatted"/>
    <w:basedOn w:val="Normal"/>
    <w:link w:val="HTMLconformatoprevioCar"/>
    <w:uiPriority w:val="99"/>
    <w:semiHidden/>
    <w:unhideWhenUsed/>
    <w:rsid w:val="00BC4C1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C4C1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58593">
      <w:bodyDiv w:val="1"/>
      <w:marLeft w:val="0"/>
      <w:marRight w:val="0"/>
      <w:marTop w:val="0"/>
      <w:marBottom w:val="0"/>
      <w:divBdr>
        <w:top w:val="none" w:sz="0" w:space="0" w:color="auto"/>
        <w:left w:val="none" w:sz="0" w:space="0" w:color="auto"/>
        <w:bottom w:val="none" w:sz="0" w:space="0" w:color="auto"/>
        <w:right w:val="none" w:sz="0" w:space="0" w:color="auto"/>
      </w:divBdr>
    </w:div>
    <w:div w:id="870219335">
      <w:bodyDiv w:val="1"/>
      <w:marLeft w:val="0"/>
      <w:marRight w:val="0"/>
      <w:marTop w:val="0"/>
      <w:marBottom w:val="0"/>
      <w:divBdr>
        <w:top w:val="none" w:sz="0" w:space="0" w:color="auto"/>
        <w:left w:val="none" w:sz="0" w:space="0" w:color="auto"/>
        <w:bottom w:val="none" w:sz="0" w:space="0" w:color="auto"/>
        <w:right w:val="none" w:sz="0" w:space="0" w:color="auto"/>
      </w:divBdr>
    </w:div>
    <w:div w:id="938096796">
      <w:bodyDiv w:val="1"/>
      <w:marLeft w:val="0"/>
      <w:marRight w:val="0"/>
      <w:marTop w:val="0"/>
      <w:marBottom w:val="0"/>
      <w:divBdr>
        <w:top w:val="none" w:sz="0" w:space="0" w:color="auto"/>
        <w:left w:val="none" w:sz="0" w:space="0" w:color="auto"/>
        <w:bottom w:val="none" w:sz="0" w:space="0" w:color="auto"/>
        <w:right w:val="none" w:sz="0" w:space="0" w:color="auto"/>
      </w:divBdr>
    </w:div>
    <w:div w:id="1326279181">
      <w:bodyDiv w:val="1"/>
      <w:marLeft w:val="0"/>
      <w:marRight w:val="0"/>
      <w:marTop w:val="0"/>
      <w:marBottom w:val="0"/>
      <w:divBdr>
        <w:top w:val="none" w:sz="0" w:space="0" w:color="auto"/>
        <w:left w:val="none" w:sz="0" w:space="0" w:color="auto"/>
        <w:bottom w:val="none" w:sz="0" w:space="0" w:color="auto"/>
        <w:right w:val="none" w:sz="0" w:space="0" w:color="auto"/>
      </w:divBdr>
    </w:div>
    <w:div w:id="1931037791">
      <w:bodyDiv w:val="1"/>
      <w:marLeft w:val="0"/>
      <w:marRight w:val="0"/>
      <w:marTop w:val="0"/>
      <w:marBottom w:val="0"/>
      <w:divBdr>
        <w:top w:val="none" w:sz="0" w:space="0" w:color="auto"/>
        <w:left w:val="none" w:sz="0" w:space="0" w:color="auto"/>
        <w:bottom w:val="none" w:sz="0" w:space="0" w:color="auto"/>
        <w:right w:val="none" w:sz="0" w:space="0" w:color="auto"/>
      </w:divBdr>
    </w:div>
    <w:div w:id="21192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4840-0890-4382-A3F3-CC7DB0CA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923</Words>
  <Characters>5081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Antonio</dc:creator>
  <cp:lastModifiedBy>Leonardo Lueiza Ureta</cp:lastModifiedBy>
  <cp:revision>9</cp:revision>
  <cp:lastPrinted>2018-04-19T13:27:00Z</cp:lastPrinted>
  <dcterms:created xsi:type="dcterms:W3CDTF">2019-03-05T18:37:00Z</dcterms:created>
  <dcterms:modified xsi:type="dcterms:W3CDTF">2019-03-07T12:16:00Z</dcterms:modified>
</cp:coreProperties>
</file>