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CE" w:rsidRPr="00B943A1" w:rsidRDefault="00BC6DCE" w:rsidP="00A013C5">
      <w:pPr>
        <w:spacing w:after="0" w:line="360" w:lineRule="auto"/>
        <w:ind w:left="2124" w:right="-149" w:firstLine="708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</w:pPr>
      <w:r w:rsidRPr="00B943A1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object w:dxaOrig="115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78pt" o:ole="" fillcolor="window">
            <v:imagedata r:id="rId8" o:title=""/>
          </v:shape>
          <o:OLEObject Type="Embed" ProgID="MSDraw" ShapeID="_x0000_i1025" DrawAspect="Content" ObjectID="_1616335124" r:id="rId9">
            <o:FieldCodes>\* MERGEFORMAT</o:FieldCodes>
          </o:OLEObject>
        </w:object>
      </w:r>
      <w:r w:rsidRPr="00B943A1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           </w:t>
      </w:r>
    </w:p>
    <w:p w:rsidR="00BC6DCE" w:rsidRPr="00B943A1" w:rsidRDefault="00BC6DCE" w:rsidP="00BC6DCE">
      <w:pPr>
        <w:spacing w:after="0" w:line="360" w:lineRule="auto"/>
        <w:jc w:val="both"/>
        <w:outlineLvl w:val="0"/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</w:pPr>
      <w:r w:rsidRPr="00B943A1"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  <w:t xml:space="preserve">                            </w:t>
      </w:r>
      <w:r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  <w:tab/>
      </w:r>
      <w:r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  <w:tab/>
      </w:r>
      <w:r w:rsidRPr="00B943A1"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  <w:t xml:space="preserve"> Cámara de Diputados</w:t>
      </w:r>
    </w:p>
    <w:p w:rsidR="00BC6DCE" w:rsidRPr="00A013C5" w:rsidRDefault="00BC6DCE" w:rsidP="00BC6DCE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val="es-ES" w:eastAsia="es-ES" w:bidi="he-IL"/>
        </w:rPr>
      </w:pPr>
    </w:p>
    <w:p w:rsidR="00BC6DCE" w:rsidRDefault="00240D9E" w:rsidP="00BC6DCE">
      <w:pPr>
        <w:pStyle w:val="Ttulo1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rFonts w:ascii="Palatino Linotype" w:hAnsi="Palatino Linotype"/>
          <w:sz w:val="24"/>
          <w:szCs w:val="24"/>
          <w:lang w:eastAsia="es-ES" w:bidi="he-IL"/>
        </w:rPr>
      </w:pPr>
      <w:r w:rsidRPr="00240D9E">
        <w:rPr>
          <w:rFonts w:ascii="Palatino Linotype" w:hAnsi="Palatino Linotype"/>
          <w:sz w:val="24"/>
          <w:szCs w:val="24"/>
          <w:lang w:eastAsia="es-ES" w:bidi="he-IL"/>
        </w:rPr>
        <w:t>Modifica la Carta Fundamental, para incorporar la educación mixta universal, en el ámbito de la educación básica y media obligatoria garantizada por la Constitución</w:t>
      </w:r>
    </w:p>
    <w:p w:rsidR="00240D9E" w:rsidRDefault="00240D9E" w:rsidP="00240D9E">
      <w:pPr>
        <w:pStyle w:val="Ttulo1"/>
        <w:shd w:val="clear" w:color="auto" w:fill="FFFFFF"/>
        <w:spacing w:before="150" w:beforeAutospacing="0" w:after="150" w:afterAutospacing="0" w:line="360" w:lineRule="auto"/>
        <w:ind w:left="150"/>
        <w:jc w:val="center"/>
        <w:rPr>
          <w:rFonts w:ascii="Palatino Linotype" w:hAnsi="Palatino Linotype"/>
          <w:sz w:val="24"/>
          <w:szCs w:val="24"/>
          <w:lang w:eastAsia="es-ES" w:bidi="he-IL"/>
        </w:rPr>
      </w:pPr>
      <w:r>
        <w:rPr>
          <w:rFonts w:ascii="Palatino Linotype" w:hAnsi="Palatino Linotype"/>
          <w:sz w:val="24"/>
          <w:szCs w:val="24"/>
          <w:lang w:eastAsia="es-ES" w:bidi="he-IL"/>
        </w:rPr>
        <w:t>Boletín N° 12528-07</w:t>
      </w:r>
    </w:p>
    <w:p w:rsidR="00240D9E" w:rsidRPr="00240D9E" w:rsidRDefault="00240D9E" w:rsidP="00BC6DCE">
      <w:pPr>
        <w:pStyle w:val="Ttulo1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rFonts w:ascii="Palatino Linotype" w:hAnsi="Palatino Linotype"/>
          <w:sz w:val="24"/>
          <w:szCs w:val="24"/>
        </w:rPr>
      </w:pPr>
    </w:p>
    <w:p w:rsidR="00BC6DCE" w:rsidRPr="008B2988" w:rsidRDefault="00BC6DCE" w:rsidP="00BC6DCE">
      <w:pPr>
        <w:numPr>
          <w:ilvl w:val="0"/>
          <w:numId w:val="1"/>
        </w:numPr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 w:rsidRPr="00B943A1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  <w:t>FUNDAMENTO.</w:t>
      </w:r>
    </w:p>
    <w:p w:rsidR="00BC6DCE" w:rsidRPr="000A3CA8" w:rsidRDefault="00BC6DCE" w:rsidP="00BC6DCE">
      <w:pPr>
        <w:spacing w:after="0" w:line="360" w:lineRule="auto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</w:p>
    <w:p w:rsidR="00BC6DCE" w:rsidRDefault="00BC6DCE" w:rsidP="00A013C5">
      <w:pPr>
        <w:pStyle w:val="Prrafodelista"/>
        <w:numPr>
          <w:ilvl w:val="0"/>
          <w:numId w:val="4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Que de acuerdo a las cifras dadas por el Banco Mundial, las mujeres representan el 50 porciento de la población, mientras que en Chile representan el 50,5 porciento</w:t>
      </w:r>
      <w:r>
        <w:rPr>
          <w:rStyle w:val="Refdenotaalpie"/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footnoteReference w:id="1"/>
      </w: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, no obstante lo anterior, las mujeres y niñas siguen siendo objeto de discriminación en distintos ámbitos.</w:t>
      </w:r>
    </w:p>
    <w:p w:rsidR="00BC6DCE" w:rsidRPr="00A81A61" w:rsidRDefault="00BC6DCE" w:rsidP="00A013C5">
      <w:pPr>
        <w:pStyle w:val="Prrafodelista"/>
        <w:numPr>
          <w:ilvl w:val="0"/>
          <w:numId w:val="4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 w:rsidRPr="00A81A61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Que una de las metas establecidas por ONU Mujeres, es lograr el empoderamiento de las mujeres y niñas</w:t>
      </w:r>
      <w:r w:rsidRPr="00A81A61">
        <w:rPr>
          <w:rFonts w:ascii="Palatino Linotype" w:hAnsi="Palatino Linotype"/>
          <w:sz w:val="24"/>
          <w:szCs w:val="24"/>
          <w:lang w:val="es-ES" w:eastAsia="es-ES" w:bidi="he-IL"/>
        </w:rPr>
        <w:t xml:space="preserve"> entendido</w:t>
      </w:r>
      <w:r w:rsidRPr="00A81A61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</w:t>
      </w:r>
      <w:r>
        <w:rPr>
          <w:rFonts w:ascii="Palatino Linotype" w:hAnsi="Palatino Linotype"/>
          <w:sz w:val="24"/>
          <w:szCs w:val="24"/>
          <w:lang w:val="es-ES" w:eastAsia="es-ES" w:bidi="he-IL"/>
        </w:rPr>
        <w:t>como</w:t>
      </w:r>
      <w:r w:rsidRPr="00A81A61">
        <w:rPr>
          <w:rFonts w:ascii="Palatino Linotype" w:hAnsi="Palatino Linotype"/>
          <w:sz w:val="24"/>
          <w:szCs w:val="24"/>
          <w:lang w:val="es-ES" w:eastAsia="es-ES" w:bidi="he-IL"/>
        </w:rPr>
        <w:t xml:space="preserve"> </w:t>
      </w:r>
      <w:r>
        <w:rPr>
          <w:rFonts w:ascii="Palatino Linotype" w:hAnsi="Palatino Linotype"/>
          <w:sz w:val="24"/>
          <w:szCs w:val="24"/>
          <w:lang w:val="es-ES" w:eastAsia="es-ES" w:bidi="he-IL"/>
        </w:rPr>
        <w:t>“</w:t>
      </w:r>
      <w:r>
        <w:rPr>
          <w:rFonts w:ascii="Palatino Linotype" w:hAnsi="Palatino Linotype" w:cs="Calibri"/>
          <w:sz w:val="24"/>
          <w:szCs w:val="24"/>
        </w:rPr>
        <w:t>l</w:t>
      </w:r>
      <w:r w:rsidRPr="00A81A61">
        <w:rPr>
          <w:rFonts w:ascii="Palatino Linotype" w:hAnsi="Palatino Linotype" w:cs="Calibri"/>
          <w:sz w:val="24"/>
          <w:szCs w:val="24"/>
        </w:rPr>
        <w:t>a concienciación, el desarrollo de su autoestima,</w:t>
      </w:r>
      <w:r>
        <w:rPr>
          <w:rFonts w:ascii="Palatino Linotype" w:hAnsi="Palatino Linotype" w:cs="Calibri"/>
          <w:sz w:val="24"/>
          <w:szCs w:val="24"/>
        </w:rPr>
        <w:t xml:space="preserve"> la ampliación de</w:t>
      </w:r>
      <w:r w:rsidRPr="00A81A61">
        <w:rPr>
          <w:rFonts w:ascii="Palatino Linotype" w:hAnsi="Palatino Linotype" w:cs="Calibri"/>
          <w:sz w:val="24"/>
          <w:szCs w:val="24"/>
        </w:rPr>
        <w:t xml:space="preserve"> sus opciones, más acceso y control de los recursos, y acciones para transformar las estructuras e instituciones que refuerzan y perpetúan la discriminación y la desigualdad de género. Esto implica que</w:t>
      </w:r>
      <w:r>
        <w:rPr>
          <w:rFonts w:ascii="Palatino Linotype" w:hAnsi="Palatino Linotype" w:cs="Calibri"/>
          <w:sz w:val="24"/>
          <w:szCs w:val="24"/>
        </w:rPr>
        <w:t>,</w:t>
      </w:r>
      <w:r w:rsidRPr="00A81A61">
        <w:rPr>
          <w:rFonts w:ascii="Palatino Linotype" w:hAnsi="Palatino Linotype" w:cs="Calibri"/>
          <w:sz w:val="24"/>
          <w:szCs w:val="24"/>
        </w:rPr>
        <w:t xml:space="preserve"> para estar empoderadas, las mujeres y niñas deben tener las mismas capacidades, tales como educación y salud (…), </w:t>
      </w:r>
      <w:r w:rsidRPr="00A81A61">
        <w:rPr>
          <w:rFonts w:ascii="Palatino Linotype" w:hAnsi="Palatino Linotype" w:cs="Calibri"/>
          <w:sz w:val="24"/>
          <w:szCs w:val="24"/>
        </w:rPr>
        <w:lastRenderedPageBreak/>
        <w:t>pero también deben poder usar esos derechos, capacidades, recursos y oportunidades para optar y tomar decisiones estratégicas.</w:t>
      </w:r>
      <w:r>
        <w:rPr>
          <w:rFonts w:ascii="Palatino Linotype" w:hAnsi="Palatino Linotype" w:cs="Calibri"/>
          <w:sz w:val="24"/>
          <w:szCs w:val="24"/>
        </w:rPr>
        <w:t>”</w:t>
      </w:r>
      <w:r w:rsidRPr="00A81A61">
        <w:rPr>
          <w:rStyle w:val="Refdenotaalpie"/>
          <w:rFonts w:ascii="Calibri" w:hAnsi="Calibri" w:cs="Calibri"/>
          <w:i/>
          <w:iCs/>
        </w:rPr>
        <w:footnoteReference w:id="2"/>
      </w:r>
    </w:p>
    <w:p w:rsidR="00BC6DCE" w:rsidRDefault="00BC6DCE" w:rsidP="00A013C5">
      <w:pPr>
        <w:pStyle w:val="Prrafodelista"/>
        <w:numPr>
          <w:ilvl w:val="0"/>
          <w:numId w:val="4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Para lograr lo anterior, los Estados son los principales llamados a crear las condiciones materiales y espirituales para lograr el empoderamiento de las mujeres y niñas con miras a lograr la igualdad de género, siendo la educación una </w:t>
      </w:r>
      <w:r w:rsidR="00035207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herramienta clave para lograrlo, de acuerdo a los Objetivos del Desarrollo Sostenible 2030.</w:t>
      </w:r>
      <w:r w:rsidR="00035207">
        <w:rPr>
          <w:rStyle w:val="Refdenotaalpie"/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footnoteReference w:id="3"/>
      </w:r>
    </w:p>
    <w:p w:rsidR="00BC6DCE" w:rsidRPr="00A10610" w:rsidRDefault="00BC6DCE" w:rsidP="00A013C5">
      <w:pPr>
        <w:pStyle w:val="Prrafodelista"/>
        <w:numPr>
          <w:ilvl w:val="0"/>
          <w:numId w:val="4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  <w:r w:rsidRPr="00035207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Para ello, el Estado debe crear las condiciones que permitan lograrla, </w:t>
      </w:r>
      <w:r w:rsidR="00035207" w:rsidRPr="00035207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entendiendo que ello se logrará estableciendo</w:t>
      </w:r>
      <w:r w:rsidRPr="00035207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la obligatoriedad de que los colegios se compongan de hombres y mujeres, lo cual no es más que el reflejo de la sociedad en que permanentemente convivimos unos y otras, lo cual permite entender desde la primera infancia el respeto y la convivencia entre ambos géneros</w:t>
      </w:r>
      <w:r w:rsidR="00035207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.</w:t>
      </w:r>
    </w:p>
    <w:p w:rsidR="00A10610" w:rsidRDefault="00A10610" w:rsidP="00A10610">
      <w:pPr>
        <w:pStyle w:val="Prrafodelista"/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</w:p>
    <w:p w:rsidR="00A013C5" w:rsidRPr="00035207" w:rsidRDefault="00A013C5" w:rsidP="00A10610">
      <w:pPr>
        <w:pStyle w:val="Prrafodelista"/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</w:p>
    <w:p w:rsidR="00BC6DCE" w:rsidRDefault="00BC6DCE" w:rsidP="00BC6DC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  <w:t>IDEA MATRIZ.</w:t>
      </w:r>
    </w:p>
    <w:p w:rsidR="00BC6DCE" w:rsidRPr="00B943A1" w:rsidRDefault="00BC6DCE" w:rsidP="00BC6DCE">
      <w:pPr>
        <w:pStyle w:val="Prrafodelista"/>
        <w:spacing w:after="0" w:line="360" w:lineRule="auto"/>
        <w:ind w:left="1080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</w:p>
    <w:p w:rsidR="00BC6DCE" w:rsidRDefault="00BC6DCE" w:rsidP="00A013C5">
      <w:pPr>
        <w:pStyle w:val="Prrafodelista"/>
        <w:numPr>
          <w:ilvl w:val="0"/>
          <w:numId w:val="3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  <w:t>El presente proyecto de ley busca</w:t>
      </w:r>
      <w:r w:rsidR="003414E2"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  <w:t xml:space="preserve"> </w:t>
      </w:r>
      <w:r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  <w:t xml:space="preserve">establecer a nivel constitucional, dentro del derecho a la educación, el compromiso del Estado de Chile a propender a la totalidad de establecimientos mixtos, es decir, compuesto por hombres y mujeres, como una política pública establecida a nivel constitucional, buscando con ello la consagración de un modelo que refleje de la mejor manera los valores que inspiran una sociedad moderna, donde la convivencia entre hombres y mujeres es un hecho de carácter fundamental para el desarrollo de una sociedad libre, justa y </w:t>
      </w:r>
      <w:r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  <w:lastRenderedPageBreak/>
        <w:t>entre iguales, debiendo el Estado comprometerse a crear las estructuras necesarias para lograrlo, de</w:t>
      </w:r>
      <w:r w:rsidR="00035207"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  <w:t>sde el inicio de la educación de nuestros niños y niñas, hasta la secundaria.</w:t>
      </w:r>
    </w:p>
    <w:p w:rsidR="00035207" w:rsidRPr="00035207" w:rsidRDefault="00035207" w:rsidP="00035207">
      <w:pPr>
        <w:spacing w:after="0" w:line="360" w:lineRule="auto"/>
        <w:ind w:left="660"/>
        <w:jc w:val="both"/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</w:pPr>
    </w:p>
    <w:p w:rsidR="00BC6DCE" w:rsidRPr="00B943A1" w:rsidRDefault="00BC6DCE" w:rsidP="00BC6DCE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</w:pPr>
    </w:p>
    <w:p w:rsidR="00BC6DCE" w:rsidRDefault="00BC6DCE" w:rsidP="00A10610">
      <w:pPr>
        <w:spacing w:after="0" w:line="360" w:lineRule="auto"/>
        <w:ind w:left="2124" w:firstLine="708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</w:pPr>
      <w:r w:rsidRPr="00B943A1"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  <w:t>PROYECTO DE LEY:</w:t>
      </w:r>
    </w:p>
    <w:p w:rsidR="00A10610" w:rsidRPr="00A10610" w:rsidRDefault="00A10610" w:rsidP="00A10610">
      <w:pPr>
        <w:spacing w:after="0" w:line="360" w:lineRule="auto"/>
        <w:ind w:left="2124" w:firstLine="708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</w:pPr>
    </w:p>
    <w:p w:rsidR="00BC6DCE" w:rsidRPr="00A013C5" w:rsidRDefault="003414E2" w:rsidP="00BC6DCE">
      <w:pPr>
        <w:spacing w:line="360" w:lineRule="auto"/>
        <w:rPr>
          <w:rFonts w:ascii="Palatino Linotype" w:eastAsia="Times New Roman" w:hAnsi="Palatino Linotype" w:cs="Times New Roman"/>
          <w:sz w:val="24"/>
          <w:szCs w:val="24"/>
          <w:lang w:val="es-ES" w:eastAsia="es-CL"/>
        </w:rPr>
      </w:pPr>
      <w:r>
        <w:rPr>
          <w:rFonts w:ascii="Palatino Linotype" w:hAnsi="Palatino Linotype" w:cs="Times New Roman"/>
          <w:b/>
          <w:sz w:val="24"/>
          <w:szCs w:val="24"/>
          <w:lang w:val="es-CL"/>
        </w:rPr>
        <w:t>Artículo Primero</w:t>
      </w:r>
      <w:r w:rsidR="00BC6DCE" w:rsidRPr="00B943A1">
        <w:rPr>
          <w:rFonts w:ascii="Palatino Linotype" w:hAnsi="Palatino Linotype" w:cs="Times New Roman"/>
          <w:b/>
          <w:sz w:val="24"/>
          <w:szCs w:val="24"/>
          <w:lang w:val="es-CL"/>
        </w:rPr>
        <w:t>:</w:t>
      </w:r>
      <w:r w:rsidR="00BC6DCE" w:rsidRPr="00B943A1">
        <w:rPr>
          <w:rFonts w:ascii="Palatino Linotype" w:hAnsi="Palatino Linotype" w:cs="Times New Roman"/>
          <w:sz w:val="24"/>
          <w:szCs w:val="24"/>
          <w:lang w:val="es-CL"/>
        </w:rPr>
        <w:t xml:space="preserve"> agréguese en el inciso 4 del número 10 del artículo 19 de </w:t>
      </w:r>
      <w:r w:rsidR="00BC6DCE" w:rsidRPr="00A013C5">
        <w:rPr>
          <w:rFonts w:ascii="Palatino Linotype" w:eastAsia="monospace" w:hAnsi="Palatino Linotype" w:cs="Times New Roman"/>
          <w:sz w:val="24"/>
          <w:szCs w:val="24"/>
          <w:shd w:val="clear" w:color="auto" w:fill="FFFFFF"/>
          <w:lang w:val="es-ES"/>
        </w:rPr>
        <w:t xml:space="preserve">la Constitución Política, después de la frase “con tal objeto”, la siguiente oración </w:t>
      </w:r>
      <w:r w:rsidR="00BC6DCE" w:rsidRPr="00A013C5">
        <w:rPr>
          <w:rFonts w:ascii="Palatino Linotype" w:eastAsia="Times New Roman" w:hAnsi="Palatino Linotype" w:cs="Times New Roman"/>
          <w:i/>
          <w:sz w:val="24"/>
          <w:szCs w:val="24"/>
          <w:lang w:val="es-ES" w:eastAsia="es-CL"/>
        </w:rPr>
        <w:t>“y mixto en su conformación, es decir, de hombres y mujeres,”.</w:t>
      </w:r>
      <w:r w:rsidR="00BC6DCE" w:rsidRPr="00A013C5">
        <w:rPr>
          <w:rFonts w:ascii="Palatino Linotype" w:eastAsia="Times New Roman" w:hAnsi="Palatino Linotype" w:cs="Times New Roman"/>
          <w:sz w:val="24"/>
          <w:szCs w:val="24"/>
          <w:lang w:val="es-ES" w:eastAsia="es-CL"/>
        </w:rPr>
        <w:t xml:space="preserve"> </w:t>
      </w:r>
    </w:p>
    <w:p w:rsidR="00BC6DCE" w:rsidRPr="00B943A1" w:rsidRDefault="00BC6DCE" w:rsidP="00BC6DCE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hAnsi="Palatino Linotype" w:hint="default"/>
          <w:b/>
          <w:iCs/>
          <w:lang w:val="es-CL"/>
        </w:rPr>
      </w:pPr>
      <w:bookmarkStart w:id="0" w:name="_GoBack"/>
      <w:bookmarkEnd w:id="0"/>
      <w:r w:rsidRPr="00B943A1">
        <w:rPr>
          <w:rFonts w:ascii="Palatino Linotype" w:hAnsi="Palatino Linotype" w:hint="default"/>
          <w:b/>
          <w:i/>
          <w:iCs/>
          <w:lang w:val="es-CL"/>
        </w:rPr>
        <w:tab/>
      </w:r>
      <w:r w:rsidRPr="00B943A1">
        <w:rPr>
          <w:rFonts w:ascii="Palatino Linotype" w:hAnsi="Palatino Linotype" w:hint="default"/>
          <w:b/>
          <w:i/>
          <w:iCs/>
          <w:lang w:val="es-CL"/>
        </w:rPr>
        <w:tab/>
      </w:r>
      <w:r w:rsidRPr="00B943A1">
        <w:rPr>
          <w:rFonts w:ascii="Palatino Linotype" w:hAnsi="Palatino Linotype" w:hint="default"/>
          <w:b/>
          <w:i/>
          <w:iCs/>
          <w:lang w:val="es-CL"/>
        </w:rPr>
        <w:tab/>
        <w:t xml:space="preserve">  </w:t>
      </w:r>
      <w:r w:rsidRPr="00B943A1">
        <w:rPr>
          <w:rFonts w:ascii="Palatino Linotype" w:hAnsi="Palatino Linotype" w:hint="default"/>
          <w:b/>
          <w:iCs/>
          <w:lang w:val="es-CL"/>
        </w:rPr>
        <w:t>Jaime Naranjo Ortiz.</w:t>
      </w:r>
    </w:p>
    <w:p w:rsidR="00BC6DCE" w:rsidRPr="00B943A1" w:rsidRDefault="00BC6DCE" w:rsidP="00BC6DCE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hAnsi="Palatino Linotype" w:hint="default"/>
          <w:b/>
          <w:iCs/>
          <w:lang w:val="es-CL"/>
        </w:rPr>
      </w:pPr>
      <w:r w:rsidRPr="00B943A1">
        <w:rPr>
          <w:rFonts w:ascii="Palatino Linotype" w:hAnsi="Palatino Linotype" w:hint="default"/>
          <w:b/>
          <w:iCs/>
          <w:lang w:val="es-CL"/>
        </w:rPr>
        <w:tab/>
      </w:r>
      <w:r w:rsidRPr="00B943A1">
        <w:rPr>
          <w:rFonts w:ascii="Palatino Linotype" w:hAnsi="Palatino Linotype" w:hint="default"/>
          <w:b/>
          <w:iCs/>
          <w:lang w:val="es-CL"/>
        </w:rPr>
        <w:tab/>
      </w:r>
      <w:r w:rsidRPr="00B943A1">
        <w:rPr>
          <w:rFonts w:ascii="Palatino Linotype" w:hAnsi="Palatino Linotype" w:hint="default"/>
          <w:b/>
          <w:iCs/>
          <w:lang w:val="es-CL"/>
        </w:rPr>
        <w:tab/>
      </w:r>
      <w:r w:rsidRPr="00B943A1">
        <w:rPr>
          <w:rFonts w:ascii="Palatino Linotype" w:hAnsi="Palatino Linotype" w:hint="default"/>
          <w:b/>
          <w:iCs/>
          <w:lang w:val="es-CL"/>
        </w:rPr>
        <w:tab/>
        <w:t xml:space="preserve">Diputado </w:t>
      </w:r>
    </w:p>
    <w:p w:rsidR="00BC6DCE" w:rsidRPr="00B943A1" w:rsidRDefault="00BC6DCE" w:rsidP="00BC6DCE">
      <w:pPr>
        <w:spacing w:line="360" w:lineRule="auto"/>
        <w:rPr>
          <w:rFonts w:ascii="Palatino Linotype" w:hAnsi="Palatino Linotype" w:cs="Times New Roman"/>
          <w:sz w:val="24"/>
          <w:szCs w:val="24"/>
        </w:rPr>
      </w:pPr>
    </w:p>
    <w:p w:rsidR="008007AF" w:rsidRDefault="008007AF"/>
    <w:sectPr w:rsidR="008007AF" w:rsidSect="00D00ABE">
      <w:footerReference w:type="default" r:id="rId10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EC" w:rsidRDefault="006A08EC" w:rsidP="00BC6DCE">
      <w:pPr>
        <w:spacing w:after="0" w:line="240" w:lineRule="auto"/>
      </w:pPr>
      <w:r>
        <w:separator/>
      </w:r>
    </w:p>
  </w:endnote>
  <w:endnote w:type="continuationSeparator" w:id="0">
    <w:p w:rsidR="006A08EC" w:rsidRDefault="006A08EC" w:rsidP="00BC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0945"/>
      <w:docPartObj>
        <w:docPartGallery w:val="Page Numbers (Bottom of Page)"/>
        <w:docPartUnique/>
      </w:docPartObj>
    </w:sdtPr>
    <w:sdtContent>
      <w:p w:rsidR="00E0681C" w:rsidRDefault="005F628E">
        <w:pPr>
          <w:pStyle w:val="Piedepgina"/>
          <w:jc w:val="center"/>
        </w:pPr>
        <w:r>
          <w:fldChar w:fldCharType="begin"/>
        </w:r>
        <w:r w:rsidR="00864E2C">
          <w:instrText>PAGE   \* MERGEFORMAT</w:instrText>
        </w:r>
        <w:r>
          <w:fldChar w:fldCharType="separate"/>
        </w:r>
        <w:r w:rsidR="00240D9E" w:rsidRPr="00240D9E">
          <w:rPr>
            <w:noProof/>
            <w:lang w:val="es-ES"/>
          </w:rPr>
          <w:t>3</w:t>
        </w:r>
        <w:r>
          <w:fldChar w:fldCharType="end"/>
        </w:r>
      </w:p>
    </w:sdtContent>
  </w:sdt>
  <w:p w:rsidR="00E0681C" w:rsidRDefault="006A08E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EC" w:rsidRDefault="006A08EC" w:rsidP="00BC6DCE">
      <w:pPr>
        <w:spacing w:after="0" w:line="240" w:lineRule="auto"/>
      </w:pPr>
      <w:r>
        <w:separator/>
      </w:r>
    </w:p>
  </w:footnote>
  <w:footnote w:type="continuationSeparator" w:id="0">
    <w:p w:rsidR="006A08EC" w:rsidRDefault="006A08EC" w:rsidP="00BC6DCE">
      <w:pPr>
        <w:spacing w:after="0" w:line="240" w:lineRule="auto"/>
      </w:pPr>
      <w:r>
        <w:continuationSeparator/>
      </w:r>
    </w:p>
  </w:footnote>
  <w:footnote w:id="1">
    <w:p w:rsidR="00BC6DCE" w:rsidRPr="00A81A61" w:rsidRDefault="00BC6DCE" w:rsidP="00BC6DC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912DA5">
          <w:rPr>
            <w:rStyle w:val="Hipervnculo"/>
          </w:rPr>
          <w:t>https://datos.bancomundial.org/indicator/SP.POP.TOTL.FE.ZS?end=2017&amp;start=1960&amp;view=chart</w:t>
        </w:r>
      </w:hyperlink>
      <w:r>
        <w:t xml:space="preserve"> </w:t>
      </w:r>
    </w:p>
  </w:footnote>
  <w:footnote w:id="2">
    <w:p w:rsidR="00BC6DCE" w:rsidRPr="00361156" w:rsidRDefault="00BC6DCE" w:rsidP="00BC6DCE">
      <w:pPr>
        <w:pStyle w:val="Textonotapie"/>
        <w:rPr>
          <w:lang w:val="es-CL"/>
        </w:rPr>
      </w:pPr>
      <w:r>
        <w:rPr>
          <w:rStyle w:val="Refdenotaalpie"/>
        </w:rPr>
        <w:footnoteRef/>
      </w:r>
      <w:hyperlink r:id="rId2" w:history="1">
        <w:r w:rsidRPr="00A013C5">
          <w:rPr>
            <w:rStyle w:val="Hipervnculo"/>
            <w:lang w:val="es-CL"/>
          </w:rPr>
          <w:t>https://trainingcentre.unwomen.org/mod/glossary/view.php?id=150&amp;mode=letter&amp;hook=E&amp;sortkey=&amp;sortorder=asc</w:t>
        </w:r>
      </w:hyperlink>
      <w:r w:rsidRPr="00A013C5">
        <w:rPr>
          <w:lang w:val="es-CL"/>
        </w:rPr>
        <w:t xml:space="preserve"> </w:t>
      </w:r>
    </w:p>
  </w:footnote>
  <w:footnote w:id="3">
    <w:p w:rsidR="00035207" w:rsidRPr="00035207" w:rsidRDefault="00035207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A013C5">
        <w:rPr>
          <w:lang w:val="es-CL"/>
        </w:rPr>
        <w:t xml:space="preserve"> </w:t>
      </w:r>
      <w:r w:rsidR="005F628E">
        <w:fldChar w:fldCharType="begin"/>
      </w:r>
      <w:r w:rsidR="005F628E" w:rsidRPr="00240D9E">
        <w:rPr>
          <w:lang w:val="es-CL"/>
        </w:rPr>
        <w:instrText>HYPERLINK "https://www.un.org/sustainabledevelopment/es/gender-equality/"</w:instrText>
      </w:r>
      <w:r w:rsidR="005F628E">
        <w:fldChar w:fldCharType="separate"/>
      </w:r>
      <w:r w:rsidRPr="00A013C5">
        <w:rPr>
          <w:rStyle w:val="Hipervnculo"/>
          <w:lang w:val="es-CL"/>
        </w:rPr>
        <w:t>https://www.un.org/sustainabledevelopment/es/gender-equality/</w:t>
      </w:r>
      <w:r w:rsidR="005F628E">
        <w:fldChar w:fldCharType="end"/>
      </w:r>
      <w:r w:rsidRPr="00A013C5">
        <w:rPr>
          <w:lang w:val="es-CL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B28"/>
    <w:multiLevelType w:val="hybridMultilevel"/>
    <w:tmpl w:val="AA82E85E"/>
    <w:lvl w:ilvl="0" w:tplc="340A0017">
      <w:start w:val="1"/>
      <w:numFmt w:val="lowerLetter"/>
      <w:lvlText w:val="%1)"/>
      <w:lvlJc w:val="left"/>
      <w:pPr>
        <w:ind w:left="870" w:hanging="360"/>
      </w:pPr>
    </w:lvl>
    <w:lvl w:ilvl="1" w:tplc="340A0019" w:tentative="1">
      <w:start w:val="1"/>
      <w:numFmt w:val="lowerLetter"/>
      <w:lvlText w:val="%2."/>
      <w:lvlJc w:val="left"/>
      <w:pPr>
        <w:ind w:left="1590" w:hanging="360"/>
      </w:pPr>
    </w:lvl>
    <w:lvl w:ilvl="2" w:tplc="340A001B" w:tentative="1">
      <w:start w:val="1"/>
      <w:numFmt w:val="lowerRoman"/>
      <w:lvlText w:val="%3."/>
      <w:lvlJc w:val="right"/>
      <w:pPr>
        <w:ind w:left="2310" w:hanging="180"/>
      </w:pPr>
    </w:lvl>
    <w:lvl w:ilvl="3" w:tplc="340A000F" w:tentative="1">
      <w:start w:val="1"/>
      <w:numFmt w:val="decimal"/>
      <w:lvlText w:val="%4."/>
      <w:lvlJc w:val="left"/>
      <w:pPr>
        <w:ind w:left="3030" w:hanging="360"/>
      </w:pPr>
    </w:lvl>
    <w:lvl w:ilvl="4" w:tplc="340A0019" w:tentative="1">
      <w:start w:val="1"/>
      <w:numFmt w:val="lowerLetter"/>
      <w:lvlText w:val="%5."/>
      <w:lvlJc w:val="left"/>
      <w:pPr>
        <w:ind w:left="3750" w:hanging="360"/>
      </w:pPr>
    </w:lvl>
    <w:lvl w:ilvl="5" w:tplc="340A001B" w:tentative="1">
      <w:start w:val="1"/>
      <w:numFmt w:val="lowerRoman"/>
      <w:lvlText w:val="%6."/>
      <w:lvlJc w:val="right"/>
      <w:pPr>
        <w:ind w:left="4470" w:hanging="180"/>
      </w:pPr>
    </w:lvl>
    <w:lvl w:ilvl="6" w:tplc="340A000F" w:tentative="1">
      <w:start w:val="1"/>
      <w:numFmt w:val="decimal"/>
      <w:lvlText w:val="%7."/>
      <w:lvlJc w:val="left"/>
      <w:pPr>
        <w:ind w:left="5190" w:hanging="360"/>
      </w:pPr>
    </w:lvl>
    <w:lvl w:ilvl="7" w:tplc="340A0019" w:tentative="1">
      <w:start w:val="1"/>
      <w:numFmt w:val="lowerLetter"/>
      <w:lvlText w:val="%8."/>
      <w:lvlJc w:val="left"/>
      <w:pPr>
        <w:ind w:left="5910" w:hanging="360"/>
      </w:pPr>
    </w:lvl>
    <w:lvl w:ilvl="8" w:tplc="34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0661905"/>
    <w:multiLevelType w:val="hybridMultilevel"/>
    <w:tmpl w:val="FDB0023A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340A0019" w:tentative="1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22E64AB"/>
    <w:multiLevelType w:val="hybridMultilevel"/>
    <w:tmpl w:val="57280C0C"/>
    <w:lvl w:ilvl="0" w:tplc="F7D0AE4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1E93"/>
    <w:multiLevelType w:val="hybridMultilevel"/>
    <w:tmpl w:val="240A07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CE"/>
    <w:rsid w:val="00035207"/>
    <w:rsid w:val="00240D9E"/>
    <w:rsid w:val="003414E2"/>
    <w:rsid w:val="005F628E"/>
    <w:rsid w:val="006A08EC"/>
    <w:rsid w:val="00714FAC"/>
    <w:rsid w:val="008007AF"/>
    <w:rsid w:val="00864E2C"/>
    <w:rsid w:val="00864ED3"/>
    <w:rsid w:val="0094408D"/>
    <w:rsid w:val="00A013C5"/>
    <w:rsid w:val="00A10610"/>
    <w:rsid w:val="00A14F4B"/>
    <w:rsid w:val="00B51FFE"/>
    <w:rsid w:val="00B800B9"/>
    <w:rsid w:val="00BC6DCE"/>
    <w:rsid w:val="00E31FE5"/>
    <w:rsid w:val="00E8264C"/>
    <w:rsid w:val="00E968FA"/>
    <w:rsid w:val="00FB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CE"/>
    <w:rPr>
      <w:rFonts w:eastAsiaTheme="minorEastAsia"/>
      <w:sz w:val="20"/>
      <w:szCs w:val="20"/>
      <w:lang w:val="en-US" w:eastAsia="zh-CN"/>
    </w:rPr>
  </w:style>
  <w:style w:type="paragraph" w:styleId="Ttulo1">
    <w:name w:val="heading 1"/>
    <w:basedOn w:val="Normal"/>
    <w:link w:val="Ttulo1Car"/>
    <w:uiPriority w:val="9"/>
    <w:qFormat/>
    <w:rsid w:val="00BC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6DC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HTMLconformatoprevio">
    <w:name w:val="HTML Preformatted"/>
    <w:link w:val="HTMLconformatoprevioCar"/>
    <w:uiPriority w:val="99"/>
    <w:rsid w:val="00BC6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C6DCE"/>
    <w:rPr>
      <w:rFonts w:ascii="SimSun" w:eastAsia="SimSun" w:hAnsi="SimSun" w:cs="Times New Roman"/>
      <w:sz w:val="24"/>
      <w:szCs w:val="24"/>
      <w:lang w:val="en-US" w:eastAsia="zh-CN"/>
    </w:rPr>
  </w:style>
  <w:style w:type="character" w:styleId="Hipervnculo">
    <w:name w:val="Hyperlink"/>
    <w:basedOn w:val="Fuentedeprrafopredeter"/>
    <w:qFormat/>
    <w:rsid w:val="00BC6D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C6DC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rsid w:val="00BC6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DCE"/>
    <w:rPr>
      <w:rFonts w:eastAsiaTheme="minorEastAsia"/>
      <w:sz w:val="20"/>
      <w:szCs w:val="20"/>
      <w:lang w:val="en-US"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6DCE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6DCE"/>
    <w:rPr>
      <w:rFonts w:eastAsiaTheme="minorEastAsia"/>
      <w:sz w:val="20"/>
      <w:szCs w:val="20"/>
      <w:lang w:val="en-US"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BC6DC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610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rainingcentre.unwomen.org/mod/glossary/view.php?id=150&amp;mode=letter&amp;hook=E&amp;sortkey=&amp;sortorder=asc" TargetMode="External"/><Relationship Id="rId1" Type="http://schemas.openxmlformats.org/officeDocument/2006/relationships/hyperlink" Target="https://datos.bancomundial.org/indicator/SP.POP.TOTL.FE.ZS?end=2017&amp;start=1960&amp;view=char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CC1C-A75D-47FF-9881-5BBF0307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Naranjo</dc:creator>
  <cp:keywords/>
  <dc:description/>
  <cp:lastModifiedBy>Guillermo Diaz Vallejos</cp:lastModifiedBy>
  <cp:revision>10</cp:revision>
  <cp:lastPrinted>2019-04-04T14:42:00Z</cp:lastPrinted>
  <dcterms:created xsi:type="dcterms:W3CDTF">2019-04-02T21:44:00Z</dcterms:created>
  <dcterms:modified xsi:type="dcterms:W3CDTF">2019-04-09T21:12:00Z</dcterms:modified>
</cp:coreProperties>
</file>