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B" w:rsidRDefault="008A642B" w:rsidP="004E021B">
      <w:pPr>
        <w:spacing w:line="276" w:lineRule="auto"/>
        <w:jc w:val="center"/>
        <w:rPr>
          <w:rFonts w:ascii="Bookman Old Style" w:hAnsi="Bookman Old Style"/>
          <w:b/>
        </w:rPr>
      </w:pPr>
    </w:p>
    <w:p w:rsidR="00625702" w:rsidRDefault="00625702" w:rsidP="004E021B">
      <w:pPr>
        <w:spacing w:line="276" w:lineRule="auto"/>
        <w:jc w:val="center"/>
        <w:rPr>
          <w:rFonts w:ascii="Bookman Old Style" w:hAnsi="Bookman Old Style"/>
          <w:b/>
        </w:rPr>
      </w:pPr>
    </w:p>
    <w:p w:rsidR="004E021B" w:rsidRDefault="00C37948" w:rsidP="00C37948">
      <w:pPr>
        <w:spacing w:line="276" w:lineRule="auto"/>
        <w:jc w:val="both"/>
        <w:rPr>
          <w:rFonts w:ascii="Bookman Old Style" w:hAnsi="Bookman Old Style"/>
          <w:b/>
        </w:rPr>
      </w:pPr>
      <w:r w:rsidRPr="00C37948">
        <w:rPr>
          <w:rFonts w:ascii="Bookman Old Style" w:hAnsi="Bookman Old Style"/>
          <w:b/>
        </w:rPr>
        <w:t>Modifica la ley N° 20.416, que Fija normas especiales para las empresas de menor tamaño, con el fin de obligar a las sociedades de apoyo al giro bancario que indica, a abonar inmediatamente, a las micro, pequeñas y medianas empresas, los dineros que éstas perciban por las transacciones comerciales que realicen utilizando tarjetas bancarias</w:t>
      </w:r>
    </w:p>
    <w:p w:rsidR="00C37948" w:rsidRDefault="00C37948" w:rsidP="00C37948">
      <w:pPr>
        <w:spacing w:line="276" w:lineRule="auto"/>
        <w:jc w:val="both"/>
        <w:rPr>
          <w:rFonts w:ascii="Bookman Old Style" w:hAnsi="Bookman Old Style"/>
          <w:b/>
        </w:rPr>
      </w:pPr>
    </w:p>
    <w:p w:rsidR="00C37948" w:rsidRDefault="00C37948" w:rsidP="00C37948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Boletín N° 12543-03</w:t>
      </w:r>
    </w:p>
    <w:p w:rsidR="00773A51" w:rsidRDefault="00773A51">
      <w:pPr>
        <w:spacing w:line="360" w:lineRule="auto"/>
        <w:jc w:val="both"/>
        <w:rPr>
          <w:rFonts w:ascii="Bookman Old Style" w:hAnsi="Bookman Old Style"/>
          <w:b/>
        </w:rPr>
      </w:pPr>
    </w:p>
    <w:p w:rsidR="00773A51" w:rsidRDefault="005801A7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1.- Antecedentes</w:t>
      </w:r>
    </w:p>
    <w:p w:rsidR="008A642B" w:rsidRDefault="008A642B">
      <w:pPr>
        <w:spacing w:line="360" w:lineRule="auto"/>
        <w:jc w:val="both"/>
        <w:rPr>
          <w:rFonts w:ascii="Bookman Old Style" w:hAnsi="Bookman Old Style"/>
          <w:b/>
        </w:rPr>
      </w:pPr>
    </w:p>
    <w:p w:rsidR="00625702" w:rsidRDefault="00625702">
      <w:pPr>
        <w:spacing w:line="360" w:lineRule="auto"/>
        <w:jc w:val="both"/>
        <w:rPr>
          <w:rFonts w:ascii="Bookman Old Style" w:hAnsi="Bookman Old Style"/>
          <w:b/>
        </w:rPr>
      </w:pP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Las sociedades de apoyo al giro son aquellas que están destinadas a prestar servicios a las entidades financieras que faciliten el cumplimiento de sus fines o a efectuar determinadas operaciones de giro bancario con el público.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Estas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entidades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prestan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servicios de transferencia electrónica de fondos y datos, administración de tarjetas de crédito, operación de cajeros automáticos y recaudación de pagos de servicios, entre otras</w:t>
      </w:r>
      <w:r>
        <w:rPr>
          <w:rStyle w:val="Refdenotaalpie"/>
          <w:rFonts w:ascii="Bookman Old Style" w:hAnsi="Bookman Old Style"/>
        </w:rPr>
        <w:footnoteReference w:id="1"/>
      </w:r>
      <w:r w:rsidRPr="005D63CE">
        <w:rPr>
          <w:rFonts w:ascii="Bookman Old Style" w:hAnsi="Bookman Old Style"/>
        </w:rPr>
        <w:t xml:space="preserve">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Una de las sociedades más conocidas de esta clase es “Transbank S.A.”, una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empresa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chilena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creada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en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Santiago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el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año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1989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como “Sociedad Interbancaria Administradora de Tarjetas de Crédito”, y se especializa en la administración de tarjetas de débito y crédito bancarias.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En la actualidad administra la tarjeta de débito </w:t>
      </w:r>
      <w:proofErr w:type="spellStart"/>
      <w:r w:rsidRPr="005D63CE">
        <w:rPr>
          <w:rFonts w:ascii="Bookman Old Style" w:hAnsi="Bookman Old Style"/>
        </w:rPr>
        <w:t>Redcompra</w:t>
      </w:r>
      <w:proofErr w:type="spellEnd"/>
      <w:r w:rsidRPr="005D63CE">
        <w:rPr>
          <w:rFonts w:ascii="Bookman Old Style" w:hAnsi="Bookman Old Style"/>
        </w:rPr>
        <w:t xml:space="preserve">,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las tarjetas de crédito Visa, </w:t>
      </w:r>
      <w:r w:rsidR="00625702">
        <w:rPr>
          <w:rFonts w:ascii="Bookman Old Style" w:hAnsi="Bookman Old Style"/>
        </w:rPr>
        <w:t xml:space="preserve"> </w:t>
      </w:r>
      <w:proofErr w:type="spellStart"/>
      <w:r w:rsidRPr="005D63CE">
        <w:rPr>
          <w:rFonts w:ascii="Bookman Old Style" w:hAnsi="Bookman Old Style"/>
        </w:rPr>
        <w:t>Diners</w:t>
      </w:r>
      <w:proofErr w:type="spellEnd"/>
      <w:r w:rsidRPr="005D63CE">
        <w:rPr>
          <w:rFonts w:ascii="Bookman Old Style" w:hAnsi="Bookman Old Style"/>
        </w:rPr>
        <w:t xml:space="preserve"> Club, </w:t>
      </w:r>
      <w:r w:rsidR="00625702">
        <w:rPr>
          <w:rFonts w:ascii="Bookman Old Style" w:hAnsi="Bookman Old Style"/>
        </w:rPr>
        <w:t xml:space="preserve"> </w:t>
      </w:r>
      <w:proofErr w:type="spellStart"/>
      <w:r w:rsidRPr="005D63CE">
        <w:rPr>
          <w:rFonts w:ascii="Bookman Old Style" w:hAnsi="Bookman Old Style"/>
        </w:rPr>
        <w:t>MasterCard</w:t>
      </w:r>
      <w:proofErr w:type="spellEnd"/>
      <w:r w:rsidRPr="005D63CE">
        <w:rPr>
          <w:rFonts w:ascii="Bookman Old Style" w:hAnsi="Bookman Old Style"/>
        </w:rPr>
        <w:t xml:space="preserve">,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Magna, y American Express, y el servicio de pago por internet llamado Webpay</w:t>
      </w:r>
      <w:r>
        <w:rPr>
          <w:rStyle w:val="Refdenotaalpie"/>
          <w:rFonts w:ascii="Bookman Old Style" w:hAnsi="Bookman Old Style"/>
        </w:rPr>
        <w:footnoteReference w:id="2"/>
      </w:r>
      <w:r w:rsidRPr="005D63CE">
        <w:rPr>
          <w:rFonts w:ascii="Bookman Old Style" w:hAnsi="Bookman Old Style"/>
        </w:rPr>
        <w:t>.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Se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trata de una empresa que ofrece a sus clientes una gran variedad de servicios que apuntan a la entrega de soluciones para la venta </w:t>
      </w:r>
      <w:r w:rsidRPr="005D63CE">
        <w:rPr>
          <w:rFonts w:ascii="Bookman Old Style" w:hAnsi="Bookman Old Style"/>
        </w:rPr>
        <w:lastRenderedPageBreak/>
        <w:t xml:space="preserve">presencial de productos y servicios con el uso de tarjetas, así como ventas por internet, y servicios de pagos automáticos.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Transbank se encuentra sujeta a la fiscalización y a la potestad reglamentaria de la Superintendencia de Bancos e Instituciones Financieras (SBIF). Esta institución está encargada de la supervisión de los bancos y de las instituciones de carácter financiero, con el fin de garantizar el adecuado funcionamiento del mercado financiero. </w:t>
      </w:r>
    </w:p>
    <w:p w:rsidR="00625702" w:rsidRDefault="00625702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Como señala el profesor Arturo </w:t>
      </w:r>
      <w:proofErr w:type="spellStart"/>
      <w:r w:rsidRPr="005D63CE">
        <w:rPr>
          <w:rFonts w:ascii="Bookman Old Style" w:hAnsi="Bookman Old Style"/>
        </w:rPr>
        <w:t>Yrarrázaval</w:t>
      </w:r>
      <w:proofErr w:type="spellEnd"/>
      <w:proofErr w:type="gramStart"/>
      <w:r w:rsidRPr="005D63CE">
        <w:rPr>
          <w:rFonts w:ascii="Bookman Old Style" w:hAnsi="Bookman Old Style"/>
        </w:rPr>
        <w:t>: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“</w:t>
      </w:r>
      <w:proofErr w:type="gramEnd"/>
      <w:r w:rsidRPr="005D63CE">
        <w:rPr>
          <w:rFonts w:ascii="Bookman Old Style" w:hAnsi="Bookman Old Style"/>
          <w:i/>
        </w:rPr>
        <w:t xml:space="preserve">La </w:t>
      </w:r>
      <w:r w:rsidR="00625702">
        <w:rPr>
          <w:rFonts w:ascii="Bookman Old Style" w:hAnsi="Bookman Old Style"/>
          <w:i/>
        </w:rPr>
        <w:t xml:space="preserve"> </w:t>
      </w:r>
      <w:r w:rsidRPr="005D63CE">
        <w:rPr>
          <w:rFonts w:ascii="Bookman Old Style" w:hAnsi="Bookman Old Style"/>
          <w:i/>
        </w:rPr>
        <w:t>Ley General</w:t>
      </w:r>
      <w:r w:rsidR="00625702">
        <w:rPr>
          <w:rFonts w:ascii="Bookman Old Style" w:hAnsi="Bookman Old Style"/>
          <w:i/>
        </w:rPr>
        <w:t xml:space="preserve"> </w:t>
      </w:r>
      <w:r w:rsidRPr="005D63CE">
        <w:rPr>
          <w:rFonts w:ascii="Bookman Old Style" w:hAnsi="Bookman Old Style"/>
          <w:i/>
        </w:rPr>
        <w:t xml:space="preserve"> de Bancos también otorga a la Superintendencia la fiscalización exclusiva de las sociedades de apoyo al giro bancario y está facultada para dictar normas generales a que debiesen sujetarse en sus operaciones, según el giro que realicen</w:t>
      </w:r>
      <w:r w:rsidRPr="005D63CE">
        <w:rPr>
          <w:rFonts w:ascii="Bookman Old Style" w:hAnsi="Bookman Old Style"/>
        </w:rPr>
        <w:t>”</w:t>
      </w:r>
      <w:r>
        <w:rPr>
          <w:rStyle w:val="Refdenotaalpie"/>
          <w:rFonts w:ascii="Bookman Old Style" w:hAnsi="Bookman Old Style"/>
        </w:rPr>
        <w:footnoteReference w:id="3"/>
      </w:r>
      <w:r w:rsidRPr="005D63CE">
        <w:rPr>
          <w:rFonts w:ascii="Bookman Old Style" w:hAnsi="Bookman Old Style"/>
        </w:rPr>
        <w:t xml:space="preserve">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>Según la Superintendencia de Bancos e Instituciones Financieras (SBIF), Transbank S.A. es una sociedad de apoyo al giro bancario, y también tiene la condición de operador de tarjetas de pago</w:t>
      </w:r>
      <w:r>
        <w:rPr>
          <w:rStyle w:val="Refdenotaalpie"/>
          <w:rFonts w:ascii="Bookman Old Style" w:hAnsi="Bookman Old Style"/>
        </w:rPr>
        <w:footnoteReference w:id="4"/>
      </w:r>
      <w:r w:rsidRPr="005D63CE">
        <w:rPr>
          <w:rFonts w:ascii="Bookman Old Style" w:hAnsi="Bookman Old Style"/>
        </w:rPr>
        <w:t xml:space="preserve">. </w:t>
      </w:r>
    </w:p>
    <w:p w:rsidR="005D63CE" w:rsidRPr="00C723AB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C723AB">
        <w:rPr>
          <w:rFonts w:ascii="Bookman Old Style" w:hAnsi="Bookman Old Style"/>
        </w:rPr>
        <w:t>Además, se debe recordar que desde el próximo 1° de junio del año 2019 la Superintendencia de Bancos e Instituciones Financieras (SBIF)</w:t>
      </w:r>
      <w:r w:rsidR="00625702">
        <w:rPr>
          <w:rFonts w:ascii="Bookman Old Style" w:hAnsi="Bookman Old Style"/>
        </w:rPr>
        <w:t xml:space="preserve">  </w:t>
      </w:r>
      <w:r w:rsidRPr="00C723AB">
        <w:rPr>
          <w:rFonts w:ascii="Bookman Old Style" w:hAnsi="Bookman Old Style"/>
        </w:rPr>
        <w:t xml:space="preserve"> </w:t>
      </w:r>
      <w:r w:rsidRPr="00C723AB">
        <w:rPr>
          <w:rFonts w:ascii="Bookman Old Style" w:hAnsi="Bookman Old Style"/>
          <w:b/>
        </w:rPr>
        <w:t>se integrará a la Comisión para el Mercado Financiero (CMF</w:t>
      </w:r>
      <w:r w:rsidRPr="00C723AB">
        <w:rPr>
          <w:rFonts w:ascii="Bookman Old Style" w:hAnsi="Bookman Old Style"/>
        </w:rPr>
        <w:t xml:space="preserve">), </w:t>
      </w:r>
      <w:r w:rsidR="00625702">
        <w:rPr>
          <w:rFonts w:ascii="Bookman Old Style" w:hAnsi="Bookman Old Style"/>
        </w:rPr>
        <w:t xml:space="preserve"> </w:t>
      </w:r>
      <w:r w:rsidRPr="00C723AB">
        <w:rPr>
          <w:rFonts w:ascii="Bookman Old Style" w:hAnsi="Bookman Old Style"/>
        </w:rPr>
        <w:t xml:space="preserve">el cual es un servicio público descentralizado que se relaciona con el Presidente de la República a través del Ministro de Hacienda, y que fue creado mediante la Ley N°21.000.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Transbank ofrece variados servicios para ayudar a sus clientes en los sistemas de pago asociados a sus negocios, locales, ferias, hoteles, restaurantes, etc. Así, por ejemplo, esta empresa permite a los </w:t>
      </w:r>
      <w:r w:rsidRPr="005D63CE">
        <w:rPr>
          <w:rFonts w:ascii="Bookman Old Style" w:hAnsi="Bookman Old Style"/>
        </w:rPr>
        <w:lastRenderedPageBreak/>
        <w:t>restaurantes que cuenten con sus servicios,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tener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un equipo fijo en la caja más un equipo móvil para el pago directo en la mesa.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Además, incluye los campos “propina” y “código de empleado”, lo que facilita la operación diaria en este rubro</w:t>
      </w:r>
      <w:r>
        <w:rPr>
          <w:rStyle w:val="Refdenotaalpie"/>
          <w:rFonts w:ascii="Bookman Old Style" w:hAnsi="Bookman Old Style"/>
        </w:rPr>
        <w:footnoteReference w:id="5"/>
      </w:r>
      <w:r w:rsidRPr="005D63CE">
        <w:rPr>
          <w:rFonts w:ascii="Bookman Old Style" w:hAnsi="Bookman Old Style"/>
        </w:rPr>
        <w:t>.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>Según se puede revisar en la propia página web de Transbank, todas las transacciones y sus respectivos abonos se rigen por una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serie de reglas y procedimientos, a saber: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</w:t>
      </w:r>
      <w:r w:rsidRPr="005D63CE">
        <w:rPr>
          <w:rFonts w:ascii="Bookman Old Style" w:hAnsi="Bookman Old Style"/>
        </w:rPr>
        <w:t xml:space="preserve">Las transacciones realizadas con tarjeta de crédito o de debito se rigen por el “horario bancario”, esto es, de lunes a viernes desde las 14:00 horas y hasta las 14:00 horas del día siguiente.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r w:rsidRPr="005D63CE">
        <w:rPr>
          <w:rFonts w:ascii="Bookman Old Style" w:hAnsi="Bookman Old Style"/>
        </w:rPr>
        <w:t xml:space="preserve">Las ventas que se realizan con tarjeta de débito antes de las 14:00 horas se abonan al día siguiente. Después de las 14:00 horas, las ventas se abonan al día subsiguiente. Se trata de un </w:t>
      </w:r>
      <w:r w:rsidRPr="005D63CE">
        <w:rPr>
          <w:rFonts w:ascii="Bookman Old Style" w:hAnsi="Bookman Old Style"/>
          <w:u w:val="single"/>
        </w:rPr>
        <w:t>plazo máximo de veinticuatro horas</w:t>
      </w:r>
      <w:r w:rsidRPr="005D63CE">
        <w:rPr>
          <w:rFonts w:ascii="Bookman Old Style" w:hAnsi="Bookman Old Style"/>
        </w:rPr>
        <w:t xml:space="preserve">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r w:rsidRPr="005D63CE">
        <w:rPr>
          <w:rFonts w:ascii="Bookman Old Style" w:hAnsi="Bookman Old Style"/>
        </w:rPr>
        <w:t xml:space="preserve">Tratándose de las ventas que se realizan con tarjeta de crédito, se pueden demorar hasta un día más en abonarse, a diferencia de lo que ocurre con las tarjetas de débito. De este modo, las ventas efectuadas antes de las 14:00 horas se abonan en un </w:t>
      </w:r>
      <w:r w:rsidRPr="005D63CE">
        <w:rPr>
          <w:rFonts w:ascii="Bookman Old Style" w:hAnsi="Bookman Old Style"/>
          <w:u w:val="single"/>
        </w:rPr>
        <w:t>plazo máximo de cuarenta y ocho horas</w:t>
      </w:r>
      <w:r w:rsidRPr="005D63CE">
        <w:rPr>
          <w:rFonts w:ascii="Bookman Old Style" w:hAnsi="Bookman Old Style"/>
        </w:rPr>
        <w:t xml:space="preserve">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Y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las ventas efectuadas después de las 14:00 horas se abonan </w:t>
      </w:r>
      <w:r w:rsidRPr="005D63CE">
        <w:rPr>
          <w:rFonts w:ascii="Bookman Old Style" w:hAnsi="Bookman Old Style"/>
          <w:u w:val="single"/>
        </w:rPr>
        <w:t>al día subsiguiente</w:t>
      </w:r>
      <w:r w:rsidRPr="005D63CE">
        <w:rPr>
          <w:rFonts w:ascii="Bookman Old Style" w:hAnsi="Bookman Old Style"/>
        </w:rPr>
        <w:t xml:space="preserve">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 </w:t>
      </w:r>
      <w:r w:rsidRPr="005D63CE">
        <w:rPr>
          <w:rFonts w:ascii="Bookman Old Style" w:hAnsi="Bookman Old Style"/>
        </w:rPr>
        <w:t xml:space="preserve">Cuando se trata de transacciones o ventas realizadas el fin de semana, el abono se realiza el día martes (si es que la operación fue con tarjeta de débito), o el día miércoles (si es que la operación fue con tarjeta de crédito). </w:t>
      </w:r>
    </w:p>
    <w:p w:rsidR="00625702" w:rsidRDefault="00625702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e) </w:t>
      </w:r>
      <w:r w:rsidRPr="005D63CE">
        <w:rPr>
          <w:rFonts w:ascii="Bookman Old Style" w:hAnsi="Bookman Old Style"/>
        </w:rPr>
        <w:t>Por otra parte, tratándose de ventas en tres cuotas, sin pie, y sin intereses, el primer pago se hace en un plazo de cuarenta y ocho horas según el horario bancario. El resto de las cuotas se abonará a los 30 y 60 días después del primer abono.</w:t>
      </w:r>
    </w:p>
    <w:p w:rsidR="005D63CE" w:rsidRP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f) </w:t>
      </w:r>
      <w:r w:rsidRPr="005D63CE">
        <w:rPr>
          <w:rFonts w:ascii="Bookman Old Style" w:hAnsi="Bookman Old Style"/>
        </w:rPr>
        <w:t xml:space="preserve">También se puede optar por el abono semanal.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En este caso,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hay que distinguir.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P</w:t>
      </w:r>
      <w:r w:rsidRPr="005D63CE">
        <w:rPr>
          <w:rFonts w:ascii="Bookman Old Style" w:hAnsi="Bookman Old Style" w:cs="Arial"/>
          <w:shd w:val="clear" w:color="auto" w:fill="FFFFFF"/>
        </w:rPr>
        <w:t xml:space="preserve">ara ventas entre el 1 y 7 de cada mes, </w:t>
      </w:r>
      <w:r w:rsidR="00625702">
        <w:rPr>
          <w:rFonts w:ascii="Bookman Old Style" w:hAnsi="Bookman Old Style" w:cs="Arial"/>
          <w:shd w:val="clear" w:color="auto" w:fill="FFFFFF"/>
        </w:rPr>
        <w:t xml:space="preserve"> </w:t>
      </w:r>
      <w:r w:rsidRPr="005D63CE">
        <w:rPr>
          <w:rFonts w:ascii="Bookman Old Style" w:hAnsi="Bookman Old Style" w:cs="Arial"/>
          <w:shd w:val="clear" w:color="auto" w:fill="FFFFFF"/>
        </w:rPr>
        <w:t>se</w:t>
      </w:r>
      <w:r w:rsidR="00625702">
        <w:rPr>
          <w:rFonts w:ascii="Bookman Old Style" w:hAnsi="Bookman Old Style" w:cs="Arial"/>
          <w:shd w:val="clear" w:color="auto" w:fill="FFFFFF"/>
        </w:rPr>
        <w:t xml:space="preserve"> </w:t>
      </w:r>
      <w:r w:rsidRPr="005D63CE">
        <w:rPr>
          <w:rFonts w:ascii="Bookman Old Style" w:hAnsi="Bookman Old Style" w:cs="Arial"/>
          <w:shd w:val="clear" w:color="auto" w:fill="FFFFFF"/>
        </w:rPr>
        <w:t xml:space="preserve"> abona el día 23. Para ventas entre el 8 y 15 de cada mes, se abona el día 1.</w:t>
      </w:r>
      <w:r w:rsidRPr="005D63CE">
        <w:rPr>
          <w:rFonts w:ascii="Bookman Old Style" w:hAnsi="Bookman Old Style" w:cs="Arial"/>
        </w:rPr>
        <w:t xml:space="preserve"> </w:t>
      </w:r>
      <w:r w:rsidRPr="005D63CE">
        <w:rPr>
          <w:rFonts w:ascii="Bookman Old Style" w:hAnsi="Bookman Old Style" w:cs="Arial"/>
          <w:shd w:val="clear" w:color="auto" w:fill="FFFFFF"/>
        </w:rPr>
        <w:t>Para ventas entre el 16 y 22 de cada mes, se abona el día 8.</w:t>
      </w:r>
      <w:r w:rsidRPr="005D63CE">
        <w:rPr>
          <w:rFonts w:ascii="Bookman Old Style" w:hAnsi="Bookman Old Style" w:cs="Arial"/>
        </w:rPr>
        <w:t xml:space="preserve"> </w:t>
      </w:r>
      <w:r w:rsidRPr="005D63CE">
        <w:rPr>
          <w:rFonts w:ascii="Bookman Old Style" w:hAnsi="Bookman Old Style" w:cs="Arial"/>
          <w:shd w:val="clear" w:color="auto" w:fill="FFFFFF"/>
        </w:rPr>
        <w:t>Y para ventas entre el 23</w:t>
      </w:r>
      <w:r w:rsidR="00625702">
        <w:rPr>
          <w:rFonts w:ascii="Bookman Old Style" w:hAnsi="Bookman Old Style" w:cs="Arial"/>
          <w:shd w:val="clear" w:color="auto" w:fill="FFFFFF"/>
        </w:rPr>
        <w:t xml:space="preserve"> </w:t>
      </w:r>
      <w:r w:rsidRPr="005D63CE">
        <w:rPr>
          <w:rFonts w:ascii="Bookman Old Style" w:hAnsi="Bookman Old Style" w:cs="Arial"/>
          <w:shd w:val="clear" w:color="auto" w:fill="FFFFFF"/>
        </w:rPr>
        <w:t xml:space="preserve"> y 31 de cada mes, se abona el día 16.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Todas estas reglas constituyen demoras en los abonos, que a su vez generan una serie de inconvenientes, dificultades y complicaciones financieras para las microempresas, las pequeñas empresas y las medianas empresas. Son demasiados días de espera para poder recibir el dinero que han logrado obtener con el esfuerzo personal y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el trabajo propio de cada día. Y resulta que son precisamente las PYMES el verdadero “motor” de la Economía nacional. </w:t>
      </w: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>La Ley N°20.416 que “fija normas especiales para las empresas de menor tamaño”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señala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en su artículo segundo que para efectos de esa ley: “</w:t>
      </w:r>
      <w:r w:rsidRPr="005D63CE">
        <w:rPr>
          <w:rFonts w:ascii="Bookman Old Style" w:hAnsi="Bookman Old Style"/>
          <w:b/>
          <w:i/>
          <w:u w:val="single"/>
        </w:rPr>
        <w:t>Son microempresas</w:t>
      </w:r>
      <w:r w:rsidRPr="005D63CE">
        <w:rPr>
          <w:rFonts w:ascii="Bookman Old Style" w:hAnsi="Bookman Old Style"/>
          <w:i/>
        </w:rPr>
        <w:t xml:space="preserve"> aquellas empresas cuyos ingresos anuales por ventas y servicios y otras actividades del giro no hayan superado las 2.400 unidades de fomento en el último año calendario; </w:t>
      </w:r>
      <w:r w:rsidRPr="005D63CE">
        <w:rPr>
          <w:rFonts w:ascii="Bookman Old Style" w:hAnsi="Bookman Old Style"/>
          <w:b/>
          <w:i/>
          <w:u w:val="single"/>
        </w:rPr>
        <w:t>pequeñas empresas</w:t>
      </w:r>
      <w:r w:rsidRPr="005D63CE">
        <w:rPr>
          <w:rFonts w:ascii="Bookman Old Style" w:hAnsi="Bookman Old Style"/>
          <w:i/>
        </w:rPr>
        <w:t xml:space="preserve">, aquellas cuyos ingresos anuales por ventas, servicios y otras actividades del giro sean superiores a 2.400 unidades de fomento y no exceden de 25.000 unidades de fomento en el último año calendario, y </w:t>
      </w:r>
      <w:r w:rsidRPr="005D63CE">
        <w:rPr>
          <w:rFonts w:ascii="Bookman Old Style" w:hAnsi="Bookman Old Style"/>
          <w:b/>
          <w:i/>
          <w:u w:val="single"/>
        </w:rPr>
        <w:t>medianas empresas</w:t>
      </w:r>
      <w:r w:rsidRPr="005D63CE">
        <w:rPr>
          <w:rFonts w:ascii="Bookman Old Style" w:hAnsi="Bookman Old Style"/>
          <w:i/>
        </w:rPr>
        <w:t>, aquellas cuyos ingresos anuales por ventas, servicios y otras actividades del giro sean superiores a 25.000 unidades de fomento y no exceden las 100.000 unidades de fomento en el último año calendario</w:t>
      </w:r>
      <w:r w:rsidRPr="005D63CE">
        <w:rPr>
          <w:rFonts w:ascii="Bookman Old Style" w:hAnsi="Bookman Old Style"/>
        </w:rPr>
        <w:t>”.</w:t>
      </w:r>
    </w:p>
    <w:p w:rsidR="005D63CE" w:rsidRDefault="005D63CE" w:rsidP="00625702">
      <w:pPr>
        <w:spacing w:before="120" w:after="160" w:line="360" w:lineRule="auto"/>
        <w:ind w:firstLine="357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Todas estas empresas de menor tamaño se ven diariamente afectadas por las demoras en los abonos por parte de una empresa constituida bajo </w:t>
      </w:r>
      <w:r w:rsidRPr="005D63CE">
        <w:rPr>
          <w:rFonts w:ascii="Bookman Old Style" w:hAnsi="Bookman Old Style"/>
        </w:rPr>
        <w:lastRenderedPageBreak/>
        <w:t>el alero de la Ley General de Bancos y la Ley Orgánica Constitucional del Banco Central de Chile, y que se rige por las disposiciones reglamentarias de la Superintendencia del ramo. Esto genera complicaciones para pagar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a sus proveedores, para pagar las remuneraciones de los trabajadores y empleados, para renovar el stock de la empresa, etc. </w:t>
      </w:r>
    </w:p>
    <w:p w:rsidR="00A63092" w:rsidRDefault="00A63092" w:rsidP="00625702">
      <w:pPr>
        <w:spacing w:before="120" w:after="160" w:line="360" w:lineRule="auto"/>
        <w:ind w:firstLine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su parte, la Ley N°20.416 establece en su artículo noveno el rol de consumidores de las microempresas, las pequeñas empresas y las medianas empresas.</w:t>
      </w:r>
    </w:p>
    <w:p w:rsidR="00A16FDF" w:rsidRDefault="00A63092" w:rsidP="00625702">
      <w:pPr>
        <w:spacing w:before="120" w:after="160" w:line="360" w:lineRule="auto"/>
        <w:ind w:firstLine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Según el artículo noveno, </w:t>
      </w:r>
      <w:r w:rsidR="00A16FDF">
        <w:rPr>
          <w:rFonts w:ascii="Bookman Old Style" w:hAnsi="Bookman Old Style"/>
        </w:rPr>
        <w:t>número</w:t>
      </w:r>
      <w:r>
        <w:rPr>
          <w:rFonts w:ascii="Bookman Old Style" w:hAnsi="Bookman Old Style"/>
        </w:rPr>
        <w:t xml:space="preserve"> 2)</w:t>
      </w:r>
      <w:r w:rsidR="00A16FDF">
        <w:rPr>
          <w:rFonts w:ascii="Bookman Old Style" w:hAnsi="Bookman Old Style"/>
        </w:rPr>
        <w:t xml:space="preserve"> se les aplican las siguientes normas:</w:t>
      </w:r>
      <w:r w:rsidRPr="00A63092">
        <w:rPr>
          <w:rFonts w:ascii="Bookman Old Style" w:hAnsi="Bookman Old Style"/>
        </w:rPr>
        <w:t xml:space="preserve"> </w:t>
      </w:r>
      <w:r w:rsidR="00A16FDF">
        <w:rPr>
          <w:rFonts w:ascii="Bookman Old Style" w:hAnsi="Bookman Old Style"/>
        </w:rPr>
        <w:t>“</w:t>
      </w:r>
      <w:r w:rsidRPr="00A16FDF">
        <w:rPr>
          <w:rFonts w:ascii="Bookman Old Style" w:hAnsi="Bookman Old Style"/>
          <w:i/>
        </w:rPr>
        <w:t>Serán aplicables a los actos y contratos celebrados entre micro o pequeñas empresas y sus proveedores</w:t>
      </w:r>
      <w:r w:rsidR="00A16FDF">
        <w:rPr>
          <w:rStyle w:val="Refdenotaalpie"/>
          <w:rFonts w:ascii="Bookman Old Style" w:hAnsi="Bookman Old Style"/>
          <w:i/>
        </w:rPr>
        <w:footnoteReference w:id="6"/>
      </w:r>
      <w:r w:rsidRPr="00A16FDF">
        <w:rPr>
          <w:rFonts w:ascii="Bookman Old Style" w:hAnsi="Bookman Old Style"/>
          <w:i/>
        </w:rPr>
        <w:t xml:space="preserve"> las normas establecidas en favor de los consumidores por la </w:t>
      </w:r>
      <w:hyperlink r:id="rId8" w:history="1">
        <w:r w:rsidRPr="00A16FDF">
          <w:rPr>
            <w:rStyle w:val="Hipervnculo"/>
            <w:rFonts w:ascii="Bookman Old Style" w:hAnsi="Bookman Old Style"/>
            <w:i/>
            <w:color w:val="auto"/>
            <w:u w:val="none"/>
          </w:rPr>
          <w:t>ley N° 19.496</w:t>
        </w:r>
      </w:hyperlink>
      <w:r w:rsidRPr="00A16FDF">
        <w:rPr>
          <w:rFonts w:ascii="Bookman Old Style" w:hAnsi="Bookman Old Style"/>
          <w:i/>
        </w:rPr>
        <w:t xml:space="preserve"> en los párrafos 1°, 3°, 4° y 5° del Título II, y en los párrafos 1°, 2°, 3° y 4° del Título III o, a opción de las primeras, las demás disposiciones aplicables entre partes. En ningún caso serán aplicables las normas relativas al rol del Servicio Nacional del Consumidor. </w:t>
      </w:r>
      <w:r w:rsidR="00625702">
        <w:rPr>
          <w:rFonts w:ascii="Bookman Old Style" w:hAnsi="Bookman Old Style"/>
          <w:i/>
        </w:rPr>
        <w:t xml:space="preserve"> </w:t>
      </w:r>
      <w:r w:rsidRPr="00A16FDF">
        <w:rPr>
          <w:rFonts w:ascii="Bookman Old Style" w:hAnsi="Bookman Old Style"/>
          <w:i/>
        </w:rPr>
        <w:t xml:space="preserve">La </w:t>
      </w:r>
      <w:r w:rsidR="00625702">
        <w:rPr>
          <w:rFonts w:ascii="Bookman Old Style" w:hAnsi="Bookman Old Style"/>
          <w:i/>
        </w:rPr>
        <w:t xml:space="preserve"> </w:t>
      </w:r>
      <w:r w:rsidRPr="00A16FDF">
        <w:rPr>
          <w:rFonts w:ascii="Bookman Old Style" w:hAnsi="Bookman Old Style"/>
          <w:i/>
        </w:rPr>
        <w:t xml:space="preserve">aplicación de las disposiciones señaladas precedentemente </w:t>
      </w:r>
      <w:r w:rsidR="00625702">
        <w:rPr>
          <w:rFonts w:ascii="Bookman Old Style" w:hAnsi="Bookman Old Style"/>
          <w:i/>
        </w:rPr>
        <w:t xml:space="preserve"> </w:t>
      </w:r>
      <w:r w:rsidRPr="00A16FDF">
        <w:rPr>
          <w:rFonts w:ascii="Bookman Old Style" w:hAnsi="Bookman Old Style"/>
          <w:i/>
        </w:rPr>
        <w:t xml:space="preserve">será </w:t>
      </w:r>
      <w:r w:rsidR="00625702">
        <w:rPr>
          <w:rFonts w:ascii="Bookman Old Style" w:hAnsi="Bookman Old Style"/>
          <w:i/>
        </w:rPr>
        <w:t xml:space="preserve"> </w:t>
      </w:r>
      <w:r w:rsidRPr="00A16FDF">
        <w:rPr>
          <w:rFonts w:ascii="Bookman Old Style" w:hAnsi="Bookman Old Style"/>
          <w:i/>
        </w:rPr>
        <w:t>irrenunciable anticipadamente por parte de las</w:t>
      </w:r>
      <w:r w:rsidR="00625702">
        <w:rPr>
          <w:rFonts w:ascii="Bookman Old Style" w:hAnsi="Bookman Old Style"/>
          <w:i/>
        </w:rPr>
        <w:t xml:space="preserve"> </w:t>
      </w:r>
      <w:r w:rsidRPr="00A16FDF">
        <w:rPr>
          <w:rFonts w:ascii="Bookman Old Style" w:hAnsi="Bookman Old Style"/>
          <w:i/>
        </w:rPr>
        <w:t xml:space="preserve"> micro y pequeñas empresas</w:t>
      </w:r>
      <w:r w:rsidR="00A16FDF">
        <w:rPr>
          <w:rFonts w:ascii="Bookman Old Style" w:hAnsi="Bookman Old Style"/>
        </w:rPr>
        <w:t>”</w:t>
      </w:r>
      <w:r w:rsidRPr="00A63092">
        <w:rPr>
          <w:rFonts w:ascii="Bookman Old Style" w:hAnsi="Bookman Old Style"/>
        </w:rPr>
        <w:t>.</w:t>
      </w:r>
    </w:p>
    <w:p w:rsidR="00A16FDF" w:rsidRPr="00A16FDF" w:rsidRDefault="00A16FDF" w:rsidP="008A642B">
      <w:pPr>
        <w:spacing w:line="360" w:lineRule="auto"/>
        <w:jc w:val="both"/>
        <w:rPr>
          <w:rFonts w:ascii="Bookman Old Style" w:hAnsi="Bookman Old Style"/>
          <w:sz w:val="14"/>
        </w:rPr>
      </w:pPr>
    </w:p>
    <w:p w:rsidR="005D63CE" w:rsidRDefault="005D63CE" w:rsidP="00625702">
      <w:pPr>
        <w:spacing w:before="120" w:line="360" w:lineRule="auto"/>
        <w:ind w:firstLine="357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 xml:space="preserve">En una columna del año 2011, Nicolás Rojas refiriéndose a las sociedades de apoyo al giro bancario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y a la libre competencia expresaba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lo siguiente</w:t>
      </w:r>
      <w:proofErr w:type="gramStart"/>
      <w:r w:rsidRPr="005D63CE">
        <w:rPr>
          <w:rFonts w:ascii="Bookman Old Style" w:hAnsi="Bookman Old Style"/>
        </w:rPr>
        <w:t xml:space="preserve">: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“</w:t>
      </w:r>
      <w:proofErr w:type="gramEnd"/>
      <w:r w:rsidRPr="005D63CE">
        <w:rPr>
          <w:rFonts w:ascii="Bookman Old Style" w:hAnsi="Bookman Old Style"/>
          <w:i/>
        </w:rPr>
        <w:t>En los últimos años hemos observado una masificación de</w:t>
      </w:r>
      <w:r w:rsidR="00625702">
        <w:rPr>
          <w:rFonts w:ascii="Bookman Old Style" w:hAnsi="Bookman Old Style"/>
          <w:i/>
        </w:rPr>
        <w:t xml:space="preserve"> </w:t>
      </w:r>
      <w:r w:rsidRPr="005D63CE">
        <w:rPr>
          <w:rFonts w:ascii="Bookman Old Style" w:hAnsi="Bookman Old Style"/>
          <w:i/>
        </w:rPr>
        <w:t xml:space="preserve"> las tarjetas bancarias de débito y crédito, junto a la proliferación (casi indiscriminada) de tarjetas de crédito de casas comerciales. En el ámbito </w:t>
      </w:r>
      <w:r w:rsidRPr="005D63CE">
        <w:rPr>
          <w:rFonts w:ascii="Bookman Old Style" w:hAnsi="Bookman Old Style"/>
          <w:i/>
        </w:rPr>
        <w:lastRenderedPageBreak/>
        <w:t>bancario,</w:t>
      </w:r>
      <w:r w:rsidR="00625702">
        <w:rPr>
          <w:rFonts w:ascii="Bookman Old Style" w:hAnsi="Bookman Old Style"/>
          <w:i/>
        </w:rPr>
        <w:t xml:space="preserve">  </w:t>
      </w:r>
      <w:r w:rsidRPr="005D63CE">
        <w:rPr>
          <w:rFonts w:ascii="Bookman Old Style" w:hAnsi="Bookman Old Style"/>
          <w:i/>
        </w:rPr>
        <w:t xml:space="preserve">el </w:t>
      </w:r>
      <w:r w:rsidR="00625702">
        <w:rPr>
          <w:rFonts w:ascii="Bookman Old Style" w:hAnsi="Bookman Old Style"/>
          <w:i/>
        </w:rPr>
        <w:t xml:space="preserve"> </w:t>
      </w:r>
      <w:r w:rsidRPr="005D63CE">
        <w:rPr>
          <w:rFonts w:ascii="Bookman Old Style" w:hAnsi="Bookman Old Style"/>
          <w:i/>
        </w:rPr>
        <w:t xml:space="preserve">hecho que la operación de esos instrumentos esté en manos </w:t>
      </w:r>
      <w:r w:rsidR="00625702">
        <w:rPr>
          <w:rFonts w:ascii="Bookman Old Style" w:hAnsi="Bookman Old Style"/>
          <w:i/>
        </w:rPr>
        <w:t xml:space="preserve"> </w:t>
      </w:r>
      <w:r w:rsidRPr="005D63CE">
        <w:rPr>
          <w:rFonts w:ascii="Bookman Old Style" w:hAnsi="Bookman Old Style"/>
          <w:i/>
        </w:rPr>
        <w:t>de empresas que cuentan con posición dominante, cuyas redes tienen un carácter cercano al de una instalación esencial y que, además, son controladas por los principales actores del mercado bancario, hace imprescindible mayor transparencia respecto de</w:t>
      </w:r>
      <w:r w:rsidRPr="005D63CE">
        <w:rPr>
          <w:rFonts w:ascii="Bookman Old Style" w:hAnsi="Bookman Old Style"/>
          <w:b/>
          <w:i/>
        </w:rPr>
        <w:t xml:space="preserve"> </w:t>
      </w:r>
      <w:r w:rsidRPr="005D63CE">
        <w:rPr>
          <w:rFonts w:ascii="Bookman Old Style" w:hAnsi="Bookman Old Style"/>
          <w:i/>
        </w:rPr>
        <w:t>las</w:t>
      </w:r>
      <w:r w:rsidRPr="005D63CE">
        <w:rPr>
          <w:rFonts w:ascii="Bookman Old Style" w:hAnsi="Bookman Old Style"/>
          <w:b/>
          <w:i/>
          <w:u w:val="single"/>
        </w:rPr>
        <w:t xml:space="preserve"> condiciones en que esas empresas operan y la forma en que tarifican los servicios que ofrecen</w:t>
      </w:r>
      <w:r w:rsidRPr="005D63CE">
        <w:rPr>
          <w:rFonts w:ascii="Bookman Old Style" w:hAnsi="Bookman Old Style"/>
        </w:rPr>
        <w:t>”</w:t>
      </w:r>
      <w:r w:rsidR="00805633">
        <w:rPr>
          <w:rStyle w:val="Refdenotaalpie"/>
          <w:rFonts w:ascii="Bookman Old Style" w:hAnsi="Bookman Old Style"/>
        </w:rPr>
        <w:footnoteReference w:id="7"/>
      </w:r>
      <w:r w:rsidRPr="005D63CE">
        <w:rPr>
          <w:rFonts w:ascii="Bookman Old Style" w:hAnsi="Bookman Old Style"/>
        </w:rPr>
        <w:t>.</w:t>
      </w:r>
    </w:p>
    <w:p w:rsidR="009E7D02" w:rsidRDefault="009E7D02" w:rsidP="008A642B">
      <w:pPr>
        <w:spacing w:line="360" w:lineRule="auto"/>
        <w:ind w:firstLine="360"/>
        <w:jc w:val="both"/>
        <w:rPr>
          <w:rFonts w:ascii="Bookman Old Style" w:hAnsi="Bookman Old Style"/>
        </w:rPr>
      </w:pPr>
    </w:p>
    <w:p w:rsidR="005D63CE" w:rsidRDefault="005D63CE" w:rsidP="008A642B">
      <w:pPr>
        <w:spacing w:after="160" w:line="360" w:lineRule="auto"/>
        <w:ind w:firstLine="360"/>
        <w:jc w:val="both"/>
        <w:rPr>
          <w:rFonts w:ascii="Bookman Old Style" w:hAnsi="Bookman Old Style"/>
        </w:rPr>
      </w:pPr>
      <w:r w:rsidRPr="005D63CE">
        <w:rPr>
          <w:rFonts w:ascii="Bookman Old Style" w:hAnsi="Bookman Old Style"/>
        </w:rPr>
        <w:t>Por todas estas razones, creemos que es importante perfeccionar la regulación de estas sociedades de apoyo al giro bancario, y de los operadores de tarjetas de pago,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 xml:space="preserve"> con el fin de que no ocurran abusos en </w:t>
      </w:r>
      <w:r w:rsidR="00625702">
        <w:rPr>
          <w:rFonts w:ascii="Bookman Old Style" w:hAnsi="Bookman Old Style"/>
        </w:rPr>
        <w:t xml:space="preserve"> </w:t>
      </w:r>
      <w:r w:rsidRPr="005D63CE">
        <w:rPr>
          <w:rFonts w:ascii="Bookman Old Style" w:hAnsi="Bookman Old Style"/>
        </w:rPr>
        <w:t>los sistemas tarifarios y en las demoras de los abonos a los microempresarios y a las PYMES, y que se disminuyan los plazos de espera de estos abonos.</w:t>
      </w:r>
    </w:p>
    <w:p w:rsidR="008A642B" w:rsidRPr="008A642B" w:rsidRDefault="008A642B" w:rsidP="008A642B">
      <w:pPr>
        <w:spacing w:after="160" w:line="360" w:lineRule="auto"/>
        <w:ind w:firstLine="360"/>
        <w:jc w:val="both"/>
        <w:rPr>
          <w:rFonts w:ascii="Bookman Old Style" w:hAnsi="Bookman Old Style"/>
          <w:sz w:val="2"/>
        </w:rPr>
      </w:pPr>
    </w:p>
    <w:p w:rsidR="00773A51" w:rsidRDefault="005801A7" w:rsidP="008A642B">
      <w:pPr>
        <w:spacing w:after="24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2.- Ideas Matrices</w:t>
      </w:r>
    </w:p>
    <w:p w:rsidR="00773A51" w:rsidRDefault="0062705D" w:rsidP="008A642B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Este proyecto de ley busca proteger </w:t>
      </w:r>
      <w:r w:rsidR="00A63092">
        <w:rPr>
          <w:rFonts w:ascii="Bookman Old Style" w:hAnsi="Bookman Old Style"/>
        </w:rPr>
        <w:t xml:space="preserve">a las pequeñas y medianas empresas de nuestro país, que son el motor de la economía chilena, obligando a </w:t>
      </w:r>
      <w:r w:rsidR="00A63092" w:rsidRPr="00A63092">
        <w:rPr>
          <w:rFonts w:ascii="Bookman Old Style" w:hAnsi="Bookman Old Style"/>
        </w:rPr>
        <w:t xml:space="preserve">las sociedades de apoyo al giro bancario, </w:t>
      </w:r>
      <w:r w:rsidR="00A63092">
        <w:rPr>
          <w:rFonts w:ascii="Bookman Old Style" w:hAnsi="Bookman Old Style"/>
        </w:rPr>
        <w:t xml:space="preserve">a </w:t>
      </w:r>
      <w:r w:rsidR="00A63092" w:rsidRPr="00A63092">
        <w:rPr>
          <w:rFonts w:ascii="Bookman Old Style" w:hAnsi="Bookman Old Style"/>
        </w:rPr>
        <w:t xml:space="preserve">las empresas operadoras de tarjetas de pago, y </w:t>
      </w:r>
      <w:r w:rsidR="00A63092">
        <w:rPr>
          <w:rFonts w:ascii="Bookman Old Style" w:hAnsi="Bookman Old Style"/>
        </w:rPr>
        <w:t xml:space="preserve">a </w:t>
      </w:r>
      <w:r w:rsidR="00A63092" w:rsidRPr="00A63092">
        <w:rPr>
          <w:rFonts w:ascii="Bookman Old Style" w:hAnsi="Bookman Old Style"/>
        </w:rPr>
        <w:t xml:space="preserve">los proveedores de servicios para el procesamiento de pagos, a abonar </w:t>
      </w:r>
      <w:r w:rsidR="00A63092">
        <w:rPr>
          <w:rFonts w:ascii="Bookman Old Style" w:hAnsi="Bookman Old Style"/>
        </w:rPr>
        <w:t xml:space="preserve">en forma inmediata los dineros que hayan percibido </w:t>
      </w:r>
      <w:r w:rsidR="009E7D02">
        <w:rPr>
          <w:rFonts w:ascii="Bookman Old Style" w:hAnsi="Bookman Old Style"/>
        </w:rPr>
        <w:t>debido a</w:t>
      </w:r>
      <w:r w:rsidR="00A63092">
        <w:rPr>
          <w:rFonts w:ascii="Bookman Old Style" w:hAnsi="Bookman Old Style"/>
        </w:rPr>
        <w:t xml:space="preserve"> sus transacciones comerciales, de modo que no deban esperar tanto tiempo para disponer del fruto de su esfuerzo y trabajo.</w:t>
      </w:r>
      <w:r w:rsidR="00625702">
        <w:rPr>
          <w:rFonts w:ascii="Bookman Old Style" w:hAnsi="Bookman Old Style"/>
        </w:rPr>
        <w:t xml:space="preserve"> </w:t>
      </w:r>
      <w:r w:rsidR="00A63092">
        <w:rPr>
          <w:rFonts w:ascii="Bookman Old Style" w:hAnsi="Bookman Old Style"/>
        </w:rPr>
        <w:t xml:space="preserve"> </w:t>
      </w:r>
      <w:r w:rsidR="008A642B">
        <w:rPr>
          <w:rFonts w:ascii="Bookman Old Style" w:hAnsi="Bookman Old Style"/>
        </w:rPr>
        <w:t xml:space="preserve">Estas </w:t>
      </w:r>
      <w:r w:rsidR="00625702">
        <w:rPr>
          <w:rFonts w:ascii="Bookman Old Style" w:hAnsi="Bookman Old Style"/>
        </w:rPr>
        <w:t xml:space="preserve"> </w:t>
      </w:r>
      <w:r w:rsidR="008A642B">
        <w:rPr>
          <w:rFonts w:ascii="Bookman Old Style" w:hAnsi="Bookman Old Style"/>
        </w:rPr>
        <w:t>largas esperas suelen</w:t>
      </w:r>
      <w:r w:rsidR="008A642B" w:rsidRPr="005D63CE">
        <w:rPr>
          <w:rFonts w:ascii="Bookman Old Style" w:hAnsi="Bookman Old Style"/>
        </w:rPr>
        <w:t xml:space="preserve"> genera</w:t>
      </w:r>
      <w:r w:rsidR="008A642B">
        <w:rPr>
          <w:rFonts w:ascii="Bookman Old Style" w:hAnsi="Bookman Old Style"/>
        </w:rPr>
        <w:t>r</w:t>
      </w:r>
      <w:r w:rsidR="008A642B" w:rsidRPr="005D63CE">
        <w:rPr>
          <w:rFonts w:ascii="Bookman Old Style" w:hAnsi="Bookman Old Style"/>
        </w:rPr>
        <w:t xml:space="preserve"> complicaciones para pagar</w:t>
      </w:r>
      <w:r w:rsidR="00625702">
        <w:rPr>
          <w:rFonts w:ascii="Bookman Old Style" w:hAnsi="Bookman Old Style"/>
        </w:rPr>
        <w:t xml:space="preserve"> </w:t>
      </w:r>
      <w:r w:rsidR="008A642B" w:rsidRPr="005D63CE">
        <w:rPr>
          <w:rFonts w:ascii="Bookman Old Style" w:hAnsi="Bookman Old Style"/>
        </w:rPr>
        <w:t xml:space="preserve"> a sus proveedores, para pagar las remuneraciones de los trabajadores y empleados, para renovar el stock de la empresa, etc</w:t>
      </w:r>
      <w:r w:rsidR="008A642B">
        <w:rPr>
          <w:rFonts w:ascii="Bookman Old Style" w:hAnsi="Bookman Old Style"/>
        </w:rPr>
        <w:t xml:space="preserve">, razón por la cual se hace </w:t>
      </w:r>
      <w:proofErr w:type="gramStart"/>
      <w:r w:rsidR="008A642B">
        <w:rPr>
          <w:rFonts w:ascii="Bookman Old Style" w:hAnsi="Bookman Old Style"/>
        </w:rPr>
        <w:t>necesario</w:t>
      </w:r>
      <w:proofErr w:type="gramEnd"/>
      <w:r w:rsidR="008A642B">
        <w:rPr>
          <w:rFonts w:ascii="Bookman Old Style" w:hAnsi="Bookman Old Style"/>
        </w:rPr>
        <w:t xml:space="preserve"> regular la situación.</w:t>
      </w:r>
    </w:p>
    <w:p w:rsidR="001B7141" w:rsidRDefault="001B7141" w:rsidP="008A642B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625702" w:rsidRDefault="00625702" w:rsidP="008A642B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73A51" w:rsidRDefault="005801A7" w:rsidP="008A642B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3.- Contenido del Proyecto</w:t>
      </w:r>
    </w:p>
    <w:p w:rsidR="00773A51" w:rsidRDefault="00773A51" w:rsidP="008A642B">
      <w:pPr>
        <w:spacing w:line="360" w:lineRule="auto"/>
        <w:jc w:val="both"/>
        <w:rPr>
          <w:rFonts w:ascii="Bookman Old Style" w:hAnsi="Bookman Old Style"/>
          <w:b/>
        </w:rPr>
      </w:pPr>
    </w:p>
    <w:p w:rsidR="008A642B" w:rsidRPr="008A642B" w:rsidRDefault="005801A7" w:rsidP="008A642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En particular, el proyecto de ley tiene por objetivo </w:t>
      </w:r>
      <w:r w:rsidR="00A63092">
        <w:rPr>
          <w:rFonts w:ascii="Bookman Old Style" w:hAnsi="Bookman Old Style"/>
        </w:rPr>
        <w:t xml:space="preserve">modificar la Ley </w:t>
      </w:r>
      <w:r w:rsidR="00805633">
        <w:rPr>
          <w:rFonts w:ascii="Bookman Old Style" w:hAnsi="Bookman Old Style"/>
        </w:rPr>
        <w:t>N°</w:t>
      </w:r>
      <w:r w:rsidR="00A63092">
        <w:rPr>
          <w:rFonts w:ascii="Bookman Old Style" w:hAnsi="Bookman Old Style"/>
        </w:rPr>
        <w:t xml:space="preserve">20.416 que fija normas para las empresas de menor tamaño, creando un numeral 8) nuevo en su artículo noveno, donde se establece el rol de consumidores que tienen las </w:t>
      </w:r>
      <w:r w:rsidR="00A63092" w:rsidRPr="008A642B">
        <w:rPr>
          <w:rFonts w:ascii="Bookman Old Style" w:hAnsi="Bookman Old Style"/>
        </w:rPr>
        <w:t>microempresas,</w:t>
      </w:r>
      <w:r w:rsidR="00625702">
        <w:rPr>
          <w:rFonts w:ascii="Bookman Old Style" w:hAnsi="Bookman Old Style"/>
        </w:rPr>
        <w:t xml:space="preserve"> </w:t>
      </w:r>
      <w:r w:rsidR="00A63092" w:rsidRPr="008A642B">
        <w:rPr>
          <w:rFonts w:ascii="Bookman Old Style" w:hAnsi="Bookman Old Style"/>
        </w:rPr>
        <w:t xml:space="preserve"> las pequeñas empresas </w:t>
      </w:r>
      <w:r w:rsidR="00625702">
        <w:rPr>
          <w:rFonts w:ascii="Bookman Old Style" w:hAnsi="Bookman Old Style"/>
        </w:rPr>
        <w:t xml:space="preserve"> </w:t>
      </w:r>
      <w:r w:rsidR="00A63092" w:rsidRPr="008A642B">
        <w:rPr>
          <w:rFonts w:ascii="Bookman Old Style" w:hAnsi="Bookman Old Style"/>
        </w:rPr>
        <w:t>y las medianas empresas</w:t>
      </w:r>
      <w:r w:rsidR="008A642B" w:rsidRPr="008A642B">
        <w:rPr>
          <w:rFonts w:ascii="Bookman Old Style" w:hAnsi="Bookman Old Style"/>
        </w:rPr>
        <w:t xml:space="preserve">, </w:t>
      </w:r>
      <w:r w:rsidR="00625702">
        <w:rPr>
          <w:rFonts w:ascii="Bookman Old Style" w:hAnsi="Bookman Old Style"/>
        </w:rPr>
        <w:t xml:space="preserve"> </w:t>
      </w:r>
      <w:r w:rsidR="008A642B" w:rsidRPr="008A642B">
        <w:rPr>
          <w:rFonts w:ascii="Bookman Old Style" w:hAnsi="Bookman Old Style"/>
        </w:rPr>
        <w:t xml:space="preserve">para que las sociedades de apoyo al giro bancario, las empresas operadoras de tarjetas de pago, y los proveedores de servicios para el procesamiento de pagos, </w:t>
      </w:r>
      <w:r w:rsidR="008A642B">
        <w:rPr>
          <w:rFonts w:ascii="Bookman Old Style" w:hAnsi="Bookman Old Style"/>
        </w:rPr>
        <w:t>tengan la obligación</w:t>
      </w:r>
      <w:r w:rsidR="008A642B" w:rsidRPr="008A642B">
        <w:rPr>
          <w:rFonts w:ascii="Bookman Old Style" w:hAnsi="Bookman Old Style"/>
        </w:rPr>
        <w:t xml:space="preserve"> </w:t>
      </w:r>
      <w:r w:rsidR="008A642B">
        <w:rPr>
          <w:rFonts w:ascii="Bookman Old Style" w:hAnsi="Bookman Old Style"/>
        </w:rPr>
        <w:t>de</w:t>
      </w:r>
      <w:r w:rsidR="008A642B" w:rsidRPr="008A642B">
        <w:rPr>
          <w:rFonts w:ascii="Bookman Old Style" w:hAnsi="Bookman Old Style"/>
        </w:rPr>
        <w:t xml:space="preserve"> abonar inmediatamente a las microempresas, pequeñas empresas y medianas empresas el dinero que hayan percibido por sus respectivas transacciones comerciales.</w:t>
      </w:r>
    </w:p>
    <w:p w:rsidR="006B6F54" w:rsidRDefault="006B6F54" w:rsidP="008A642B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</w:p>
    <w:p w:rsidR="00773A51" w:rsidRDefault="005801A7" w:rsidP="008A642B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Por consiguiente, y con el mérito de los antecedentes expuestos, vengo en someter a la consideración de ésta Honorable Corporación, el siguiente Proyecto de Ley:</w:t>
      </w:r>
      <w:r w:rsidR="00BF4521">
        <w:rPr>
          <w:rFonts w:ascii="Bookman Old Style" w:hAnsi="Bookman Old Style" w:cs="Arial"/>
          <w:color w:val="000000"/>
        </w:rPr>
        <w:t xml:space="preserve"> </w:t>
      </w:r>
    </w:p>
    <w:p w:rsidR="00773A51" w:rsidRDefault="00773A51" w:rsidP="008A642B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</w:p>
    <w:p w:rsidR="001B7141" w:rsidRDefault="001B7141" w:rsidP="008A642B">
      <w:pPr>
        <w:tabs>
          <w:tab w:val="left" w:pos="709"/>
        </w:tabs>
        <w:spacing w:line="360" w:lineRule="auto"/>
        <w:ind w:firstLine="708"/>
        <w:jc w:val="both"/>
        <w:rPr>
          <w:rFonts w:ascii="Bookman Old Style" w:hAnsi="Bookman Old Style" w:cs="Arial"/>
          <w:color w:val="000000"/>
        </w:rPr>
      </w:pPr>
    </w:p>
    <w:p w:rsidR="00773A51" w:rsidRDefault="005801A7" w:rsidP="008A642B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Proyecto de Ley</w:t>
      </w:r>
    </w:p>
    <w:p w:rsidR="00C66A7B" w:rsidRDefault="00C66A7B" w:rsidP="008A642B">
      <w:pPr>
        <w:spacing w:line="360" w:lineRule="auto"/>
        <w:jc w:val="center"/>
        <w:rPr>
          <w:rFonts w:ascii="Bookman Old Style" w:hAnsi="Bookman Old Style"/>
          <w:b/>
        </w:rPr>
      </w:pPr>
    </w:p>
    <w:p w:rsidR="00C66A7B" w:rsidRDefault="00C66A7B" w:rsidP="008A642B">
      <w:pPr>
        <w:tabs>
          <w:tab w:val="left" w:pos="2771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Artículo Único</w:t>
      </w:r>
      <w:r>
        <w:rPr>
          <w:rFonts w:ascii="Bookman Old Style" w:hAnsi="Bookman Old Style"/>
        </w:rPr>
        <w:t>:</w:t>
      </w:r>
      <w:r w:rsidR="00A63092">
        <w:rPr>
          <w:rFonts w:ascii="Bookman Old Style" w:hAnsi="Bookman Old Style"/>
        </w:rPr>
        <w:t xml:space="preserve"> Modifíquese la Ley N°20.416 que fija normas para las empresas de menor tamaño, de la siguiente manera:</w:t>
      </w:r>
    </w:p>
    <w:p w:rsidR="00A63092" w:rsidRDefault="00A63092" w:rsidP="008A642B">
      <w:pPr>
        <w:tabs>
          <w:tab w:val="left" w:pos="2771"/>
        </w:tabs>
        <w:spacing w:line="360" w:lineRule="auto"/>
        <w:jc w:val="both"/>
        <w:rPr>
          <w:rFonts w:ascii="Bookman Old Style" w:hAnsi="Bookman Old Style"/>
        </w:rPr>
      </w:pPr>
    </w:p>
    <w:p w:rsidR="00A63092" w:rsidRDefault="00A63092" w:rsidP="008A642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1. Agréguese en el Artículo Noveno, un nuevo número 8) que diga lo siguiente:</w:t>
      </w:r>
    </w:p>
    <w:p w:rsidR="00A63092" w:rsidRDefault="00A63092" w:rsidP="008A642B">
      <w:pPr>
        <w:tabs>
          <w:tab w:val="left" w:pos="2771"/>
        </w:tabs>
        <w:spacing w:line="360" w:lineRule="auto"/>
        <w:jc w:val="both"/>
        <w:rPr>
          <w:rFonts w:ascii="Bookman Old Style" w:hAnsi="Bookman Old Style"/>
        </w:rPr>
      </w:pPr>
    </w:p>
    <w:p w:rsidR="002614E6" w:rsidRPr="002614E6" w:rsidRDefault="00C66A7B" w:rsidP="008A642B">
      <w:pPr>
        <w:spacing w:line="360" w:lineRule="auto"/>
        <w:ind w:firstLine="70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“</w:t>
      </w:r>
      <w:r w:rsidRPr="002614E6">
        <w:rPr>
          <w:rFonts w:ascii="Bookman Old Style" w:hAnsi="Bookman Old Style"/>
          <w:i/>
        </w:rPr>
        <w:t>Las sociedades de apoyo al giro bancario, las empresas operadoras de tarjetas de pago, y los proveedores de servicios para el procesamiento de pagos</w:t>
      </w:r>
      <w:r w:rsidR="002614E6" w:rsidRPr="002614E6">
        <w:rPr>
          <w:rFonts w:ascii="Bookman Old Style" w:hAnsi="Bookman Old Style"/>
          <w:i/>
        </w:rPr>
        <w:t xml:space="preserve">, </w:t>
      </w:r>
      <w:r w:rsidR="006B6F54">
        <w:rPr>
          <w:rFonts w:ascii="Bookman Old Style" w:hAnsi="Bookman Old Style"/>
          <w:i/>
        </w:rPr>
        <w:t xml:space="preserve"> </w:t>
      </w:r>
      <w:r w:rsidR="002614E6" w:rsidRPr="002614E6">
        <w:rPr>
          <w:rFonts w:ascii="Bookman Old Style" w:hAnsi="Bookman Old Style"/>
          <w:i/>
        </w:rPr>
        <w:t>estarán</w:t>
      </w:r>
      <w:r w:rsidR="006B6F54">
        <w:rPr>
          <w:rFonts w:ascii="Bookman Old Style" w:hAnsi="Bookman Old Style"/>
          <w:i/>
        </w:rPr>
        <w:t xml:space="preserve"> </w:t>
      </w:r>
      <w:r w:rsidR="002614E6" w:rsidRPr="002614E6">
        <w:rPr>
          <w:rFonts w:ascii="Bookman Old Style" w:hAnsi="Bookman Old Style"/>
          <w:i/>
        </w:rPr>
        <w:t xml:space="preserve"> obligad</w:t>
      </w:r>
      <w:r w:rsidR="00A63092">
        <w:rPr>
          <w:rFonts w:ascii="Bookman Old Style" w:hAnsi="Bookman Old Style"/>
          <w:i/>
        </w:rPr>
        <w:t>a</w:t>
      </w:r>
      <w:r w:rsidR="002614E6" w:rsidRPr="002614E6">
        <w:rPr>
          <w:rFonts w:ascii="Bookman Old Style" w:hAnsi="Bookman Old Style"/>
          <w:i/>
        </w:rPr>
        <w:t xml:space="preserve">s a abonar </w:t>
      </w:r>
      <w:r w:rsidR="00935DFC">
        <w:rPr>
          <w:rFonts w:ascii="Bookman Old Style" w:hAnsi="Bookman Old Style"/>
          <w:i/>
        </w:rPr>
        <w:t>en el acto</w:t>
      </w:r>
      <w:r w:rsidR="002614E6" w:rsidRPr="002614E6">
        <w:rPr>
          <w:rFonts w:ascii="Bookman Old Style" w:hAnsi="Bookman Old Style"/>
          <w:i/>
        </w:rPr>
        <w:t xml:space="preserve"> a </w:t>
      </w:r>
      <w:r w:rsidR="00FE6597">
        <w:rPr>
          <w:rFonts w:ascii="Bookman Old Style" w:hAnsi="Bookman Old Style"/>
          <w:i/>
        </w:rPr>
        <w:t xml:space="preserve">las empresas </w:t>
      </w:r>
      <w:r w:rsidR="00C723AB">
        <w:rPr>
          <w:rFonts w:ascii="Bookman Old Style" w:hAnsi="Bookman Old Style"/>
          <w:i/>
        </w:rPr>
        <w:t xml:space="preserve">señaladas </w:t>
      </w:r>
      <w:r w:rsidR="006B6F54">
        <w:rPr>
          <w:rFonts w:ascii="Bookman Old Style" w:hAnsi="Bookman Old Style"/>
          <w:i/>
        </w:rPr>
        <w:t xml:space="preserve"> </w:t>
      </w:r>
      <w:r w:rsidR="00C723AB">
        <w:rPr>
          <w:rFonts w:ascii="Bookman Old Style" w:hAnsi="Bookman Old Style"/>
          <w:i/>
        </w:rPr>
        <w:t>en esta ley,</w:t>
      </w:r>
      <w:r w:rsidR="002614E6" w:rsidRPr="002614E6">
        <w:rPr>
          <w:rFonts w:ascii="Bookman Old Style" w:hAnsi="Bookman Old Style"/>
          <w:i/>
        </w:rPr>
        <w:t xml:space="preserve"> </w:t>
      </w:r>
      <w:r w:rsidR="006B6F54">
        <w:rPr>
          <w:rFonts w:ascii="Bookman Old Style" w:hAnsi="Bookman Old Style"/>
          <w:i/>
        </w:rPr>
        <w:t xml:space="preserve"> </w:t>
      </w:r>
      <w:r w:rsidR="002614E6" w:rsidRPr="002614E6">
        <w:rPr>
          <w:rFonts w:ascii="Bookman Old Style" w:hAnsi="Bookman Old Style"/>
          <w:i/>
        </w:rPr>
        <w:t xml:space="preserve">el </w:t>
      </w:r>
      <w:r w:rsidR="006B6F54">
        <w:rPr>
          <w:rFonts w:ascii="Bookman Old Style" w:hAnsi="Bookman Old Style"/>
          <w:i/>
        </w:rPr>
        <w:t xml:space="preserve"> </w:t>
      </w:r>
      <w:r w:rsidR="002614E6" w:rsidRPr="002614E6">
        <w:rPr>
          <w:rFonts w:ascii="Bookman Old Style" w:hAnsi="Bookman Old Style"/>
          <w:i/>
        </w:rPr>
        <w:t xml:space="preserve">dinero que hayan percibido por sus </w:t>
      </w:r>
      <w:r w:rsidR="00A63092">
        <w:rPr>
          <w:rFonts w:ascii="Bookman Old Style" w:hAnsi="Bookman Old Style"/>
          <w:i/>
        </w:rPr>
        <w:t xml:space="preserve">respectivas </w:t>
      </w:r>
      <w:r w:rsidR="002614E6" w:rsidRPr="002614E6">
        <w:rPr>
          <w:rFonts w:ascii="Bookman Old Style" w:hAnsi="Bookman Old Style"/>
          <w:i/>
        </w:rPr>
        <w:t>transacciones</w:t>
      </w:r>
      <w:r w:rsidR="00C723AB">
        <w:rPr>
          <w:rFonts w:ascii="Bookman Old Style" w:hAnsi="Bookman Old Style"/>
          <w:i/>
        </w:rPr>
        <w:t xml:space="preserve"> </w:t>
      </w:r>
      <w:r w:rsidR="00A63092">
        <w:rPr>
          <w:rFonts w:ascii="Bookman Old Style" w:hAnsi="Bookman Old Style"/>
          <w:i/>
        </w:rPr>
        <w:t>comerciales</w:t>
      </w:r>
      <w:r w:rsidR="002614E6" w:rsidRPr="002614E6">
        <w:rPr>
          <w:rFonts w:ascii="Bookman Old Style" w:hAnsi="Bookman Old Style"/>
          <w:i/>
        </w:rPr>
        <w:t>.</w:t>
      </w:r>
    </w:p>
    <w:p w:rsidR="00C66A7B" w:rsidRPr="002614E6" w:rsidRDefault="002614E6" w:rsidP="008A642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614E6">
        <w:rPr>
          <w:rFonts w:ascii="Bookman Old Style" w:hAnsi="Bookman Old Style"/>
          <w:i/>
        </w:rPr>
        <w:lastRenderedPageBreak/>
        <w:t xml:space="preserve">La Superintendencia de Bancos e Instituciones Financieras, o la Comisión para el Mercado Financiero, </w:t>
      </w:r>
      <w:r w:rsidR="006B6F54">
        <w:rPr>
          <w:rFonts w:ascii="Bookman Old Style" w:hAnsi="Bookman Old Style"/>
          <w:i/>
        </w:rPr>
        <w:t xml:space="preserve"> </w:t>
      </w:r>
      <w:r w:rsidRPr="002614E6">
        <w:rPr>
          <w:rFonts w:ascii="Bookman Old Style" w:hAnsi="Bookman Old Style"/>
          <w:i/>
        </w:rPr>
        <w:t xml:space="preserve">en su defecto, estarán encargados </w:t>
      </w:r>
      <w:r w:rsidR="006B6F54">
        <w:rPr>
          <w:rFonts w:ascii="Bookman Old Style" w:hAnsi="Bookman Old Style"/>
          <w:i/>
        </w:rPr>
        <w:t xml:space="preserve"> </w:t>
      </w:r>
      <w:r w:rsidRPr="002614E6">
        <w:rPr>
          <w:rFonts w:ascii="Bookman Old Style" w:hAnsi="Bookman Old Style"/>
          <w:i/>
        </w:rPr>
        <w:t xml:space="preserve">de fiscalizar el cumplimiento de lo señalado en el inciso anterior, pudiendo dictar </w:t>
      </w:r>
      <w:r w:rsidR="00935DFC">
        <w:rPr>
          <w:rFonts w:ascii="Bookman Old Style" w:hAnsi="Bookman Old Style"/>
          <w:i/>
        </w:rPr>
        <w:t xml:space="preserve">circulares y </w:t>
      </w:r>
      <w:r w:rsidRPr="002614E6">
        <w:rPr>
          <w:rFonts w:ascii="Bookman Old Style" w:hAnsi="Bookman Old Style"/>
          <w:i/>
        </w:rPr>
        <w:t>normas generales de carácter obligatorio para dichas entidades</w:t>
      </w:r>
      <w:r>
        <w:rPr>
          <w:rFonts w:ascii="Bookman Old Style" w:hAnsi="Bookman Old Style"/>
        </w:rPr>
        <w:t xml:space="preserve">”. </w:t>
      </w:r>
    </w:p>
    <w:p w:rsidR="00773A51" w:rsidRDefault="00773A51">
      <w:pPr>
        <w:spacing w:line="360" w:lineRule="auto"/>
        <w:jc w:val="center"/>
        <w:rPr>
          <w:rFonts w:ascii="Bookman Old Style" w:hAnsi="Bookman Old Style"/>
          <w:b/>
        </w:rPr>
      </w:pPr>
    </w:p>
    <w:p w:rsidR="00FF1956" w:rsidRPr="00FF1956" w:rsidRDefault="00FF1956" w:rsidP="00FF1956">
      <w:pPr>
        <w:spacing w:line="360" w:lineRule="auto"/>
        <w:jc w:val="both"/>
        <w:rPr>
          <w:rFonts w:ascii="Bookman Old Style" w:hAnsi="Bookman Old Style"/>
          <w:i/>
          <w:lang w:val="es-CL"/>
        </w:rPr>
      </w:pPr>
    </w:p>
    <w:p w:rsidR="00FF1956" w:rsidRDefault="00FF1956" w:rsidP="0083330B">
      <w:pPr>
        <w:spacing w:line="276" w:lineRule="auto"/>
        <w:jc w:val="center"/>
        <w:rPr>
          <w:rFonts w:ascii="Bookman Old Style" w:hAnsi="Bookman Old Style"/>
        </w:rPr>
      </w:pPr>
    </w:p>
    <w:p w:rsidR="008A642B" w:rsidRDefault="008A642B" w:rsidP="0083330B">
      <w:pPr>
        <w:spacing w:line="276" w:lineRule="auto"/>
        <w:jc w:val="center"/>
        <w:rPr>
          <w:rFonts w:ascii="Bookman Old Style" w:hAnsi="Bookman Old Style"/>
        </w:rPr>
      </w:pPr>
    </w:p>
    <w:p w:rsidR="008A642B" w:rsidRDefault="008A642B" w:rsidP="0083330B">
      <w:pPr>
        <w:spacing w:line="276" w:lineRule="auto"/>
        <w:jc w:val="center"/>
        <w:rPr>
          <w:rFonts w:ascii="Bookman Old Style" w:hAnsi="Bookman Old Style"/>
        </w:rPr>
      </w:pPr>
    </w:p>
    <w:p w:rsidR="00773A51" w:rsidRDefault="005801A7" w:rsidP="0083330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Cristóbal Urruticoechea</w:t>
      </w:r>
      <w:r w:rsidR="00FF1956">
        <w:rPr>
          <w:rFonts w:ascii="Bookman Old Style" w:hAnsi="Bookman Old Style"/>
          <w:b/>
        </w:rPr>
        <w:t xml:space="preserve"> Ríos</w:t>
      </w:r>
    </w:p>
    <w:p w:rsidR="00FF1956" w:rsidRDefault="005D63CE" w:rsidP="0083330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H. </w:t>
      </w:r>
      <w:r w:rsidR="005801A7">
        <w:rPr>
          <w:rFonts w:ascii="Bookman Old Style" w:hAnsi="Bookman Old Style"/>
          <w:b/>
        </w:rPr>
        <w:t>Diputado de la República</w:t>
      </w:r>
    </w:p>
    <w:p w:rsidR="005D63CE" w:rsidRDefault="005D63CE" w:rsidP="0083330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5D63CE" w:rsidRDefault="005D63CE" w:rsidP="0083330B">
      <w:pPr>
        <w:spacing w:line="276" w:lineRule="auto"/>
        <w:jc w:val="center"/>
        <w:rPr>
          <w:rFonts w:ascii="Bookman Old Style" w:hAnsi="Bookman Old Style"/>
          <w:b/>
        </w:rPr>
      </w:pPr>
    </w:p>
    <w:p w:rsidR="005D63CE" w:rsidRDefault="005D63CE" w:rsidP="0083330B">
      <w:pPr>
        <w:spacing w:line="276" w:lineRule="auto"/>
        <w:jc w:val="center"/>
        <w:rPr>
          <w:rFonts w:ascii="Bookman Old Style" w:hAnsi="Bookman Old Style"/>
          <w:b/>
        </w:rPr>
      </w:pPr>
    </w:p>
    <w:p w:rsidR="00A16FDF" w:rsidRDefault="00A16FDF" w:rsidP="0083330B">
      <w:pPr>
        <w:spacing w:line="276" w:lineRule="auto"/>
        <w:jc w:val="center"/>
        <w:rPr>
          <w:rFonts w:ascii="Bookman Old Style" w:hAnsi="Bookman Old Style"/>
          <w:b/>
        </w:rPr>
      </w:pPr>
    </w:p>
    <w:p w:rsidR="00773A51" w:rsidRDefault="00773A51" w:rsidP="00A16FDF">
      <w:pPr>
        <w:spacing w:line="276" w:lineRule="auto"/>
        <w:jc w:val="center"/>
        <w:rPr>
          <w:rFonts w:ascii="Bookman Old Style" w:hAnsi="Bookman Old Style"/>
        </w:rPr>
      </w:pPr>
    </w:p>
    <w:sectPr w:rsidR="00773A51" w:rsidSect="00625702">
      <w:headerReference w:type="default" r:id="rId9"/>
      <w:footerReference w:type="default" r:id="rId10"/>
      <w:endnotePr>
        <w:numFmt w:val="decimal"/>
      </w:endnotePr>
      <w:pgSz w:w="12242" w:h="18722" w:code="14"/>
      <w:pgMar w:top="1418" w:right="1701" w:bottom="2835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4B" w:rsidRDefault="0036544B">
      <w:r>
        <w:separator/>
      </w:r>
    </w:p>
  </w:endnote>
  <w:endnote w:type="continuationSeparator" w:id="0">
    <w:p w:rsidR="0036544B" w:rsidRDefault="0036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9" w:rsidRDefault="00A61479">
    <w:pPr>
      <w:spacing w:line="276" w:lineRule="auto"/>
      <w:jc w:val="center"/>
      <w:rPr>
        <w:rFonts w:ascii="Bookman Old Style" w:hAnsi="Bookman Old Style"/>
        <w:b/>
        <w:sz w:val="20"/>
        <w:lang w:val="es-CL"/>
      </w:rPr>
    </w:pPr>
  </w:p>
  <w:p w:rsidR="00A61479" w:rsidRDefault="00A614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4B" w:rsidRDefault="0036544B">
      <w:r>
        <w:separator/>
      </w:r>
    </w:p>
  </w:footnote>
  <w:footnote w:type="continuationSeparator" w:id="0">
    <w:p w:rsidR="0036544B" w:rsidRDefault="0036544B">
      <w:r>
        <w:continuationSeparator/>
      </w:r>
    </w:p>
  </w:footnote>
  <w:footnote w:id="1">
    <w:p w:rsidR="005D63CE" w:rsidRDefault="005D63CE" w:rsidP="005D63CE">
      <w:pPr>
        <w:pStyle w:val="Textonotapie"/>
        <w:spacing w:line="276" w:lineRule="auto"/>
        <w:jc w:val="both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5393E">
          <w:rPr>
            <w:rStyle w:val="Hipervnculo"/>
            <w:rFonts w:ascii="Bookman Old Style" w:hAnsi="Bookman Old Style"/>
            <w:sz w:val="22"/>
          </w:rPr>
          <w:t>https://www.sbif.cl/sbifweb/servlet/Biblioteca?indice=6.3.1&amp;idCategoria=557</w:t>
        </w:r>
      </w:hyperlink>
      <w:r w:rsidRPr="0075393E">
        <w:rPr>
          <w:sz w:val="22"/>
        </w:rPr>
        <w:t xml:space="preserve"> </w:t>
      </w:r>
      <w:r w:rsidRPr="00C42B0F">
        <w:rPr>
          <w:rFonts w:ascii="Bookman Old Style" w:hAnsi="Bookman Old Style"/>
          <w:sz w:val="22"/>
        </w:rPr>
        <w:t>[Última revisión el 27 de marzo de 2019].</w:t>
      </w:r>
      <w:r>
        <w:rPr>
          <w:rFonts w:ascii="Bookman Old Style" w:hAnsi="Bookman Old Style"/>
          <w:sz w:val="22"/>
        </w:rPr>
        <w:t xml:space="preserve"> </w:t>
      </w:r>
    </w:p>
  </w:footnote>
  <w:footnote w:id="2">
    <w:p w:rsidR="005D63CE" w:rsidRDefault="005D63CE" w:rsidP="005D63CE">
      <w:pPr>
        <w:pStyle w:val="Textonotapie"/>
        <w:spacing w:line="276" w:lineRule="auto"/>
        <w:jc w:val="both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4D24DF">
          <w:rPr>
            <w:rStyle w:val="Hipervnculo"/>
            <w:rFonts w:ascii="Bookman Old Style" w:hAnsi="Bookman Old Style"/>
            <w:sz w:val="22"/>
          </w:rPr>
          <w:t>https://www.bnamericas.com/company-profile/es/transbank-sa-transbank</w:t>
        </w:r>
      </w:hyperlink>
      <w:r w:rsidRPr="004D24DF">
        <w:rPr>
          <w:sz w:val="22"/>
        </w:rPr>
        <w:t xml:space="preserve"> </w:t>
      </w:r>
      <w:r w:rsidRPr="00C42B0F">
        <w:rPr>
          <w:rFonts w:ascii="Bookman Old Style" w:hAnsi="Bookman Old Style"/>
          <w:sz w:val="22"/>
        </w:rPr>
        <w:t>[Última revisión el 27 de marzo de 2019].</w:t>
      </w:r>
      <w:r>
        <w:rPr>
          <w:sz w:val="22"/>
        </w:rPr>
        <w:t xml:space="preserve"> </w:t>
      </w:r>
    </w:p>
  </w:footnote>
  <w:footnote w:id="3">
    <w:p w:rsidR="005D63CE" w:rsidRPr="00671EDF" w:rsidRDefault="005D63CE" w:rsidP="005D63CE">
      <w:pPr>
        <w:pStyle w:val="Textonotapie"/>
        <w:spacing w:line="276" w:lineRule="auto"/>
        <w:jc w:val="both"/>
        <w:rPr>
          <w:rFonts w:ascii="Bookman Old Style" w:hAnsi="Bookman Old Style"/>
          <w:sz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ookman Old Style" w:hAnsi="Bookman Old Style"/>
          <w:sz w:val="22"/>
        </w:rPr>
        <w:t xml:space="preserve">YRARRÁZAVAL C., Arturo, </w:t>
      </w:r>
      <w:r>
        <w:rPr>
          <w:rFonts w:ascii="Bookman Old Style" w:hAnsi="Bookman Old Style"/>
          <w:i/>
          <w:sz w:val="22"/>
        </w:rPr>
        <w:t xml:space="preserve">Manual de Derecho Económico </w:t>
      </w:r>
      <w:r>
        <w:rPr>
          <w:rFonts w:ascii="Bookman Old Style" w:hAnsi="Bookman Old Style"/>
          <w:sz w:val="22"/>
        </w:rPr>
        <w:t>(Santiago de Chile, Ediciones Universidad Católica de Chile, 2018), página 253.</w:t>
      </w:r>
    </w:p>
  </w:footnote>
  <w:footnote w:id="4">
    <w:p w:rsidR="005D63CE" w:rsidRPr="00671EDF" w:rsidRDefault="005D63CE" w:rsidP="005D63CE">
      <w:pPr>
        <w:pStyle w:val="Textonotapie"/>
        <w:spacing w:line="276" w:lineRule="auto"/>
        <w:jc w:val="both"/>
        <w:rPr>
          <w:rFonts w:ascii="Bookman Old Style" w:hAnsi="Bookman Old Style"/>
          <w:sz w:val="22"/>
        </w:rPr>
      </w:pPr>
      <w:r>
        <w:rPr>
          <w:rStyle w:val="Refdenotaalpie"/>
        </w:rPr>
        <w:footnoteRef/>
      </w:r>
      <w:hyperlink r:id="rId3" w:anchor="SAG-nota" w:history="1">
        <w:r w:rsidRPr="007A0AF5">
          <w:rPr>
            <w:rStyle w:val="Hipervnculo"/>
            <w:rFonts w:ascii="Bookman Old Style" w:hAnsi="Bookman Old Style"/>
            <w:sz w:val="22"/>
          </w:rPr>
          <w:t>https://www.sbif.cl/sbifweb/servlet/ConozcaSBIF?indice=7.5.1.1&amp;idContenido=483#SAG-nota</w:t>
        </w:r>
      </w:hyperlink>
      <w:r>
        <w:rPr>
          <w:rFonts w:ascii="Bookman Old Style" w:hAnsi="Bookman Old Style"/>
          <w:sz w:val="22"/>
        </w:rPr>
        <w:t xml:space="preserve"> </w:t>
      </w:r>
      <w:r w:rsidRPr="00C42B0F">
        <w:rPr>
          <w:rFonts w:ascii="Bookman Old Style" w:hAnsi="Bookman Old Style"/>
          <w:sz w:val="22"/>
        </w:rPr>
        <w:t>[Última revisión el 27 de marzo de 2019].</w:t>
      </w:r>
      <w:r>
        <w:rPr>
          <w:rFonts w:ascii="Bookman Old Style" w:hAnsi="Bookman Old Style"/>
          <w:sz w:val="22"/>
        </w:rPr>
        <w:t xml:space="preserve"> </w:t>
      </w:r>
    </w:p>
  </w:footnote>
  <w:footnote w:id="5">
    <w:p w:rsidR="005D63CE" w:rsidRDefault="005D63CE" w:rsidP="005D63CE">
      <w:pPr>
        <w:pStyle w:val="Textonotapie"/>
        <w:spacing w:line="276" w:lineRule="auto"/>
        <w:jc w:val="both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C42B0F">
          <w:rPr>
            <w:rStyle w:val="Hipervnculo"/>
            <w:rFonts w:ascii="Bookman Old Style" w:hAnsi="Bookman Old Style"/>
            <w:sz w:val="22"/>
          </w:rPr>
          <w:t>https://www.transbank.cl/web/productos-y-servicios/soluciones-para-ventas-presenciales</w:t>
        </w:r>
      </w:hyperlink>
      <w:r w:rsidRPr="00C42B0F">
        <w:rPr>
          <w:sz w:val="22"/>
        </w:rPr>
        <w:t xml:space="preserve"> </w:t>
      </w:r>
      <w:r w:rsidRPr="00C42B0F">
        <w:rPr>
          <w:rFonts w:ascii="Bookman Old Style" w:hAnsi="Bookman Old Style"/>
          <w:sz w:val="22"/>
        </w:rPr>
        <w:t>[Última revisión el 27 de marzo de 2019].</w:t>
      </w:r>
      <w:r>
        <w:rPr>
          <w:rFonts w:ascii="Bookman Old Style" w:hAnsi="Bookman Old Style"/>
          <w:sz w:val="22"/>
        </w:rPr>
        <w:t xml:space="preserve"> </w:t>
      </w:r>
    </w:p>
  </w:footnote>
  <w:footnote w:id="6">
    <w:p w:rsidR="00A16FDF" w:rsidRPr="00A16FDF" w:rsidRDefault="00A16FDF" w:rsidP="00A16FDF">
      <w:pPr>
        <w:pStyle w:val="HTMLconformatoprevio"/>
        <w:shd w:val="clear" w:color="auto" w:fill="FFFFFF"/>
        <w:spacing w:line="276" w:lineRule="auto"/>
        <w:jc w:val="both"/>
        <w:rPr>
          <w:rFonts w:ascii="Bookman Old Style" w:hAnsi="Bookman Old Style"/>
          <w:sz w:val="22"/>
          <w:lang w:eastAsia="es-CL"/>
        </w:rPr>
      </w:pPr>
      <w:r>
        <w:rPr>
          <w:rStyle w:val="Refdenotaalpie"/>
        </w:rPr>
        <w:footnoteRef/>
      </w:r>
      <w:r>
        <w:t xml:space="preserve"> </w:t>
      </w:r>
      <w:r w:rsidRPr="00A16FDF">
        <w:rPr>
          <w:rFonts w:ascii="Bookman Old Style" w:hAnsi="Bookman Old Style"/>
          <w:sz w:val="22"/>
        </w:rPr>
        <w:t xml:space="preserve">Según el artículo 1° número 2 de la Ley </w:t>
      </w:r>
      <w:r w:rsidR="008A642B">
        <w:rPr>
          <w:rFonts w:ascii="Bookman Old Style" w:hAnsi="Bookman Old Style"/>
          <w:sz w:val="22"/>
        </w:rPr>
        <w:t>N°</w:t>
      </w:r>
      <w:r w:rsidRPr="00A16FDF">
        <w:rPr>
          <w:rFonts w:ascii="Bookman Old Style" w:hAnsi="Bookman Old Style"/>
          <w:sz w:val="22"/>
        </w:rPr>
        <w:t>19.496 sobre Protección de los Derechos de</w:t>
      </w:r>
      <w:r>
        <w:rPr>
          <w:rFonts w:ascii="Bookman Old Style" w:hAnsi="Bookman Old Style"/>
          <w:sz w:val="22"/>
        </w:rPr>
        <w:t xml:space="preserve"> </w:t>
      </w:r>
      <w:r w:rsidRPr="00A16FDF">
        <w:rPr>
          <w:rFonts w:ascii="Bookman Old Style" w:hAnsi="Bookman Old Style"/>
          <w:sz w:val="22"/>
        </w:rPr>
        <w:t xml:space="preserve">los Consumidores </w:t>
      </w:r>
      <w:r>
        <w:rPr>
          <w:rFonts w:ascii="Bookman Old Style" w:hAnsi="Bookman Old Style"/>
          <w:sz w:val="22"/>
        </w:rPr>
        <w:t>define a los p</w:t>
      </w:r>
      <w:r w:rsidRPr="00A16FDF">
        <w:rPr>
          <w:rFonts w:ascii="Bookman Old Style" w:hAnsi="Bookman Old Style"/>
          <w:sz w:val="22"/>
          <w:lang w:eastAsia="es-CL"/>
        </w:rPr>
        <w:t>roveedores</w:t>
      </w:r>
      <w:r>
        <w:rPr>
          <w:rFonts w:ascii="Bookman Old Style" w:hAnsi="Bookman Old Style"/>
          <w:sz w:val="22"/>
          <w:lang w:eastAsia="es-CL"/>
        </w:rPr>
        <w:t xml:space="preserve"> como</w:t>
      </w:r>
      <w:r w:rsidRPr="00A16FDF">
        <w:rPr>
          <w:rFonts w:ascii="Bookman Old Style" w:hAnsi="Bookman Old Style"/>
          <w:sz w:val="22"/>
          <w:lang w:eastAsia="es-CL"/>
        </w:rPr>
        <w:t xml:space="preserve">: </w:t>
      </w:r>
      <w:r>
        <w:rPr>
          <w:rFonts w:ascii="Bookman Old Style" w:hAnsi="Bookman Old Style"/>
          <w:sz w:val="22"/>
          <w:lang w:eastAsia="es-CL"/>
        </w:rPr>
        <w:t>“</w:t>
      </w:r>
      <w:r w:rsidRPr="00A16FDF">
        <w:rPr>
          <w:rFonts w:ascii="Bookman Old Style" w:hAnsi="Bookman Old Style"/>
          <w:i/>
          <w:sz w:val="22"/>
          <w:lang w:eastAsia="es-CL"/>
        </w:rPr>
        <w:t>las personas naturales o jurídicas, de carácter público o privado, que habitualmente desarrollen actividades de producción, fabricación, importación, construcción, distribución o comercialización de bienes o de prestación de servicios a consumidores, por las que se cobre precio o tarifa</w:t>
      </w:r>
      <w:r>
        <w:rPr>
          <w:rFonts w:ascii="Bookman Old Style" w:hAnsi="Bookman Old Style"/>
          <w:sz w:val="22"/>
          <w:lang w:eastAsia="es-CL"/>
        </w:rPr>
        <w:t>”</w:t>
      </w:r>
      <w:r w:rsidRPr="00A16FDF">
        <w:rPr>
          <w:rFonts w:ascii="Bookman Old Style" w:hAnsi="Bookman Old Style"/>
          <w:sz w:val="22"/>
          <w:lang w:eastAsia="es-CL"/>
        </w:rPr>
        <w:t>.</w:t>
      </w:r>
    </w:p>
    <w:p w:rsidR="00A16FDF" w:rsidRPr="00A16FDF" w:rsidRDefault="00A16FDF">
      <w:pPr>
        <w:pStyle w:val="Textonotapie"/>
        <w:rPr>
          <w:lang w:val="es-CL"/>
        </w:rPr>
      </w:pPr>
    </w:p>
  </w:footnote>
  <w:footnote w:id="7">
    <w:p w:rsidR="00805633" w:rsidRPr="00805633" w:rsidRDefault="00805633" w:rsidP="00805633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hyperlink r:id="rId5" w:history="1">
        <w:r w:rsidRPr="00451A8C">
          <w:rPr>
            <w:rStyle w:val="Hipervnculo"/>
            <w:rFonts w:ascii="Bookman Old Style" w:hAnsi="Bookman Old Style"/>
            <w:sz w:val="22"/>
          </w:rPr>
          <w:t>http://www.elmercurio.com/legal/movil/detalle.aspx?Id=900465&amp;Path=/0D/BD/</w:t>
        </w:r>
      </w:hyperlink>
      <w:r w:rsidRPr="00805633">
        <w:rPr>
          <w:sz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9" w:rsidRDefault="00A61479">
    <w:pPr>
      <w:pStyle w:val="Encabezado"/>
      <w:jc w:val="center"/>
      <w:rPr>
        <w:sz w:val="22"/>
      </w:rPr>
    </w:pPr>
    <w:r>
      <w:rPr>
        <w:noProof/>
        <w:lang w:eastAsia="es-ES"/>
      </w:rPr>
      <w:drawing>
        <wp:inline distT="0" distB="0" distL="0" distR="0">
          <wp:extent cx="1155700" cy="1155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6_YDRG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HAcAABwH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A61479" w:rsidRDefault="00A61479">
    <w:pPr>
      <w:pStyle w:val="Encabezad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86F"/>
    <w:multiLevelType w:val="hybridMultilevel"/>
    <w:tmpl w:val="DD70CC8E"/>
    <w:name w:val="Lista numerada 2"/>
    <w:lvl w:ilvl="0" w:tplc="1B783A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218E98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33A5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8763EB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3647A9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75C8E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FA64D3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E001F8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E3C84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2C1B3CBD"/>
    <w:multiLevelType w:val="hybridMultilevel"/>
    <w:tmpl w:val="DDA47C80"/>
    <w:name w:val="Lista numerada 9"/>
    <w:lvl w:ilvl="0" w:tplc="9EA010B4">
      <w:start w:val="5"/>
      <w:numFmt w:val="decimal"/>
      <w:lvlText w:val="%1."/>
      <w:lvlJc w:val="left"/>
      <w:pPr>
        <w:ind w:left="1080" w:firstLine="0"/>
      </w:pPr>
      <w:rPr>
        <w:u w:val="none"/>
      </w:rPr>
    </w:lvl>
    <w:lvl w:ilvl="1" w:tplc="27541750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A526543E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4E466CB8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5EFC575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A23EBA8C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031C9450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4344DE0E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7C566B7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2">
    <w:nsid w:val="3F6955EF"/>
    <w:multiLevelType w:val="hybridMultilevel"/>
    <w:tmpl w:val="E2AC7114"/>
    <w:name w:val="Lista numerada 5"/>
    <w:lvl w:ilvl="0" w:tplc="A32A2A0A">
      <w:start w:val="1"/>
      <w:numFmt w:val="upperRoman"/>
      <w:lvlText w:val="%1."/>
      <w:lvlJc w:val="left"/>
      <w:pPr>
        <w:ind w:left="360" w:firstLine="0"/>
      </w:pPr>
    </w:lvl>
    <w:lvl w:ilvl="1" w:tplc="2F3ECF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8F82E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AE263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500C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4081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6A87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4020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A70AE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4A6F4586"/>
    <w:multiLevelType w:val="hybridMultilevel"/>
    <w:tmpl w:val="F6B07CA0"/>
    <w:name w:val="Lista numerada 7"/>
    <w:lvl w:ilvl="0" w:tplc="8772A0F0">
      <w:start w:val="1"/>
      <w:numFmt w:val="decimal"/>
      <w:lvlText w:val="%1)"/>
      <w:lvlJc w:val="left"/>
      <w:pPr>
        <w:ind w:left="708" w:firstLine="0"/>
      </w:pPr>
    </w:lvl>
    <w:lvl w:ilvl="1" w:tplc="C4A20EAE">
      <w:start w:val="1"/>
      <w:numFmt w:val="lowerLetter"/>
      <w:lvlText w:val="%2."/>
      <w:lvlJc w:val="left"/>
      <w:pPr>
        <w:ind w:left="1428" w:firstLine="0"/>
      </w:pPr>
    </w:lvl>
    <w:lvl w:ilvl="2" w:tplc="81D420A8">
      <w:start w:val="1"/>
      <w:numFmt w:val="lowerRoman"/>
      <w:lvlText w:val="%3."/>
      <w:lvlJc w:val="left"/>
      <w:pPr>
        <w:ind w:left="2328" w:firstLine="0"/>
      </w:pPr>
    </w:lvl>
    <w:lvl w:ilvl="3" w:tplc="2C1453E8">
      <w:start w:val="1"/>
      <w:numFmt w:val="decimal"/>
      <w:lvlText w:val="%4."/>
      <w:lvlJc w:val="left"/>
      <w:pPr>
        <w:ind w:left="2868" w:firstLine="0"/>
      </w:pPr>
    </w:lvl>
    <w:lvl w:ilvl="4" w:tplc="52D08B9A">
      <w:start w:val="1"/>
      <w:numFmt w:val="lowerLetter"/>
      <w:lvlText w:val="%5."/>
      <w:lvlJc w:val="left"/>
      <w:pPr>
        <w:ind w:left="3588" w:firstLine="0"/>
      </w:pPr>
    </w:lvl>
    <w:lvl w:ilvl="5" w:tplc="F5B6F118">
      <w:start w:val="1"/>
      <w:numFmt w:val="lowerRoman"/>
      <w:lvlText w:val="%6."/>
      <w:lvlJc w:val="left"/>
      <w:pPr>
        <w:ind w:left="4488" w:firstLine="0"/>
      </w:pPr>
    </w:lvl>
    <w:lvl w:ilvl="6" w:tplc="E15E7DF0">
      <w:start w:val="1"/>
      <w:numFmt w:val="decimal"/>
      <w:lvlText w:val="%7."/>
      <w:lvlJc w:val="left"/>
      <w:pPr>
        <w:ind w:left="5028" w:firstLine="0"/>
      </w:pPr>
    </w:lvl>
    <w:lvl w:ilvl="7" w:tplc="D584BD02">
      <w:start w:val="1"/>
      <w:numFmt w:val="lowerLetter"/>
      <w:lvlText w:val="%8."/>
      <w:lvlJc w:val="left"/>
      <w:pPr>
        <w:ind w:left="5748" w:firstLine="0"/>
      </w:pPr>
    </w:lvl>
    <w:lvl w:ilvl="8" w:tplc="7A045422">
      <w:start w:val="1"/>
      <w:numFmt w:val="lowerRoman"/>
      <w:lvlText w:val="%9."/>
      <w:lvlJc w:val="left"/>
      <w:pPr>
        <w:ind w:left="6648" w:firstLine="0"/>
      </w:pPr>
    </w:lvl>
  </w:abstractNum>
  <w:abstractNum w:abstractNumId="4">
    <w:nsid w:val="4FFD6405"/>
    <w:multiLevelType w:val="hybridMultilevel"/>
    <w:tmpl w:val="A8680832"/>
    <w:name w:val="Lista numerada 4"/>
    <w:lvl w:ilvl="0" w:tplc="AF468D26">
      <w:start w:val="1"/>
      <w:numFmt w:val="decimal"/>
      <w:lvlText w:val="%1."/>
      <w:lvlJc w:val="left"/>
      <w:pPr>
        <w:ind w:left="360" w:firstLine="0"/>
      </w:pPr>
    </w:lvl>
    <w:lvl w:ilvl="1" w:tplc="84D67C86">
      <w:start w:val="1"/>
      <w:numFmt w:val="lowerLetter"/>
      <w:lvlText w:val="%2."/>
      <w:lvlJc w:val="left"/>
      <w:pPr>
        <w:ind w:left="1080" w:firstLine="0"/>
      </w:pPr>
    </w:lvl>
    <w:lvl w:ilvl="2" w:tplc="BC8E2E0A">
      <w:start w:val="1"/>
      <w:numFmt w:val="lowerRoman"/>
      <w:lvlText w:val="%3."/>
      <w:lvlJc w:val="left"/>
      <w:pPr>
        <w:ind w:left="1980" w:firstLine="0"/>
      </w:pPr>
    </w:lvl>
    <w:lvl w:ilvl="3" w:tplc="B3CC0F08">
      <w:start w:val="1"/>
      <w:numFmt w:val="decimal"/>
      <w:lvlText w:val="%4."/>
      <w:lvlJc w:val="left"/>
      <w:pPr>
        <w:ind w:left="2520" w:firstLine="0"/>
      </w:pPr>
    </w:lvl>
    <w:lvl w:ilvl="4" w:tplc="002CD918">
      <w:start w:val="1"/>
      <w:numFmt w:val="lowerLetter"/>
      <w:lvlText w:val="%5."/>
      <w:lvlJc w:val="left"/>
      <w:pPr>
        <w:ind w:left="3240" w:firstLine="0"/>
      </w:pPr>
    </w:lvl>
    <w:lvl w:ilvl="5" w:tplc="0BFE4C70">
      <w:start w:val="1"/>
      <w:numFmt w:val="lowerRoman"/>
      <w:lvlText w:val="%6."/>
      <w:lvlJc w:val="left"/>
      <w:pPr>
        <w:ind w:left="4140" w:firstLine="0"/>
      </w:pPr>
    </w:lvl>
    <w:lvl w:ilvl="6" w:tplc="BE2C221C">
      <w:start w:val="1"/>
      <w:numFmt w:val="decimal"/>
      <w:lvlText w:val="%7."/>
      <w:lvlJc w:val="left"/>
      <w:pPr>
        <w:ind w:left="4680" w:firstLine="0"/>
      </w:pPr>
    </w:lvl>
    <w:lvl w:ilvl="7" w:tplc="0B24D086">
      <w:start w:val="1"/>
      <w:numFmt w:val="lowerLetter"/>
      <w:lvlText w:val="%8."/>
      <w:lvlJc w:val="left"/>
      <w:pPr>
        <w:ind w:left="5400" w:firstLine="0"/>
      </w:pPr>
    </w:lvl>
    <w:lvl w:ilvl="8" w:tplc="205CEE1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1A57777"/>
    <w:multiLevelType w:val="hybridMultilevel"/>
    <w:tmpl w:val="AF4A5A1C"/>
    <w:name w:val="Lista numerada 6"/>
    <w:lvl w:ilvl="0" w:tplc="65FE3C78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5114C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7C39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30422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ECF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A611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02C9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7469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98A6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5C685A7F"/>
    <w:multiLevelType w:val="hybridMultilevel"/>
    <w:tmpl w:val="9A7C0FA8"/>
    <w:lvl w:ilvl="0" w:tplc="C5389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175A9"/>
    <w:multiLevelType w:val="hybridMultilevel"/>
    <w:tmpl w:val="6C8A62EC"/>
    <w:lvl w:ilvl="0" w:tplc="5B3EB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221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2A72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E2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042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E6D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14E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7CE3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EC18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ED25DAB"/>
    <w:multiLevelType w:val="hybridMultilevel"/>
    <w:tmpl w:val="87A8A716"/>
    <w:name w:val="Lista numerada 10"/>
    <w:lvl w:ilvl="0" w:tplc="7122AE06">
      <w:start w:val="1"/>
      <w:numFmt w:val="decimal"/>
      <w:lvlText w:val="%1)"/>
      <w:lvlJc w:val="left"/>
      <w:pPr>
        <w:ind w:left="360" w:firstLine="0"/>
      </w:pPr>
    </w:lvl>
    <w:lvl w:ilvl="1" w:tplc="AD5AC6D6">
      <w:start w:val="1"/>
      <w:numFmt w:val="lowerLetter"/>
      <w:lvlText w:val="%2."/>
      <w:lvlJc w:val="left"/>
      <w:pPr>
        <w:ind w:left="1080" w:firstLine="0"/>
      </w:pPr>
    </w:lvl>
    <w:lvl w:ilvl="2" w:tplc="9460B468">
      <w:start w:val="1"/>
      <w:numFmt w:val="lowerRoman"/>
      <w:lvlText w:val="%3."/>
      <w:lvlJc w:val="left"/>
      <w:pPr>
        <w:ind w:left="1980" w:firstLine="0"/>
      </w:pPr>
    </w:lvl>
    <w:lvl w:ilvl="3" w:tplc="67B60D12">
      <w:start w:val="1"/>
      <w:numFmt w:val="decimal"/>
      <w:lvlText w:val="%4."/>
      <w:lvlJc w:val="left"/>
      <w:pPr>
        <w:ind w:left="2520" w:firstLine="0"/>
      </w:pPr>
    </w:lvl>
    <w:lvl w:ilvl="4" w:tplc="AEF8FEF4">
      <w:start w:val="1"/>
      <w:numFmt w:val="lowerLetter"/>
      <w:lvlText w:val="%5."/>
      <w:lvlJc w:val="left"/>
      <w:pPr>
        <w:ind w:left="3240" w:firstLine="0"/>
      </w:pPr>
    </w:lvl>
    <w:lvl w:ilvl="5" w:tplc="99606D7E">
      <w:start w:val="1"/>
      <w:numFmt w:val="lowerRoman"/>
      <w:lvlText w:val="%6."/>
      <w:lvlJc w:val="left"/>
      <w:pPr>
        <w:ind w:left="4140" w:firstLine="0"/>
      </w:pPr>
    </w:lvl>
    <w:lvl w:ilvl="6" w:tplc="1D9A1258">
      <w:start w:val="1"/>
      <w:numFmt w:val="decimal"/>
      <w:lvlText w:val="%7."/>
      <w:lvlJc w:val="left"/>
      <w:pPr>
        <w:ind w:left="4680" w:firstLine="0"/>
      </w:pPr>
    </w:lvl>
    <w:lvl w:ilvl="7" w:tplc="FA96D7EA">
      <w:start w:val="1"/>
      <w:numFmt w:val="lowerLetter"/>
      <w:lvlText w:val="%8."/>
      <w:lvlJc w:val="left"/>
      <w:pPr>
        <w:ind w:left="5400" w:firstLine="0"/>
      </w:pPr>
    </w:lvl>
    <w:lvl w:ilvl="8" w:tplc="A58688A0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0086BD9"/>
    <w:multiLevelType w:val="hybridMultilevel"/>
    <w:tmpl w:val="83DE4F3A"/>
    <w:name w:val="Lista numerada 3"/>
    <w:lvl w:ilvl="0" w:tplc="C21AFDAC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723CCE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40FB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78F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8AFD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98A73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A695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0EF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2422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6FB420B1"/>
    <w:multiLevelType w:val="hybridMultilevel"/>
    <w:tmpl w:val="192C28F4"/>
    <w:lvl w:ilvl="0" w:tplc="70866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533D0"/>
    <w:multiLevelType w:val="hybridMultilevel"/>
    <w:tmpl w:val="004251EC"/>
    <w:name w:val="Lista numerada 8"/>
    <w:lvl w:ilvl="0" w:tplc="3D12359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 w:tplc="667ACAC6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B7C6A718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F2BA65E2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0358AE7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3C5844D6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4E96261A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373A3C68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DBE2302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12">
    <w:nsid w:val="7CDC4678"/>
    <w:multiLevelType w:val="hybridMultilevel"/>
    <w:tmpl w:val="6A5A8C54"/>
    <w:name w:val="Lista numerada 11"/>
    <w:lvl w:ilvl="0" w:tplc="D8CA34E4">
      <w:start w:val="1"/>
      <w:numFmt w:val="decimal"/>
      <w:lvlText w:val="%1)"/>
      <w:lvlJc w:val="left"/>
      <w:pPr>
        <w:ind w:left="435" w:firstLine="0"/>
      </w:pPr>
    </w:lvl>
    <w:lvl w:ilvl="1" w:tplc="9D7C0AE4">
      <w:start w:val="1"/>
      <w:numFmt w:val="lowerLetter"/>
      <w:lvlText w:val="%2."/>
      <w:lvlJc w:val="left"/>
      <w:pPr>
        <w:ind w:left="1155" w:firstLine="0"/>
      </w:pPr>
    </w:lvl>
    <w:lvl w:ilvl="2" w:tplc="14266960">
      <w:start w:val="1"/>
      <w:numFmt w:val="lowerRoman"/>
      <w:lvlText w:val="%3."/>
      <w:lvlJc w:val="left"/>
      <w:pPr>
        <w:ind w:left="2055" w:firstLine="0"/>
      </w:pPr>
    </w:lvl>
    <w:lvl w:ilvl="3" w:tplc="01FA2302">
      <w:start w:val="1"/>
      <w:numFmt w:val="decimal"/>
      <w:lvlText w:val="%4."/>
      <w:lvlJc w:val="left"/>
      <w:pPr>
        <w:ind w:left="2595" w:firstLine="0"/>
      </w:pPr>
    </w:lvl>
    <w:lvl w:ilvl="4" w:tplc="5F0E0A26">
      <w:start w:val="1"/>
      <w:numFmt w:val="lowerLetter"/>
      <w:lvlText w:val="%5."/>
      <w:lvlJc w:val="left"/>
      <w:pPr>
        <w:ind w:left="3315" w:firstLine="0"/>
      </w:pPr>
    </w:lvl>
    <w:lvl w:ilvl="5" w:tplc="9F7A8EF2">
      <w:start w:val="1"/>
      <w:numFmt w:val="lowerRoman"/>
      <w:lvlText w:val="%6."/>
      <w:lvlJc w:val="left"/>
      <w:pPr>
        <w:ind w:left="4215" w:firstLine="0"/>
      </w:pPr>
    </w:lvl>
    <w:lvl w:ilvl="6" w:tplc="7FE2A8E6">
      <w:start w:val="1"/>
      <w:numFmt w:val="decimal"/>
      <w:lvlText w:val="%7."/>
      <w:lvlJc w:val="left"/>
      <w:pPr>
        <w:ind w:left="4755" w:firstLine="0"/>
      </w:pPr>
    </w:lvl>
    <w:lvl w:ilvl="7" w:tplc="214E1F62">
      <w:start w:val="1"/>
      <w:numFmt w:val="lowerLetter"/>
      <w:lvlText w:val="%8."/>
      <w:lvlJc w:val="left"/>
      <w:pPr>
        <w:ind w:left="5475" w:firstLine="0"/>
      </w:pPr>
    </w:lvl>
    <w:lvl w:ilvl="8" w:tplc="4760B930">
      <w:start w:val="1"/>
      <w:numFmt w:val="lowerRoman"/>
      <w:lvlText w:val="%9."/>
      <w:lvlJc w:val="left"/>
      <w:pPr>
        <w:ind w:left="6375" w:firstLine="0"/>
      </w:pPr>
    </w:lvl>
  </w:abstractNum>
  <w:abstractNum w:abstractNumId="13">
    <w:nsid w:val="7E2069F9"/>
    <w:multiLevelType w:val="hybridMultilevel"/>
    <w:tmpl w:val="6D8AE2BC"/>
    <w:name w:val="Lista numerada 1"/>
    <w:lvl w:ilvl="0" w:tplc="EC0AFF48">
      <w:numFmt w:val="bullet"/>
      <w:lvlText w:val="-"/>
      <w:lvlJc w:val="left"/>
      <w:pPr>
        <w:ind w:left="786" w:firstLine="0"/>
      </w:pPr>
      <w:rPr>
        <w:rFonts w:ascii="Sylfaen" w:hAnsi="Sylfaen"/>
      </w:rPr>
    </w:lvl>
    <w:lvl w:ilvl="1" w:tplc="394CA74C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883E118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9C0A6D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3E8ABF70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C6F41EC6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FCE6BD3A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DA6880C2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16284EF4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773A51"/>
    <w:rsid w:val="00045C47"/>
    <w:rsid w:val="00191E38"/>
    <w:rsid w:val="001B0354"/>
    <w:rsid w:val="001B7141"/>
    <w:rsid w:val="001C51DE"/>
    <w:rsid w:val="001E7F7B"/>
    <w:rsid w:val="002614E6"/>
    <w:rsid w:val="002B7A71"/>
    <w:rsid w:val="002C72B5"/>
    <w:rsid w:val="00340F6C"/>
    <w:rsid w:val="00347217"/>
    <w:rsid w:val="003474D5"/>
    <w:rsid w:val="0036544B"/>
    <w:rsid w:val="00450393"/>
    <w:rsid w:val="00484893"/>
    <w:rsid w:val="004E021B"/>
    <w:rsid w:val="00512D16"/>
    <w:rsid w:val="005801A7"/>
    <w:rsid w:val="005D10BF"/>
    <w:rsid w:val="005D63CE"/>
    <w:rsid w:val="00625702"/>
    <w:rsid w:val="00625D28"/>
    <w:rsid w:val="0062705D"/>
    <w:rsid w:val="00645939"/>
    <w:rsid w:val="006B6F54"/>
    <w:rsid w:val="007171F8"/>
    <w:rsid w:val="00773A51"/>
    <w:rsid w:val="007A37F0"/>
    <w:rsid w:val="00805633"/>
    <w:rsid w:val="0083330B"/>
    <w:rsid w:val="0087329C"/>
    <w:rsid w:val="008A642B"/>
    <w:rsid w:val="0093308A"/>
    <w:rsid w:val="00935DFC"/>
    <w:rsid w:val="00955695"/>
    <w:rsid w:val="00981EED"/>
    <w:rsid w:val="009E7B71"/>
    <w:rsid w:val="009E7D02"/>
    <w:rsid w:val="00A16FDF"/>
    <w:rsid w:val="00A22BB7"/>
    <w:rsid w:val="00A61479"/>
    <w:rsid w:val="00A63092"/>
    <w:rsid w:val="00A97D18"/>
    <w:rsid w:val="00BF0352"/>
    <w:rsid w:val="00BF4521"/>
    <w:rsid w:val="00C05F78"/>
    <w:rsid w:val="00C37948"/>
    <w:rsid w:val="00C66A7B"/>
    <w:rsid w:val="00C723AB"/>
    <w:rsid w:val="00C74F56"/>
    <w:rsid w:val="00CA76E0"/>
    <w:rsid w:val="00CE562F"/>
    <w:rsid w:val="00EA2D09"/>
    <w:rsid w:val="00FC15DB"/>
    <w:rsid w:val="00FD78AF"/>
    <w:rsid w:val="00FE6597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A37F0"/>
  </w:style>
  <w:style w:type="paragraph" w:styleId="Ttulo2">
    <w:name w:val="heading 2"/>
    <w:basedOn w:val="Normal"/>
    <w:qFormat/>
    <w:rsid w:val="007A37F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rsid w:val="007A37F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extoindependiente"/>
    <w:qFormat/>
    <w:rsid w:val="007A37F0"/>
    <w:pPr>
      <w:suppressAutoHyphens/>
      <w:jc w:val="both"/>
    </w:pPr>
    <w:rPr>
      <w:rFonts w:ascii="Times New Roman" w:eastAsia="Times New Roman" w:hAnsi="Times New Roman"/>
      <w:szCs w:val="20"/>
    </w:rPr>
  </w:style>
  <w:style w:type="paragraph" w:styleId="Textoindependiente">
    <w:name w:val="Body Text"/>
    <w:basedOn w:val="Normal"/>
    <w:qFormat/>
    <w:rsid w:val="007A37F0"/>
    <w:pPr>
      <w:spacing w:after="120"/>
    </w:pPr>
  </w:style>
  <w:style w:type="paragraph" w:styleId="Textodeglobo">
    <w:name w:val="Balloon Text"/>
    <w:basedOn w:val="Normal"/>
    <w:qFormat/>
    <w:rsid w:val="007A37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rsid w:val="007A37F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qFormat/>
    <w:rsid w:val="007A37F0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A37F0"/>
    <w:pPr>
      <w:ind w:left="720"/>
      <w:contextualSpacing/>
    </w:pPr>
  </w:style>
  <w:style w:type="paragraph" w:styleId="NormalWeb">
    <w:name w:val="Normal (Web)"/>
    <w:basedOn w:val="Normal"/>
    <w:qFormat/>
    <w:rsid w:val="007A37F0"/>
    <w:pPr>
      <w:spacing w:before="100" w:beforeAutospacing="1" w:after="100" w:afterAutospacing="1"/>
    </w:pPr>
    <w:rPr>
      <w:rFonts w:ascii="Times New Roman" w:eastAsia="Times New Roman" w:hAnsi="Times New Roman"/>
      <w:lang w:val="es-CL"/>
    </w:rPr>
  </w:style>
  <w:style w:type="paragraph" w:styleId="Textonotapie">
    <w:name w:val="footnote text"/>
    <w:basedOn w:val="Normal"/>
    <w:uiPriority w:val="99"/>
    <w:qFormat/>
    <w:rsid w:val="007A37F0"/>
    <w:rPr>
      <w:sz w:val="20"/>
      <w:szCs w:val="20"/>
    </w:rPr>
  </w:style>
  <w:style w:type="paragraph" w:styleId="Textosinformato">
    <w:name w:val="Plain Text"/>
    <w:basedOn w:val="Normal"/>
    <w:qFormat/>
    <w:rsid w:val="007A37F0"/>
    <w:pPr>
      <w:jc w:val="both"/>
    </w:pPr>
    <w:rPr>
      <w:rFonts w:ascii="Consolas" w:hAnsi="Consolas"/>
      <w:color w:val="000000"/>
      <w:sz w:val="21"/>
      <w:szCs w:val="21"/>
      <w:lang w:val="es-CL"/>
    </w:rPr>
  </w:style>
  <w:style w:type="paragraph" w:customStyle="1" w:styleId="Style1">
    <w:name w:val="Style 1"/>
    <w:qFormat/>
    <w:rsid w:val="007A37F0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conformatoprevio">
    <w:name w:val="HTML Preformatted"/>
    <w:basedOn w:val="Normal"/>
    <w:uiPriority w:val="99"/>
    <w:qFormat/>
    <w:rsid w:val="007A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TextodecuerpoCar">
    <w:name w:val="Texto de cuerpo Car"/>
    <w:rsid w:val="007A37F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rsid w:val="007A37F0"/>
  </w:style>
  <w:style w:type="character" w:customStyle="1" w:styleId="TextodegloboCar">
    <w:name w:val="Texto de globo Car"/>
    <w:basedOn w:val="Fuentedeprrafopredeter"/>
    <w:rsid w:val="007A37F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7A37F0"/>
  </w:style>
  <w:style w:type="character" w:customStyle="1" w:styleId="PiedepginaCar">
    <w:name w:val="Pie de página Car"/>
    <w:basedOn w:val="Fuentedeprrafopredeter"/>
    <w:rsid w:val="007A37F0"/>
  </w:style>
  <w:style w:type="character" w:styleId="nfasis">
    <w:name w:val="Emphasis"/>
    <w:basedOn w:val="Fuentedeprrafopredeter"/>
    <w:rsid w:val="007A37F0"/>
    <w:rPr>
      <w:i/>
      <w:iCs/>
    </w:rPr>
  </w:style>
  <w:style w:type="character" w:customStyle="1" w:styleId="TextonotapieCar">
    <w:name w:val="Texto nota pie Car"/>
    <w:basedOn w:val="Fuentedeprrafopredeter"/>
    <w:uiPriority w:val="99"/>
    <w:rsid w:val="007A37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7A37F0"/>
    <w:rPr>
      <w:vertAlign w:val="superscript"/>
    </w:rPr>
  </w:style>
  <w:style w:type="character" w:customStyle="1" w:styleId="TextosinformatoCar">
    <w:name w:val="Texto sin formato Car"/>
    <w:basedOn w:val="Fuentedeprrafopredeter"/>
    <w:rsid w:val="007A37F0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Textoennegrita">
    <w:name w:val="Strong"/>
    <w:rsid w:val="007A37F0"/>
    <w:rPr>
      <w:rFonts w:cs="Times New Roman"/>
      <w:b/>
      <w:bCs/>
    </w:rPr>
  </w:style>
  <w:style w:type="character" w:styleId="Hipervnculo">
    <w:name w:val="Hyperlink"/>
    <w:basedOn w:val="Fuentedeprrafopredeter"/>
    <w:rsid w:val="007A37F0"/>
    <w:rPr>
      <w:color w:val="0563C1"/>
      <w:u w:val="single"/>
    </w:rPr>
  </w:style>
  <w:style w:type="character" w:customStyle="1" w:styleId="Ttulo2Car">
    <w:name w:val="Título 2 Car"/>
    <w:basedOn w:val="Fuentedeprrafopredeter"/>
    <w:rsid w:val="007A37F0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rsid w:val="007A37F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HTMLconformatoprevioCar">
    <w:name w:val="HTML con formato previo Car"/>
    <w:basedOn w:val="Fuentedeprrafopredeter"/>
    <w:uiPriority w:val="99"/>
    <w:rsid w:val="007A37F0"/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rsskip">
    <w:name w:val="rs_skip"/>
    <w:basedOn w:val="Fuentedeprrafopredeter"/>
    <w:rsid w:val="00A6309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56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bif.cl/sbifweb/servlet/ConozcaSBIF?indice=7.5.1.1&amp;idContenido=483" TargetMode="External"/><Relationship Id="rId2" Type="http://schemas.openxmlformats.org/officeDocument/2006/relationships/hyperlink" Target="https://www.bnamericas.com/company-profile/es/transbank-sa-transbank" TargetMode="External"/><Relationship Id="rId1" Type="http://schemas.openxmlformats.org/officeDocument/2006/relationships/hyperlink" Target="https://www.sbif.cl/sbifweb/servlet/Biblioteca?indice=6.3.1&amp;idCategoria=557" TargetMode="External"/><Relationship Id="rId5" Type="http://schemas.openxmlformats.org/officeDocument/2006/relationships/hyperlink" Target="http://www.elmercurio.com/legal/movil/detalle.aspx?Id=900465&amp;Path=/0D/BD/" TargetMode="External"/><Relationship Id="rId4" Type="http://schemas.openxmlformats.org/officeDocument/2006/relationships/hyperlink" Target="https://www.transbank.cl/web/productos-y-servicios/soluciones-para-ventas-presenci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087F-D7AB-4D71-A668-5FE480B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PRESMITA, ALEXIS A.</dc:creator>
  <cp:keywords/>
  <dc:description/>
  <cp:lastModifiedBy>Guillermo Diaz Vallejos</cp:lastModifiedBy>
  <cp:revision>23</cp:revision>
  <cp:lastPrinted>2018-07-12T13:25:00Z</cp:lastPrinted>
  <dcterms:created xsi:type="dcterms:W3CDTF">2018-07-11T16:53:00Z</dcterms:created>
  <dcterms:modified xsi:type="dcterms:W3CDTF">2019-04-11T17:37:00Z</dcterms:modified>
</cp:coreProperties>
</file>