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24C" w:rsidRDefault="00F21DBB" w:rsidP="00797D4C">
      <w:pPr>
        <w:spacing w:line="360" w:lineRule="auto"/>
        <w:ind w:right="-234"/>
        <w:jc w:val="both"/>
        <w:rPr>
          <w:rFonts w:ascii="Bookman Old Style" w:hAnsi="Bookman Old Style"/>
          <w:b/>
          <w:lang w:val="es-ES"/>
        </w:rPr>
      </w:pPr>
      <w:r w:rsidRPr="00F21DBB">
        <w:rPr>
          <w:rFonts w:ascii="Bookman Old Style" w:hAnsi="Bookman Old Style"/>
          <w:b/>
          <w:lang w:val="es-ES"/>
        </w:rPr>
        <w:t>Modifica la ley N° 19.968, que crea los Tribunales de Familia, en materia de notificaciones a quienes comparecen personalmente en procedimientos de su competencia</w:t>
      </w:r>
    </w:p>
    <w:p w:rsidR="00F21DBB" w:rsidRDefault="00F21DBB" w:rsidP="00797D4C">
      <w:pPr>
        <w:spacing w:line="360" w:lineRule="auto"/>
        <w:ind w:right="-234"/>
        <w:jc w:val="both"/>
        <w:rPr>
          <w:rFonts w:ascii="Bookman Old Style" w:hAnsi="Bookman Old Style"/>
          <w:b/>
          <w:lang w:val="es-ES"/>
        </w:rPr>
      </w:pPr>
    </w:p>
    <w:p w:rsidR="00F21DBB" w:rsidRDefault="00F21DBB" w:rsidP="00797D4C">
      <w:pPr>
        <w:spacing w:line="360" w:lineRule="auto"/>
        <w:ind w:right="-234"/>
        <w:jc w:val="center"/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b/>
          <w:lang w:val="es-ES"/>
        </w:rPr>
        <w:t>Boletín N° 12578-18</w:t>
      </w:r>
    </w:p>
    <w:p w:rsidR="00B34A09" w:rsidRDefault="00B34A09" w:rsidP="00797D4C">
      <w:pPr>
        <w:spacing w:line="360" w:lineRule="auto"/>
        <w:ind w:right="-234" w:firstLine="708"/>
        <w:jc w:val="both"/>
        <w:rPr>
          <w:rFonts w:ascii="Bookman Old Style" w:hAnsi="Bookman Old Style"/>
          <w:lang w:val="es-ES"/>
        </w:rPr>
      </w:pPr>
    </w:p>
    <w:p w:rsidR="00B34A09" w:rsidRDefault="00B34A09" w:rsidP="00797D4C">
      <w:pPr>
        <w:spacing w:line="360" w:lineRule="auto"/>
        <w:ind w:right="-234" w:firstLine="708"/>
        <w:jc w:val="both"/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 xml:space="preserve">La </w:t>
      </w:r>
      <w:r w:rsidR="00C059A0">
        <w:rPr>
          <w:rFonts w:ascii="Bookman Old Style" w:hAnsi="Bookman Old Style"/>
          <w:lang w:val="es-ES"/>
        </w:rPr>
        <w:t>entrada en vigor</w:t>
      </w:r>
      <w:r>
        <w:rPr>
          <w:rFonts w:ascii="Bookman Old Style" w:hAnsi="Bookman Old Style"/>
          <w:lang w:val="es-ES"/>
        </w:rPr>
        <w:t xml:space="preserve"> de la ley Nº 19.968, sin duda que implicó un gran avance en cuanto vino a establecer un</w:t>
      </w:r>
      <w:r w:rsidR="00C059A0">
        <w:rPr>
          <w:rFonts w:ascii="Bookman Old Style" w:hAnsi="Bookman Old Style"/>
          <w:lang w:val="es-ES"/>
        </w:rPr>
        <w:t>a jurisdicción</w:t>
      </w:r>
      <w:r>
        <w:rPr>
          <w:rFonts w:ascii="Bookman Old Style" w:hAnsi="Bookman Old Style"/>
          <w:lang w:val="es-ES"/>
        </w:rPr>
        <w:t xml:space="preserve"> especializad</w:t>
      </w:r>
      <w:r w:rsidR="00C059A0">
        <w:rPr>
          <w:rFonts w:ascii="Bookman Old Style" w:hAnsi="Bookman Old Style"/>
          <w:lang w:val="es-ES"/>
        </w:rPr>
        <w:t>a</w:t>
      </w:r>
      <w:r>
        <w:rPr>
          <w:rFonts w:ascii="Bookman Old Style" w:hAnsi="Bookman Old Style"/>
          <w:lang w:val="es-ES"/>
        </w:rPr>
        <w:t xml:space="preserve"> para resolver materias de familia. Procedimientos que se caracterizan por su celeridad, oralidad y por ser </w:t>
      </w:r>
      <w:proofErr w:type="spellStart"/>
      <w:r>
        <w:rPr>
          <w:rFonts w:ascii="Bookman Old Style" w:hAnsi="Bookman Old Style"/>
          <w:lang w:val="es-ES"/>
        </w:rPr>
        <w:t>desformalizados</w:t>
      </w:r>
      <w:proofErr w:type="spellEnd"/>
      <w:r>
        <w:rPr>
          <w:rFonts w:ascii="Bookman Old Style" w:hAnsi="Bookman Old Style"/>
          <w:lang w:val="es-ES"/>
        </w:rPr>
        <w:t xml:space="preserve">. Asimismo, según el artículo </w:t>
      </w:r>
      <w:r w:rsidR="00797D4C">
        <w:rPr>
          <w:rFonts w:ascii="Bookman Old Style" w:hAnsi="Bookman Old Style"/>
          <w:lang w:val="es-ES"/>
        </w:rPr>
        <w:t xml:space="preserve">  </w:t>
      </w:r>
      <w:r>
        <w:rPr>
          <w:rFonts w:ascii="Bookman Old Style" w:hAnsi="Bookman Old Style"/>
          <w:lang w:val="es-ES"/>
        </w:rPr>
        <w:t>9º de la misma ley, se estructuran bajo los principios de inmediación, actuación de oficio y búsqueda de soluciones colaborativas entre las partes.</w:t>
      </w:r>
    </w:p>
    <w:p w:rsidR="00A56665" w:rsidRDefault="00B34A09" w:rsidP="00797D4C">
      <w:pPr>
        <w:spacing w:line="360" w:lineRule="auto"/>
        <w:ind w:right="-234" w:firstLine="708"/>
        <w:jc w:val="both"/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>Este último principio</w:t>
      </w:r>
      <w:r w:rsidR="00A56665">
        <w:rPr>
          <w:rFonts w:ascii="Bookman Old Style" w:hAnsi="Bookman Old Style"/>
          <w:lang w:val="es-ES"/>
        </w:rPr>
        <w:t xml:space="preserve">, relacionado con la </w:t>
      </w:r>
      <w:proofErr w:type="spellStart"/>
      <w:r w:rsidR="00A56665">
        <w:rPr>
          <w:rFonts w:ascii="Bookman Old Style" w:hAnsi="Bookman Old Style"/>
          <w:lang w:val="es-ES"/>
        </w:rPr>
        <w:t>desformalización</w:t>
      </w:r>
      <w:proofErr w:type="spellEnd"/>
      <w:r w:rsidR="00A56665">
        <w:rPr>
          <w:rFonts w:ascii="Bookman Old Style" w:hAnsi="Bookman Old Style"/>
          <w:lang w:val="es-ES"/>
        </w:rPr>
        <w:t xml:space="preserve"> </w:t>
      </w:r>
      <w:r w:rsidR="00C059A0">
        <w:rPr>
          <w:rFonts w:ascii="Bookman Old Style" w:hAnsi="Bookman Old Style"/>
          <w:lang w:val="es-ES"/>
        </w:rPr>
        <w:t xml:space="preserve">del proceso </w:t>
      </w:r>
      <w:r w:rsidR="00A56665">
        <w:rPr>
          <w:rFonts w:ascii="Bookman Old Style" w:hAnsi="Bookman Old Style"/>
          <w:lang w:val="es-ES"/>
        </w:rPr>
        <w:t>ha generado que los</w:t>
      </w:r>
      <w:r w:rsidR="00C059A0">
        <w:rPr>
          <w:rFonts w:ascii="Bookman Old Style" w:hAnsi="Bookman Old Style"/>
          <w:lang w:val="es-ES"/>
        </w:rPr>
        <w:t xml:space="preserve"> procedimientos de familia</w:t>
      </w:r>
      <w:r w:rsidR="00C40B99" w:rsidRPr="00AF624C">
        <w:rPr>
          <w:rFonts w:ascii="Bookman Old Style" w:hAnsi="Bookman Old Style"/>
          <w:lang w:val="es-ES"/>
        </w:rPr>
        <w:t xml:space="preserve"> s</w:t>
      </w:r>
      <w:r w:rsidR="00A56665">
        <w:rPr>
          <w:rFonts w:ascii="Bookman Old Style" w:hAnsi="Bookman Old Style"/>
          <w:lang w:val="es-ES"/>
        </w:rPr>
        <w:t>ean</w:t>
      </w:r>
      <w:r w:rsidR="00C40B99" w:rsidRPr="00AF624C">
        <w:rPr>
          <w:rFonts w:ascii="Bookman Old Style" w:hAnsi="Bookman Old Style"/>
          <w:lang w:val="es-ES"/>
        </w:rPr>
        <w:t xml:space="preserve"> de aquellos en que más intervienen las partes por si mismas</w:t>
      </w:r>
      <w:r w:rsidR="00C059A0">
        <w:rPr>
          <w:rFonts w:ascii="Bookman Old Style" w:hAnsi="Bookman Old Style"/>
          <w:lang w:val="es-ES"/>
        </w:rPr>
        <w:t>,</w:t>
      </w:r>
      <w:r w:rsidR="00C40B99" w:rsidRPr="00AF624C">
        <w:rPr>
          <w:rFonts w:ascii="Bookman Old Style" w:hAnsi="Bookman Old Style"/>
          <w:lang w:val="es-ES"/>
        </w:rPr>
        <w:t xml:space="preserve"> sin el patrocinio de un abogado y, en general, los tribunales así también lo permiten, sobre todo en </w:t>
      </w:r>
      <w:proofErr w:type="gramStart"/>
      <w:r w:rsidR="00C40B99" w:rsidRPr="00AF624C">
        <w:rPr>
          <w:rFonts w:ascii="Bookman Old Style" w:hAnsi="Bookman Old Style"/>
          <w:lang w:val="es-ES"/>
        </w:rPr>
        <w:t>tramites</w:t>
      </w:r>
      <w:proofErr w:type="gramEnd"/>
      <w:r w:rsidR="00C40B99" w:rsidRPr="00AF624C">
        <w:rPr>
          <w:rFonts w:ascii="Bookman Old Style" w:hAnsi="Bookman Old Style"/>
          <w:lang w:val="es-ES"/>
        </w:rPr>
        <w:t xml:space="preserve"> de baja complejidad. </w:t>
      </w:r>
    </w:p>
    <w:p w:rsidR="00A56665" w:rsidRDefault="00A56665" w:rsidP="00797D4C">
      <w:pPr>
        <w:spacing w:line="360" w:lineRule="auto"/>
        <w:ind w:right="-234" w:firstLine="708"/>
        <w:jc w:val="both"/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 xml:space="preserve">Ahora bien, un aspecto importante en esta materia es el avance que </w:t>
      </w:r>
      <w:proofErr w:type="gramStart"/>
      <w:r>
        <w:rPr>
          <w:rFonts w:ascii="Bookman Old Style" w:hAnsi="Bookman Old Style"/>
          <w:lang w:val="es-ES"/>
        </w:rPr>
        <w:t>sig</w:t>
      </w:r>
      <w:r w:rsidR="00C059A0">
        <w:rPr>
          <w:rFonts w:ascii="Bookman Old Style" w:hAnsi="Bookman Old Style"/>
          <w:lang w:val="es-ES"/>
        </w:rPr>
        <w:t>n</w:t>
      </w:r>
      <w:r>
        <w:rPr>
          <w:rFonts w:ascii="Bookman Old Style" w:hAnsi="Bookman Old Style"/>
          <w:lang w:val="es-ES"/>
        </w:rPr>
        <w:t>ificó</w:t>
      </w:r>
      <w:proofErr w:type="gramEnd"/>
      <w:r>
        <w:rPr>
          <w:rFonts w:ascii="Bookman Old Style" w:hAnsi="Bookman Old Style"/>
          <w:lang w:val="es-ES"/>
        </w:rPr>
        <w:t xml:space="preserve">, en </w:t>
      </w:r>
      <w:r w:rsidR="00C059A0">
        <w:rPr>
          <w:rFonts w:ascii="Bookman Old Style" w:hAnsi="Bookman Old Style"/>
          <w:lang w:val="es-ES"/>
        </w:rPr>
        <w:t>cuanto a</w:t>
      </w:r>
      <w:r>
        <w:rPr>
          <w:rFonts w:ascii="Bookman Old Style" w:hAnsi="Bookman Old Style"/>
          <w:lang w:val="es-ES"/>
        </w:rPr>
        <w:t xml:space="preserve"> notificaciones</w:t>
      </w:r>
      <w:r w:rsidR="00C059A0">
        <w:rPr>
          <w:rFonts w:ascii="Bookman Old Style" w:hAnsi="Bookman Old Style"/>
          <w:lang w:val="es-ES"/>
        </w:rPr>
        <w:t xml:space="preserve"> se trata</w:t>
      </w:r>
      <w:r>
        <w:rPr>
          <w:rFonts w:ascii="Bookman Old Style" w:hAnsi="Bookman Old Style"/>
          <w:lang w:val="es-ES"/>
        </w:rPr>
        <w:t xml:space="preserve">, la ley Nº 20.286 del año 2008, por cuanto vino a consagrar la posibilidad de que los patrocinantes señalen al tribunal un medio expedito y eficaz de notificación, cuestión que en la práctica se ha traducido en el e-mail o correo electrónico, haciendo de esta manera mucho más ágil el avance del proceso. </w:t>
      </w:r>
      <w:r w:rsidR="009D0323">
        <w:rPr>
          <w:rFonts w:ascii="Bookman Old Style" w:hAnsi="Bookman Old Style"/>
          <w:lang w:val="es-ES"/>
        </w:rPr>
        <w:t>Así,</w:t>
      </w:r>
      <w:r w:rsidR="00C40B99" w:rsidRPr="00AF624C">
        <w:rPr>
          <w:rFonts w:ascii="Bookman Old Style" w:hAnsi="Bookman Old Style"/>
          <w:lang w:val="es-ES"/>
        </w:rPr>
        <w:t xml:space="preserve"> el</w:t>
      </w:r>
      <w:r>
        <w:rPr>
          <w:rFonts w:ascii="Bookman Old Style" w:hAnsi="Bookman Old Style"/>
          <w:lang w:val="es-ES"/>
        </w:rPr>
        <w:t xml:space="preserve"> actual inciso final del</w:t>
      </w:r>
      <w:r w:rsidR="00C40B99" w:rsidRPr="00AF624C">
        <w:rPr>
          <w:rFonts w:ascii="Bookman Old Style" w:hAnsi="Bookman Old Style"/>
          <w:lang w:val="es-ES"/>
        </w:rPr>
        <w:t xml:space="preserve"> artículo 23 de la ley 19.968</w:t>
      </w:r>
      <w:r>
        <w:rPr>
          <w:rFonts w:ascii="Bookman Old Style" w:hAnsi="Bookman Old Style"/>
          <w:lang w:val="es-ES"/>
        </w:rPr>
        <w:t xml:space="preserve"> señala: </w:t>
      </w:r>
    </w:p>
    <w:p w:rsidR="00A56665" w:rsidRPr="00A56665" w:rsidRDefault="00A56665" w:rsidP="00797D4C">
      <w:pPr>
        <w:spacing w:line="360" w:lineRule="auto"/>
        <w:ind w:right="-234" w:firstLine="708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“</w:t>
      </w:r>
      <w:r w:rsidRPr="00A56665">
        <w:rPr>
          <w:rFonts w:ascii="Bookman Old Style" w:hAnsi="Bookman Old Style"/>
          <w:i/>
        </w:rPr>
        <w:t xml:space="preserve">Los patrocinantes de las partes, en la primera actuación que realicen en el proceso, deberán indicar otra forma de notificación que elijan para sí, </w:t>
      </w:r>
      <w:r w:rsidR="00797D4C">
        <w:rPr>
          <w:rFonts w:ascii="Bookman Old Style" w:hAnsi="Bookman Old Style"/>
          <w:i/>
        </w:rPr>
        <w:t xml:space="preserve"> </w:t>
      </w:r>
      <w:r w:rsidRPr="00A56665">
        <w:rPr>
          <w:rFonts w:ascii="Bookman Old Style" w:hAnsi="Bookman Old Style"/>
          <w:i/>
        </w:rPr>
        <w:t>que el juez califique como expedita y eficaz, bajo apercibimiento de serles notificadas por el estado diario todas las resoluciones que se dicten en lo sucesivo en el proceso.</w:t>
      </w:r>
      <w:r>
        <w:rPr>
          <w:rFonts w:ascii="Bookman Old Style" w:hAnsi="Bookman Old Style"/>
          <w:i/>
        </w:rPr>
        <w:t>”</w:t>
      </w:r>
    </w:p>
    <w:p w:rsidR="00C40B99" w:rsidRDefault="00A56665" w:rsidP="00797D4C">
      <w:pPr>
        <w:spacing w:line="360" w:lineRule="auto"/>
        <w:ind w:right="-234" w:firstLine="708"/>
        <w:jc w:val="both"/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>Si bien, como se ha dicho, esta nueva forma de notificación implicó</w:t>
      </w:r>
      <w:r w:rsidR="00797D4C">
        <w:rPr>
          <w:rFonts w:ascii="Bookman Old Style" w:hAnsi="Bookman Old Style"/>
          <w:lang w:val="es-ES"/>
        </w:rPr>
        <w:t xml:space="preserve">  </w:t>
      </w:r>
      <w:r>
        <w:rPr>
          <w:rFonts w:ascii="Bookman Old Style" w:hAnsi="Bookman Old Style"/>
          <w:lang w:val="es-ES"/>
        </w:rPr>
        <w:t>un avance en cuanto a la celeridad del proceso</w:t>
      </w:r>
      <w:r w:rsidR="00C40B99" w:rsidRPr="00AF624C">
        <w:rPr>
          <w:rFonts w:ascii="Bookman Old Style" w:hAnsi="Bookman Old Style"/>
          <w:lang w:val="es-ES"/>
        </w:rPr>
        <w:t>, no se advierten dificultades para que dicha posibilidad pued</w:t>
      </w:r>
      <w:r w:rsidR="00C059A0">
        <w:rPr>
          <w:rFonts w:ascii="Bookman Old Style" w:hAnsi="Bookman Old Style"/>
          <w:lang w:val="es-ES"/>
        </w:rPr>
        <w:t>a</w:t>
      </w:r>
      <w:r w:rsidR="00C40B99" w:rsidRPr="00AF624C">
        <w:rPr>
          <w:rFonts w:ascii="Bookman Old Style" w:hAnsi="Bookman Old Style"/>
          <w:lang w:val="es-ES"/>
        </w:rPr>
        <w:t xml:space="preserve"> utilizarse válidamente en los casos en que las partes comparecen personalmente.</w:t>
      </w:r>
      <w:r>
        <w:rPr>
          <w:rFonts w:ascii="Bookman Old Style" w:hAnsi="Bookman Old Style"/>
          <w:lang w:val="es-ES"/>
        </w:rPr>
        <w:t xml:space="preserve"> Sobre todo</w:t>
      </w:r>
      <w:r w:rsidR="009D0323">
        <w:rPr>
          <w:rFonts w:ascii="Bookman Old Style" w:hAnsi="Bookman Old Style"/>
          <w:lang w:val="es-ES"/>
        </w:rPr>
        <w:t>,</w:t>
      </w:r>
      <w:r>
        <w:rPr>
          <w:rFonts w:ascii="Bookman Old Style" w:hAnsi="Bookman Old Style"/>
          <w:lang w:val="es-ES"/>
        </w:rPr>
        <w:t xml:space="preserve"> pensando en que los </w:t>
      </w:r>
      <w:r>
        <w:rPr>
          <w:rFonts w:ascii="Bookman Old Style" w:hAnsi="Bookman Old Style"/>
          <w:lang w:val="es-ES"/>
        </w:rPr>
        <w:lastRenderedPageBreak/>
        <w:t>proceso</w:t>
      </w:r>
      <w:r w:rsidR="009D0323">
        <w:rPr>
          <w:rFonts w:ascii="Bookman Old Style" w:hAnsi="Bookman Old Style"/>
          <w:lang w:val="es-ES"/>
        </w:rPr>
        <w:t>s</w:t>
      </w:r>
      <w:r>
        <w:rPr>
          <w:rFonts w:ascii="Bookman Old Style" w:hAnsi="Bookman Old Style"/>
          <w:lang w:val="es-ES"/>
        </w:rPr>
        <w:t xml:space="preserve"> de familia es muy frecuente la comparecencia personal</w:t>
      </w:r>
      <w:r w:rsidR="00C059A0">
        <w:rPr>
          <w:rFonts w:ascii="Bookman Old Style" w:hAnsi="Bookman Old Style"/>
          <w:lang w:val="es-ES"/>
        </w:rPr>
        <w:t xml:space="preserve"> y aún mayor pensando en proceso</w:t>
      </w:r>
      <w:r w:rsidR="009D0323">
        <w:rPr>
          <w:rFonts w:ascii="Bookman Old Style" w:hAnsi="Bookman Old Style"/>
          <w:lang w:val="es-ES"/>
        </w:rPr>
        <w:t>s</w:t>
      </w:r>
      <w:r w:rsidR="00C059A0">
        <w:rPr>
          <w:rFonts w:ascii="Bookman Old Style" w:hAnsi="Bookman Old Style"/>
          <w:lang w:val="es-ES"/>
        </w:rPr>
        <w:t xml:space="preserve"> de cumplimiento, donde es prácticamente la regla general.</w:t>
      </w:r>
      <w:r w:rsidR="00C40B99" w:rsidRPr="00AF624C">
        <w:rPr>
          <w:rFonts w:ascii="Bookman Old Style" w:hAnsi="Bookman Old Style"/>
          <w:lang w:val="es-ES"/>
        </w:rPr>
        <w:t xml:space="preserve"> Por lo anterior es que</w:t>
      </w:r>
      <w:r w:rsidR="00C059A0">
        <w:rPr>
          <w:rFonts w:ascii="Bookman Old Style" w:hAnsi="Bookman Old Style"/>
          <w:lang w:val="es-ES"/>
        </w:rPr>
        <w:t xml:space="preserve"> este proyecto busca</w:t>
      </w:r>
      <w:r w:rsidR="00C40B99" w:rsidRPr="00AF624C">
        <w:rPr>
          <w:rFonts w:ascii="Bookman Old Style" w:hAnsi="Bookman Old Style"/>
          <w:lang w:val="es-ES"/>
        </w:rPr>
        <w:t xml:space="preserve"> agrega</w:t>
      </w:r>
      <w:r w:rsidR="00C059A0">
        <w:rPr>
          <w:rFonts w:ascii="Bookman Old Style" w:hAnsi="Bookman Old Style"/>
          <w:lang w:val="es-ES"/>
        </w:rPr>
        <w:t>r</w:t>
      </w:r>
      <w:r w:rsidR="00C40B99" w:rsidRPr="00AF624C">
        <w:rPr>
          <w:rFonts w:ascii="Bookman Old Style" w:hAnsi="Bookman Old Style"/>
          <w:lang w:val="es-ES"/>
        </w:rPr>
        <w:t xml:space="preserve"> el vocablo “intervinientes” al </w:t>
      </w:r>
      <w:r w:rsidR="00C059A0">
        <w:rPr>
          <w:rFonts w:ascii="Bookman Old Style" w:hAnsi="Bookman Old Style"/>
          <w:lang w:val="es-ES"/>
        </w:rPr>
        <w:t xml:space="preserve">inciso final del </w:t>
      </w:r>
      <w:r w:rsidR="00C40B99" w:rsidRPr="00AF624C">
        <w:rPr>
          <w:rFonts w:ascii="Bookman Old Style" w:hAnsi="Bookman Old Style"/>
          <w:lang w:val="es-ES"/>
        </w:rPr>
        <w:t>artículo 2</w:t>
      </w:r>
      <w:r w:rsidR="00C059A0">
        <w:rPr>
          <w:rFonts w:ascii="Bookman Old Style" w:hAnsi="Bookman Old Style"/>
          <w:lang w:val="es-ES"/>
        </w:rPr>
        <w:t>3</w:t>
      </w:r>
      <w:r w:rsidR="00C40B99" w:rsidRPr="00AF624C">
        <w:rPr>
          <w:rFonts w:ascii="Bookman Old Style" w:hAnsi="Bookman Old Style"/>
          <w:lang w:val="es-ES"/>
        </w:rPr>
        <w:t xml:space="preserve"> para </w:t>
      </w:r>
      <w:r w:rsidR="00C059A0">
        <w:rPr>
          <w:rFonts w:ascii="Bookman Old Style" w:hAnsi="Bookman Old Style"/>
          <w:lang w:val="es-ES"/>
        </w:rPr>
        <w:t xml:space="preserve">que la posibilidad de establecer un medio expedito y eficaz de notificación se contemple a su vez </w:t>
      </w:r>
      <w:r w:rsidR="009D0323">
        <w:rPr>
          <w:rFonts w:ascii="Bookman Old Style" w:hAnsi="Bookman Old Style"/>
          <w:lang w:val="es-ES"/>
        </w:rPr>
        <w:t>para</w:t>
      </w:r>
      <w:r w:rsidR="00C059A0">
        <w:rPr>
          <w:rFonts w:ascii="Bookman Old Style" w:hAnsi="Bookman Old Style"/>
          <w:lang w:val="es-ES"/>
        </w:rPr>
        <w:t xml:space="preserve"> partes comparecen personalmente ante el tribunal.</w:t>
      </w:r>
    </w:p>
    <w:p w:rsidR="00C059A0" w:rsidRDefault="00C059A0" w:rsidP="00797D4C">
      <w:pPr>
        <w:spacing w:line="360" w:lineRule="auto"/>
        <w:ind w:right="-234" w:firstLine="708"/>
        <w:jc w:val="both"/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 xml:space="preserve">Si bien, la modificación </w:t>
      </w:r>
      <w:r w:rsidR="009D0323">
        <w:rPr>
          <w:rFonts w:ascii="Bookman Old Style" w:hAnsi="Bookman Old Style"/>
          <w:lang w:val="es-ES"/>
        </w:rPr>
        <w:t xml:space="preserve">que </w:t>
      </w:r>
      <w:r>
        <w:rPr>
          <w:rFonts w:ascii="Bookman Old Style" w:hAnsi="Bookman Old Style"/>
          <w:lang w:val="es-ES"/>
        </w:rPr>
        <w:t xml:space="preserve">se propone es menor, los alcances prácticos que ésta puede tener son tremendamente significativos, puesto </w:t>
      </w:r>
      <w:r w:rsidR="00797D4C">
        <w:rPr>
          <w:rFonts w:ascii="Bookman Old Style" w:hAnsi="Bookman Old Style"/>
          <w:lang w:val="es-ES"/>
        </w:rPr>
        <w:t xml:space="preserve"> </w:t>
      </w:r>
      <w:r>
        <w:rPr>
          <w:rFonts w:ascii="Bookman Old Style" w:hAnsi="Bookman Old Style"/>
          <w:lang w:val="es-ES"/>
        </w:rPr>
        <w:t xml:space="preserve">que en la actualidad, aquellas personas que comparecen personalmente en un proceso de cumplimiento, por ejemplo, no tienen más remedio que </w:t>
      </w:r>
      <w:r w:rsidR="00797D4C">
        <w:rPr>
          <w:rFonts w:ascii="Bookman Old Style" w:hAnsi="Bookman Old Style"/>
          <w:lang w:val="es-ES"/>
        </w:rPr>
        <w:t xml:space="preserve"> </w:t>
      </w:r>
      <w:r>
        <w:rPr>
          <w:rFonts w:ascii="Bookman Old Style" w:hAnsi="Bookman Old Style"/>
          <w:lang w:val="es-ES"/>
        </w:rPr>
        <w:t>revisar el estado diario del tribunal para tomar conocimiento de las resoluciones dictadas en su causa y tratándose de personas que no cuentan con conocimientos o asesoría letrada, en la práctica se les dificulta tomar conocimiento de dichas resoluciones</w:t>
      </w:r>
      <w:r w:rsidR="009D0323">
        <w:rPr>
          <w:rFonts w:ascii="Bookman Old Style" w:hAnsi="Bookman Old Style"/>
          <w:lang w:val="es-ES"/>
        </w:rPr>
        <w:t>, lo que en definitiva provoca la perdida de oportunidades procesales para ejercer sus derechos en el proceso.</w:t>
      </w:r>
    </w:p>
    <w:p w:rsidR="00C059A0" w:rsidRDefault="00C059A0" w:rsidP="00797D4C">
      <w:pPr>
        <w:spacing w:line="360" w:lineRule="auto"/>
        <w:ind w:right="-234" w:firstLine="708"/>
        <w:jc w:val="both"/>
        <w:rPr>
          <w:rFonts w:ascii="Bookman Old Style" w:hAnsi="Bookman Old Style"/>
          <w:lang w:val="es-ES"/>
        </w:rPr>
      </w:pPr>
    </w:p>
    <w:p w:rsidR="00C059A0" w:rsidRDefault="00C059A0" w:rsidP="00797D4C">
      <w:pPr>
        <w:spacing w:line="360" w:lineRule="auto"/>
        <w:ind w:right="-234" w:firstLine="708"/>
        <w:jc w:val="both"/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>Por lo expuesto es que vengo a someter a vuestra consideración el siguiente:</w:t>
      </w:r>
    </w:p>
    <w:p w:rsidR="00AF624C" w:rsidRDefault="00AF624C" w:rsidP="00797D4C">
      <w:pPr>
        <w:spacing w:line="360" w:lineRule="auto"/>
        <w:ind w:right="-234" w:firstLine="708"/>
        <w:jc w:val="both"/>
        <w:rPr>
          <w:rFonts w:ascii="Bookman Old Style" w:hAnsi="Bookman Old Style"/>
          <w:lang w:val="es-ES"/>
        </w:rPr>
      </w:pPr>
    </w:p>
    <w:p w:rsidR="00AF624C" w:rsidRPr="00AF624C" w:rsidRDefault="00AF624C" w:rsidP="00797D4C">
      <w:pPr>
        <w:spacing w:line="360" w:lineRule="auto"/>
        <w:ind w:right="-234" w:firstLine="708"/>
        <w:jc w:val="center"/>
        <w:rPr>
          <w:rFonts w:ascii="Bookman Old Style" w:hAnsi="Bookman Old Style"/>
          <w:b/>
          <w:lang w:val="es-ES"/>
        </w:rPr>
      </w:pPr>
      <w:r>
        <w:rPr>
          <w:rFonts w:ascii="Bookman Old Style" w:hAnsi="Bookman Old Style"/>
          <w:b/>
          <w:lang w:val="es-ES"/>
        </w:rPr>
        <w:t>PROYECTO DE LEY</w:t>
      </w:r>
    </w:p>
    <w:p w:rsidR="00F21DBB" w:rsidRDefault="00F21DBB" w:rsidP="00797D4C">
      <w:pPr>
        <w:ind w:right="-234"/>
      </w:pPr>
    </w:p>
    <w:p w:rsidR="00AF624C" w:rsidRDefault="00AF624C" w:rsidP="00797D4C">
      <w:pPr>
        <w:ind w:right="-234"/>
        <w:jc w:val="center"/>
      </w:pPr>
    </w:p>
    <w:p w:rsidR="00C40B99" w:rsidRPr="00AF624C" w:rsidRDefault="00AF624C" w:rsidP="00797D4C">
      <w:pPr>
        <w:spacing w:line="360" w:lineRule="auto"/>
        <w:ind w:right="-234"/>
        <w:jc w:val="both"/>
        <w:rPr>
          <w:rFonts w:ascii="Bookman Old Style" w:hAnsi="Bookman Old Style"/>
          <w:lang w:val="es-ES"/>
        </w:rPr>
      </w:pPr>
      <w:r w:rsidRPr="00AF624C">
        <w:rPr>
          <w:rFonts w:ascii="Bookman Old Style" w:hAnsi="Bookman Old Style"/>
          <w:lang w:val="es-ES"/>
        </w:rPr>
        <w:t>“</w:t>
      </w:r>
      <w:r>
        <w:rPr>
          <w:rFonts w:ascii="Bookman Old Style" w:hAnsi="Bookman Old Style"/>
          <w:b/>
          <w:lang w:val="es-ES"/>
        </w:rPr>
        <w:t xml:space="preserve">ARTÍCULO ÚNICO: </w:t>
      </w:r>
      <w:r w:rsidR="00C40B99" w:rsidRPr="00AF624C">
        <w:rPr>
          <w:rFonts w:ascii="Bookman Old Style" w:hAnsi="Bookman Old Style"/>
          <w:lang w:val="es-ES"/>
        </w:rPr>
        <w:t>Agréguese en el inciso final del artículo 23 de la ley 19.968, a continuación de la expresión “partes” y antes de la coma (,) lo siguiente:</w:t>
      </w:r>
    </w:p>
    <w:p w:rsidR="00C40B99" w:rsidRPr="00A3666D" w:rsidRDefault="00C40B99" w:rsidP="00797D4C">
      <w:pPr>
        <w:pStyle w:val="Prrafodelista"/>
        <w:spacing w:line="360" w:lineRule="auto"/>
        <w:ind w:left="1068" w:right="-234"/>
        <w:jc w:val="both"/>
        <w:rPr>
          <w:rFonts w:ascii="Bookman Old Style" w:hAnsi="Bookman Old Style"/>
          <w:lang w:val="es-ES"/>
        </w:rPr>
      </w:pPr>
    </w:p>
    <w:p w:rsidR="00C40B99" w:rsidRDefault="00C40B99" w:rsidP="00797D4C">
      <w:pPr>
        <w:spacing w:line="360" w:lineRule="auto"/>
        <w:ind w:right="-234" w:firstLine="708"/>
        <w:jc w:val="both"/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>“o intervinientes”</w:t>
      </w:r>
    </w:p>
    <w:p w:rsidR="00C40B99" w:rsidRDefault="00C40B99" w:rsidP="00797D4C">
      <w:pPr>
        <w:ind w:right="-234"/>
      </w:pPr>
    </w:p>
    <w:p w:rsidR="009D0323" w:rsidRDefault="009D0323" w:rsidP="00797D4C">
      <w:pPr>
        <w:ind w:right="-234"/>
      </w:pPr>
    </w:p>
    <w:p w:rsidR="009D0323" w:rsidRDefault="009D0323" w:rsidP="00797D4C">
      <w:pPr>
        <w:ind w:right="-234"/>
      </w:pPr>
    </w:p>
    <w:p w:rsidR="009D0323" w:rsidRPr="009D0323" w:rsidRDefault="009D0323" w:rsidP="00797D4C">
      <w:pPr>
        <w:ind w:right="-234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H.D. Francesca Muñoz</w:t>
      </w:r>
    </w:p>
    <w:sectPr w:rsidR="009D0323" w:rsidRPr="009D0323" w:rsidSect="00797D4C">
      <w:pgSz w:w="12242" w:h="20163" w:code="5"/>
      <w:pgMar w:top="1418" w:right="1701" w:bottom="453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46F02"/>
    <w:multiLevelType w:val="hybridMultilevel"/>
    <w:tmpl w:val="9B963EAA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1D1427"/>
    <w:multiLevelType w:val="hybridMultilevel"/>
    <w:tmpl w:val="C23C26F0"/>
    <w:lvl w:ilvl="0" w:tplc="3D625DC2">
      <w:start w:val="1"/>
      <w:numFmt w:val="upperLetter"/>
      <w:lvlText w:val="%1)"/>
      <w:lvlJc w:val="left"/>
      <w:pPr>
        <w:ind w:left="1068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0B99"/>
    <w:rsid w:val="00293037"/>
    <w:rsid w:val="005E22D1"/>
    <w:rsid w:val="007946D2"/>
    <w:rsid w:val="00797D4C"/>
    <w:rsid w:val="007B7967"/>
    <w:rsid w:val="009D01DB"/>
    <w:rsid w:val="009D0323"/>
    <w:rsid w:val="00A56665"/>
    <w:rsid w:val="00A73E7A"/>
    <w:rsid w:val="00AF624C"/>
    <w:rsid w:val="00B34A09"/>
    <w:rsid w:val="00C059A0"/>
    <w:rsid w:val="00C40B99"/>
    <w:rsid w:val="00CB0933"/>
    <w:rsid w:val="00F21DBB"/>
    <w:rsid w:val="00F80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6D2"/>
    <w:rPr>
      <w:sz w:val="24"/>
      <w:szCs w:val="24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0B99"/>
    <w:pPr>
      <w:ind w:left="720"/>
      <w:contextualSpacing/>
    </w:pPr>
  </w:style>
  <w:style w:type="paragraph" w:styleId="Sinespaciado">
    <w:name w:val="No Spacing"/>
    <w:uiPriority w:val="1"/>
    <w:qFormat/>
    <w:rsid w:val="00A56665"/>
    <w:rPr>
      <w:sz w:val="24"/>
      <w:szCs w:val="24"/>
      <w:lang w:val="es-C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Guillermo Diaz Vallejos</cp:lastModifiedBy>
  <cp:revision>3</cp:revision>
  <dcterms:created xsi:type="dcterms:W3CDTF">2019-04-23T21:41:00Z</dcterms:created>
  <dcterms:modified xsi:type="dcterms:W3CDTF">2019-04-23T21:43:00Z</dcterms:modified>
</cp:coreProperties>
</file>