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B0" w:rsidRPr="00CD16D2" w:rsidRDefault="008C7DB0" w:rsidP="005E0918">
      <w:pPr>
        <w:ind w:right="-232"/>
        <w:rPr>
          <w:rFonts w:ascii="Century Gothic" w:hAnsi="Century Gothic"/>
          <w:sz w:val="28"/>
          <w:szCs w:val="28"/>
          <w:lang w:val="es-ES"/>
        </w:rPr>
      </w:pPr>
      <w:bookmarkStart w:id="0" w:name="_GoBack"/>
      <w:bookmarkEnd w:id="0"/>
    </w:p>
    <w:p w:rsidR="00A3666D" w:rsidRDefault="005E0918" w:rsidP="005E0918">
      <w:pPr>
        <w:ind w:right="-232"/>
        <w:jc w:val="both"/>
        <w:rPr>
          <w:rFonts w:ascii="Bookman Old Style" w:hAnsi="Bookman Old Style"/>
          <w:b/>
          <w:sz w:val="28"/>
          <w:szCs w:val="28"/>
          <w:lang w:val="es-ES"/>
        </w:rPr>
      </w:pPr>
      <w:r w:rsidRPr="005E0918">
        <w:rPr>
          <w:rFonts w:ascii="Bookman Old Style" w:hAnsi="Bookman Old Style"/>
          <w:b/>
          <w:sz w:val="28"/>
          <w:szCs w:val="28"/>
          <w:lang w:val="es-ES"/>
        </w:rPr>
        <w:t>Modifica la ley N° 19.968, que crea los Tribunales de Familia, para hacer procedente la declaración de abandono del procedimiento, en el caso que indica</w:t>
      </w:r>
    </w:p>
    <w:p w:rsidR="005E0918" w:rsidRDefault="005E0918" w:rsidP="005E0918">
      <w:pPr>
        <w:ind w:right="-232"/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:rsidR="005E0918" w:rsidRDefault="005E0918" w:rsidP="005E0918">
      <w:pPr>
        <w:ind w:right="-232"/>
        <w:jc w:val="center"/>
        <w:rPr>
          <w:rFonts w:ascii="Bookman Old Style" w:hAnsi="Bookman Old Style"/>
          <w:b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Boletín N° 12582-18</w:t>
      </w:r>
    </w:p>
    <w:p w:rsidR="00A3666D" w:rsidRPr="00A3666D" w:rsidRDefault="00A3666D" w:rsidP="005E0918">
      <w:pPr>
        <w:ind w:right="-232"/>
        <w:jc w:val="center"/>
        <w:rPr>
          <w:rFonts w:ascii="Bookman Old Style" w:hAnsi="Bookman Old Style"/>
          <w:b/>
          <w:lang w:val="es-ES"/>
        </w:rPr>
      </w:pPr>
    </w:p>
    <w:p w:rsidR="005C20CC" w:rsidRDefault="005C20CC" w:rsidP="005E0918">
      <w:pPr>
        <w:ind w:right="-232"/>
        <w:rPr>
          <w:rFonts w:ascii="Century Gothic" w:hAnsi="Century Gothic"/>
          <w:lang w:val="es-ES"/>
        </w:rPr>
      </w:pPr>
    </w:p>
    <w:p w:rsidR="00EB15B4" w:rsidRDefault="00EB15B4" w:rsidP="005E0918">
      <w:pPr>
        <w:spacing w:line="360" w:lineRule="auto"/>
        <w:ind w:right="-232"/>
        <w:rPr>
          <w:rFonts w:ascii="Bookman Old Style" w:hAnsi="Bookman Old Style"/>
          <w:b/>
          <w:lang w:val="es-ES"/>
        </w:rPr>
      </w:pPr>
      <w:r w:rsidRPr="00EB15B4">
        <w:rPr>
          <w:rFonts w:ascii="Bookman Old Style" w:hAnsi="Bookman Old Style"/>
          <w:b/>
          <w:lang w:val="es-ES"/>
        </w:rPr>
        <w:t>Antecedentes</w:t>
      </w:r>
    </w:p>
    <w:p w:rsidR="00EB15B4" w:rsidRDefault="00EB15B4" w:rsidP="005E0918">
      <w:pPr>
        <w:spacing w:line="360" w:lineRule="auto"/>
        <w:ind w:right="-232"/>
        <w:rPr>
          <w:rFonts w:ascii="Bookman Old Style" w:hAnsi="Bookman Old Style"/>
          <w:b/>
          <w:lang w:val="es-ES"/>
        </w:rPr>
      </w:pPr>
    </w:p>
    <w:p w:rsidR="00EB15B4" w:rsidRDefault="00EB15B4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b/>
          <w:lang w:val="es-ES"/>
        </w:rPr>
        <w:tab/>
      </w:r>
      <w:r>
        <w:rPr>
          <w:rFonts w:ascii="Bookman Old Style" w:hAnsi="Bookman Old Style"/>
          <w:lang w:val="es-ES"/>
        </w:rPr>
        <w:t>Es sabido que la ley 19.968, ya vigente hace varios años</w:t>
      </w:r>
      <w:r w:rsidR="00D52AF9">
        <w:rPr>
          <w:rFonts w:ascii="Bookman Old Style" w:hAnsi="Bookman Old Style"/>
          <w:lang w:val="es-ES"/>
        </w:rPr>
        <w:t xml:space="preserve">, posee una serie de problemas relacionados con su aplicación práctica y que a lo largo de los años se han ido visibilizando en la práctica del Derecho de familia. </w:t>
      </w:r>
      <w:r w:rsidR="005E0918">
        <w:rPr>
          <w:rFonts w:ascii="Bookman Old Style" w:hAnsi="Bookman Old Style"/>
          <w:lang w:val="es-ES"/>
        </w:rPr>
        <w:t xml:space="preserve"> </w:t>
      </w:r>
      <w:r w:rsidR="00D52AF9">
        <w:rPr>
          <w:rFonts w:ascii="Bookman Old Style" w:hAnsi="Bookman Old Style"/>
          <w:lang w:val="es-ES"/>
        </w:rPr>
        <w:t>Así también, se han introducido modificaciones que han mejorado los diferentes procedimientos. Sin embargo, aún persisten</w:t>
      </w:r>
      <w:r w:rsidR="00FF0630">
        <w:rPr>
          <w:rFonts w:ascii="Bookman Old Style" w:hAnsi="Bookman Old Style"/>
          <w:lang w:val="es-ES"/>
        </w:rPr>
        <w:t xml:space="preserve"> problemas</w:t>
      </w:r>
      <w:r w:rsidR="00866AA5">
        <w:rPr>
          <w:rFonts w:ascii="Bookman Old Style" w:hAnsi="Bookman Old Style"/>
          <w:lang w:val="es-ES"/>
        </w:rPr>
        <w:t xml:space="preserve"> que se producen en la práctica forense al existir vacíos legales que no regulen dichos asuntos.</w:t>
      </w:r>
    </w:p>
    <w:p w:rsidR="00866AA5" w:rsidRDefault="00866AA5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ab/>
        <w:t xml:space="preserve">En este sentido, este proyecto busca simplemente hacerse cargo de </w:t>
      </w:r>
      <w:r w:rsidR="005E0918">
        <w:rPr>
          <w:rFonts w:ascii="Bookman Old Style" w:hAnsi="Bookman Old Style"/>
          <w:lang w:val="es-ES"/>
        </w:rPr>
        <w:t xml:space="preserve">  </w:t>
      </w:r>
      <w:r w:rsidR="00FB3633">
        <w:rPr>
          <w:rFonts w:ascii="Bookman Old Style" w:hAnsi="Bookman Old Style"/>
          <w:lang w:val="es-ES"/>
        </w:rPr>
        <w:t>un vacío legal que genera problemas importantes en la práctica forense:</w:t>
      </w:r>
    </w:p>
    <w:p w:rsidR="00FB3633" w:rsidRDefault="00FB3633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FB3633" w:rsidRDefault="00FB3633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E</w:t>
      </w:r>
      <w:r w:rsidR="00866AA5" w:rsidRPr="00FB3633">
        <w:rPr>
          <w:rFonts w:ascii="Bookman Old Style" w:hAnsi="Bookman Old Style"/>
          <w:lang w:val="es-ES"/>
        </w:rPr>
        <w:t xml:space="preserve">s sabido que el </w:t>
      </w:r>
      <w:r w:rsidR="00D47A3E">
        <w:rPr>
          <w:rFonts w:ascii="Bookman Old Style" w:hAnsi="Bookman Old Style"/>
          <w:lang w:val="es-ES"/>
        </w:rPr>
        <w:t xml:space="preserve">inciso primero del </w:t>
      </w:r>
      <w:r w:rsidR="00866AA5" w:rsidRPr="00FB3633">
        <w:rPr>
          <w:rFonts w:ascii="Bookman Old Style" w:hAnsi="Bookman Old Style"/>
          <w:lang w:val="es-ES"/>
        </w:rPr>
        <w:t>artículo 21 de la ley 19.968, regula el abandono del procedimiento en materia de familia</w:t>
      </w:r>
      <w:r>
        <w:rPr>
          <w:rFonts w:ascii="Bookman Old Style" w:hAnsi="Bookman Old Style"/>
          <w:lang w:val="es-ES"/>
        </w:rPr>
        <w:t xml:space="preserve"> de la siguiente forma:</w:t>
      </w:r>
    </w:p>
    <w:p w:rsidR="00D47A3E" w:rsidRPr="008C2FA7" w:rsidRDefault="00D47A3E" w:rsidP="005E0918">
      <w:pPr>
        <w:spacing w:line="360" w:lineRule="auto"/>
        <w:ind w:right="-232" w:firstLine="708"/>
        <w:jc w:val="both"/>
        <w:rPr>
          <w:rFonts w:ascii="Bookman Old Style" w:hAnsi="Bookman Old Style"/>
          <w:i/>
          <w:lang w:val="es-ES"/>
        </w:rPr>
      </w:pPr>
    </w:p>
    <w:p w:rsidR="00D47A3E" w:rsidRPr="008C2FA7" w:rsidRDefault="00D47A3E" w:rsidP="005E0918">
      <w:pPr>
        <w:spacing w:line="360" w:lineRule="auto"/>
        <w:ind w:right="-232" w:firstLine="708"/>
        <w:jc w:val="both"/>
        <w:rPr>
          <w:rFonts w:ascii="Bookman Old Style" w:hAnsi="Bookman Old Style"/>
          <w:i/>
          <w:lang w:val="es-ES"/>
        </w:rPr>
      </w:pPr>
      <w:r w:rsidRPr="008C2FA7">
        <w:rPr>
          <w:rFonts w:ascii="Bookman Old Style" w:hAnsi="Bookman Old Style"/>
          <w:i/>
          <w:lang w:val="es-ES"/>
        </w:rPr>
        <w:t>“Artículo 21.- Abandono del procedimiento. Si llegado el día de la celebración de las audiencias fijadas, no concurriere ninguna de las partes que figuren en el proceso, y el demandante o solicitante no pidiere una nueva citación dentro del quinto día, el juez de familia procederá a declarar el abandono del procedimiento y ordenará el archivo de los antecedentes.”</w:t>
      </w:r>
    </w:p>
    <w:p w:rsidR="00D47A3E" w:rsidRDefault="00D47A3E" w:rsidP="005E0918">
      <w:pPr>
        <w:spacing w:line="360" w:lineRule="auto"/>
        <w:ind w:right="-232" w:firstLine="708"/>
        <w:jc w:val="both"/>
        <w:rPr>
          <w:rFonts w:ascii="Bookman Old Style" w:hAnsi="Bookman Old Style"/>
        </w:rPr>
      </w:pPr>
    </w:p>
    <w:p w:rsidR="005E0918" w:rsidRDefault="00866AA5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 w:rsidRPr="00FB3633">
        <w:rPr>
          <w:rFonts w:ascii="Bookman Old Style" w:hAnsi="Bookman Old Style"/>
          <w:lang w:val="es-ES"/>
        </w:rPr>
        <w:t>En este sentido se establece una carga procesal para el demandante</w:t>
      </w:r>
      <w:r w:rsidR="005E0918">
        <w:rPr>
          <w:rFonts w:ascii="Bookman Old Style" w:hAnsi="Bookman Old Style"/>
          <w:lang w:val="es-ES"/>
        </w:rPr>
        <w:t xml:space="preserve">  </w:t>
      </w:r>
      <w:r w:rsidRPr="00FB3633">
        <w:rPr>
          <w:rFonts w:ascii="Bookman Old Style" w:hAnsi="Bookman Old Style"/>
          <w:lang w:val="es-ES"/>
        </w:rPr>
        <w:t xml:space="preserve"> o solicitante en caso de que ninguna de las partes concurr</w:t>
      </w:r>
      <w:r w:rsidR="00462944" w:rsidRPr="00FB3633">
        <w:rPr>
          <w:rFonts w:ascii="Bookman Old Style" w:hAnsi="Bookman Old Style"/>
          <w:lang w:val="es-ES"/>
        </w:rPr>
        <w:t>a</w:t>
      </w:r>
      <w:r w:rsidRPr="00FB3633">
        <w:rPr>
          <w:rFonts w:ascii="Bookman Old Style" w:hAnsi="Bookman Old Style"/>
          <w:lang w:val="es-ES"/>
        </w:rPr>
        <w:t xml:space="preserve"> a la audiencia fijada, en orden a solicitar, dentro del quinto día,</w:t>
      </w:r>
      <w:r w:rsidR="009B4E30" w:rsidRPr="00FB3633">
        <w:rPr>
          <w:rFonts w:ascii="Bookman Old Style" w:hAnsi="Bookman Old Style"/>
          <w:lang w:val="es-ES"/>
        </w:rPr>
        <w:t xml:space="preserve"> para que</w:t>
      </w:r>
      <w:r w:rsidRPr="00FB3633">
        <w:rPr>
          <w:rFonts w:ascii="Bookman Old Style" w:hAnsi="Bookman Old Style"/>
          <w:lang w:val="es-ES"/>
        </w:rPr>
        <w:t xml:space="preserve"> el tribunal fije nuevo día y hora para la realización de la audiencia.</w:t>
      </w:r>
    </w:p>
    <w:p w:rsidR="005E0918" w:rsidRDefault="005E0918" w:rsidP="005E0918">
      <w:pPr>
        <w:ind w:right="-232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br w:type="page"/>
      </w:r>
    </w:p>
    <w:p w:rsidR="00866AA5" w:rsidRPr="00FB3633" w:rsidRDefault="00866AA5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</w:p>
    <w:p w:rsidR="00866AA5" w:rsidRDefault="00866AA5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El problema que genera</w:t>
      </w:r>
      <w:r w:rsidR="00D47A3E">
        <w:rPr>
          <w:rFonts w:ascii="Bookman Old Style" w:hAnsi="Bookman Old Style"/>
          <w:lang w:val="es-ES"/>
        </w:rPr>
        <w:t xml:space="preserve"> el vacío legal en</w:t>
      </w:r>
      <w:r>
        <w:rPr>
          <w:rFonts w:ascii="Bookman Old Style" w:hAnsi="Bookman Old Style"/>
          <w:lang w:val="es-ES"/>
        </w:rPr>
        <w:t xml:space="preserve"> esta norma es que no se establece un número limitado de solicitudes para la continuación del procedimiento, impidiendo al tribunal poner término a dichas causas. Así </w:t>
      </w:r>
      <w:r w:rsidR="005E0918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>las cosas, esta situación genera graves problemas en la agenda de los tribunales de familia que</w:t>
      </w:r>
      <w:r w:rsidR="0006478F">
        <w:rPr>
          <w:rFonts w:ascii="Bookman Old Style" w:hAnsi="Bookman Old Style"/>
          <w:lang w:val="es-ES"/>
        </w:rPr>
        <w:t xml:space="preserve"> en la actualidad ya se encuentran colapsadas.</w:t>
      </w:r>
      <w:r w:rsidR="007D452C">
        <w:rPr>
          <w:rFonts w:ascii="Bookman Old Style" w:hAnsi="Bookman Old Style"/>
          <w:lang w:val="es-ES"/>
        </w:rPr>
        <w:t xml:space="preserve"> Además, se ha prestado para que algunos abogados abusivamente dilaten los procesos produciendo un importante desgaste en la labor jurisdiccional.</w:t>
      </w:r>
    </w:p>
    <w:p w:rsidR="00D47A3E" w:rsidRDefault="00D47A3E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9B4E30" w:rsidRDefault="009B4E30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Por </w:t>
      </w:r>
      <w:r w:rsidR="00D47A3E">
        <w:rPr>
          <w:rFonts w:ascii="Bookman Old Style" w:hAnsi="Bookman Old Style"/>
          <w:lang w:val="es-ES"/>
        </w:rPr>
        <w:t>ello,</w:t>
      </w:r>
      <w:r>
        <w:rPr>
          <w:rFonts w:ascii="Bookman Old Style" w:hAnsi="Bookman Old Style"/>
          <w:lang w:val="es-ES"/>
        </w:rPr>
        <w:t xml:space="preserve"> es que se propone establecer como límite, 3 oportunidades para solicitar un nuevo día y hora de audiencia, pudiendo el juez declarar</w:t>
      </w:r>
      <w:r w:rsidR="005E0918">
        <w:rPr>
          <w:rFonts w:ascii="Bookman Old Style" w:hAnsi="Bookman Old Style"/>
          <w:lang w:val="es-ES"/>
        </w:rPr>
        <w:t xml:space="preserve">  </w:t>
      </w:r>
      <w:r>
        <w:rPr>
          <w:rFonts w:ascii="Bookman Old Style" w:hAnsi="Bookman Old Style"/>
          <w:lang w:val="es-ES"/>
        </w:rPr>
        <w:t xml:space="preserve"> el abandono del procedimiento a partir de la siguiente solicitud.</w:t>
      </w:r>
    </w:p>
    <w:p w:rsidR="00EB15B4" w:rsidRDefault="00EB15B4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A3666D" w:rsidRDefault="008427E6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Por lo expuesto es que </w:t>
      </w:r>
      <w:r w:rsidR="00A3666D">
        <w:rPr>
          <w:rFonts w:ascii="Bookman Old Style" w:hAnsi="Bookman Old Style"/>
          <w:lang w:val="es-ES"/>
        </w:rPr>
        <w:t xml:space="preserve">vengo a someter </w:t>
      </w:r>
      <w:r>
        <w:rPr>
          <w:rFonts w:ascii="Bookman Old Style" w:hAnsi="Bookman Old Style"/>
          <w:lang w:val="es-ES"/>
        </w:rPr>
        <w:t>a vuestra consideración el siguiente:</w:t>
      </w:r>
    </w:p>
    <w:p w:rsidR="00A3666D" w:rsidRDefault="00A3666D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8427E6" w:rsidRPr="008427E6" w:rsidRDefault="008427E6" w:rsidP="005E0918">
      <w:pPr>
        <w:spacing w:line="360" w:lineRule="auto"/>
        <w:ind w:right="-232"/>
        <w:jc w:val="center"/>
        <w:rPr>
          <w:rFonts w:ascii="Bookman Old Style" w:hAnsi="Bookman Old Style"/>
          <w:b/>
          <w:lang w:val="es-ES"/>
        </w:rPr>
      </w:pPr>
      <w:r w:rsidRPr="008427E6">
        <w:rPr>
          <w:rFonts w:ascii="Bookman Old Style" w:hAnsi="Bookman Old Style"/>
          <w:b/>
          <w:lang w:val="es-ES"/>
        </w:rPr>
        <w:t>PROYECTO DE LEY</w:t>
      </w:r>
    </w:p>
    <w:p w:rsidR="008427E6" w:rsidRDefault="008427E6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4736F1" w:rsidRPr="00A3666D" w:rsidRDefault="00A3666D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b/>
          <w:lang w:val="es-ES"/>
        </w:rPr>
        <w:t>“</w:t>
      </w:r>
      <w:r w:rsidRPr="00A3666D">
        <w:rPr>
          <w:rFonts w:ascii="Bookman Old Style" w:hAnsi="Bookman Old Style"/>
          <w:b/>
          <w:lang w:val="es-ES"/>
        </w:rPr>
        <w:t>ARTÍCULO ÚNICO:</w:t>
      </w:r>
      <w:r>
        <w:rPr>
          <w:rFonts w:ascii="Bookman Old Style" w:hAnsi="Bookman Old Style"/>
          <w:lang w:val="es-ES"/>
        </w:rPr>
        <w:t xml:space="preserve"> </w:t>
      </w:r>
      <w:r w:rsidR="005C20CC" w:rsidRPr="00A3666D">
        <w:rPr>
          <w:rFonts w:ascii="Bookman Old Style" w:hAnsi="Bookman Old Style"/>
          <w:lang w:val="es-ES"/>
        </w:rPr>
        <w:t>R</w:t>
      </w:r>
      <w:r w:rsidR="008C7DB0" w:rsidRPr="00A3666D">
        <w:rPr>
          <w:rFonts w:ascii="Bookman Old Style" w:hAnsi="Bookman Old Style"/>
          <w:lang w:val="es-ES"/>
        </w:rPr>
        <w:t>emplácese en el inciso primero del artículo 21 de la ley 19.968, el punto a parte por un punto seguido y a continuación</w:t>
      </w:r>
      <w:r>
        <w:rPr>
          <w:rFonts w:ascii="Bookman Old Style" w:hAnsi="Bookman Old Style"/>
          <w:lang w:val="es-ES"/>
        </w:rPr>
        <w:t xml:space="preserve"> agréguese</w:t>
      </w:r>
      <w:r w:rsidR="008C7DB0" w:rsidRPr="00A3666D">
        <w:rPr>
          <w:rFonts w:ascii="Bookman Old Style" w:hAnsi="Bookman Old Style"/>
          <w:lang w:val="es-ES"/>
        </w:rPr>
        <w:t xml:space="preserve"> la siguiente frase:</w:t>
      </w:r>
    </w:p>
    <w:p w:rsidR="008C7DB0" w:rsidRPr="008C7DB0" w:rsidRDefault="008C7DB0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8C7DB0" w:rsidRDefault="008C7DB0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  <w:r w:rsidRPr="008C7DB0">
        <w:rPr>
          <w:rFonts w:ascii="Bookman Old Style" w:hAnsi="Bookman Old Style"/>
          <w:lang w:val="es-ES"/>
        </w:rPr>
        <w:t xml:space="preserve">“El juez procederá de la misma forma, si se han </w:t>
      </w:r>
      <w:r w:rsidR="00A3666D">
        <w:rPr>
          <w:rFonts w:ascii="Bookman Old Style" w:hAnsi="Bookman Old Style"/>
          <w:lang w:val="es-ES"/>
        </w:rPr>
        <w:t>realizado</w:t>
      </w:r>
      <w:r w:rsidRPr="008C7DB0">
        <w:rPr>
          <w:rFonts w:ascii="Bookman Old Style" w:hAnsi="Bookman Old Style"/>
          <w:lang w:val="es-ES"/>
        </w:rPr>
        <w:t xml:space="preserve"> más de 3 solicitudes de citación a nueva audiencia.”</w:t>
      </w:r>
    </w:p>
    <w:p w:rsidR="008C7DB0" w:rsidRDefault="008C7DB0" w:rsidP="005E0918">
      <w:pPr>
        <w:spacing w:line="360" w:lineRule="auto"/>
        <w:ind w:right="-232"/>
        <w:jc w:val="both"/>
        <w:rPr>
          <w:rFonts w:ascii="Bookman Old Style" w:hAnsi="Bookman Old Style"/>
          <w:lang w:val="es-ES"/>
        </w:rPr>
      </w:pPr>
    </w:p>
    <w:p w:rsidR="00A3666D" w:rsidRDefault="00A3666D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</w:p>
    <w:p w:rsidR="00A3666D" w:rsidRDefault="00A3666D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</w:p>
    <w:p w:rsidR="00A3666D" w:rsidRDefault="00A3666D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</w:p>
    <w:p w:rsidR="00A3666D" w:rsidRDefault="00A3666D" w:rsidP="005E0918">
      <w:pPr>
        <w:spacing w:line="360" w:lineRule="auto"/>
        <w:ind w:right="-232" w:firstLine="708"/>
        <w:jc w:val="both"/>
        <w:rPr>
          <w:rFonts w:ascii="Bookman Old Style" w:hAnsi="Bookman Old Style"/>
          <w:lang w:val="es-ES"/>
        </w:rPr>
      </w:pPr>
    </w:p>
    <w:p w:rsidR="00A3666D" w:rsidRDefault="00A3666D" w:rsidP="005E0918">
      <w:pPr>
        <w:spacing w:line="360" w:lineRule="auto"/>
        <w:ind w:right="-232" w:firstLine="708"/>
        <w:jc w:val="center"/>
        <w:rPr>
          <w:rFonts w:ascii="Bookman Old Style" w:hAnsi="Bookman Old Style"/>
          <w:lang w:val="es-ES"/>
        </w:rPr>
      </w:pPr>
    </w:p>
    <w:p w:rsidR="00A3666D" w:rsidRPr="00A3666D" w:rsidRDefault="00A3666D" w:rsidP="005E0918">
      <w:pPr>
        <w:spacing w:line="360" w:lineRule="auto"/>
        <w:ind w:right="-232" w:firstLine="708"/>
        <w:jc w:val="center"/>
        <w:rPr>
          <w:rFonts w:ascii="Bookman Old Style" w:hAnsi="Bookman Old Style"/>
          <w:b/>
          <w:lang w:val="es-ES"/>
        </w:rPr>
      </w:pPr>
      <w:r>
        <w:rPr>
          <w:rFonts w:ascii="Bookman Old Style" w:hAnsi="Bookman Old Style"/>
          <w:b/>
          <w:lang w:val="es-ES"/>
        </w:rPr>
        <w:t>H.D. FRANCESCA MUÑOZ GONZÁLEZ</w:t>
      </w:r>
    </w:p>
    <w:sectPr w:rsidR="00A3666D" w:rsidRPr="00A3666D" w:rsidSect="005E0918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6F02"/>
    <w:multiLevelType w:val="hybridMultilevel"/>
    <w:tmpl w:val="9B963EA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D1427"/>
    <w:multiLevelType w:val="hybridMultilevel"/>
    <w:tmpl w:val="C23C26F0"/>
    <w:lvl w:ilvl="0" w:tplc="3D625DC2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07C"/>
    <w:rsid w:val="0006478F"/>
    <w:rsid w:val="001B244F"/>
    <w:rsid w:val="00293037"/>
    <w:rsid w:val="00386A29"/>
    <w:rsid w:val="00462944"/>
    <w:rsid w:val="005C20CC"/>
    <w:rsid w:val="005E0918"/>
    <w:rsid w:val="00643202"/>
    <w:rsid w:val="007A33A5"/>
    <w:rsid w:val="007D452C"/>
    <w:rsid w:val="008427E6"/>
    <w:rsid w:val="00854AD0"/>
    <w:rsid w:val="00866AA5"/>
    <w:rsid w:val="008C2FA7"/>
    <w:rsid w:val="008C7DB0"/>
    <w:rsid w:val="00985CDE"/>
    <w:rsid w:val="009B4E30"/>
    <w:rsid w:val="009D01DB"/>
    <w:rsid w:val="00A3666D"/>
    <w:rsid w:val="00CD16D2"/>
    <w:rsid w:val="00D47A3E"/>
    <w:rsid w:val="00D52AF9"/>
    <w:rsid w:val="00E215DA"/>
    <w:rsid w:val="00EB15B4"/>
    <w:rsid w:val="00EC107C"/>
    <w:rsid w:val="00ED77D5"/>
    <w:rsid w:val="00FB3633"/>
    <w:rsid w:val="00FF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Guillermo Diaz Vallejos</cp:lastModifiedBy>
  <cp:revision>3</cp:revision>
  <dcterms:created xsi:type="dcterms:W3CDTF">2019-04-23T21:48:00Z</dcterms:created>
  <dcterms:modified xsi:type="dcterms:W3CDTF">2019-04-23T21:51:00Z</dcterms:modified>
</cp:coreProperties>
</file>