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68B" w:rsidRDefault="00A134C5" w:rsidP="00686EE8">
      <w:pPr>
        <w:spacing w:line="276" w:lineRule="auto"/>
        <w:rPr>
          <w:rFonts w:cs="Arial"/>
          <w:b/>
          <w:sz w:val="22"/>
          <w:szCs w:val="22"/>
        </w:rPr>
      </w:pPr>
      <w:r w:rsidRPr="00A134C5">
        <w:rPr>
          <w:rFonts w:cs="Arial"/>
          <w:b/>
          <w:sz w:val="22"/>
          <w:szCs w:val="22"/>
        </w:rPr>
        <w:t>Modifica la ley N°18.918, orgánica constitucional del Congreso Nacional, y otros cuerpos legales, para incorporar nuevas exigencias de probidad y transparencia en el desempeño de la labor parlamentaria</w:t>
      </w:r>
    </w:p>
    <w:p w:rsidR="00A134C5" w:rsidRDefault="00A134C5" w:rsidP="00686EE8">
      <w:pPr>
        <w:spacing w:line="276" w:lineRule="auto"/>
        <w:rPr>
          <w:rFonts w:cs="Arial"/>
          <w:b/>
          <w:sz w:val="22"/>
          <w:szCs w:val="22"/>
        </w:rPr>
      </w:pPr>
    </w:p>
    <w:p w:rsidR="00A134C5" w:rsidRPr="002E29D6" w:rsidRDefault="00A134C5" w:rsidP="00A134C5">
      <w:pPr>
        <w:spacing w:line="276" w:lineRule="auto"/>
        <w:jc w:val="center"/>
        <w:rPr>
          <w:rFonts w:cs="Arial"/>
          <w:b/>
          <w:sz w:val="22"/>
          <w:szCs w:val="22"/>
          <w:lang w:val="es-ES_tradnl"/>
        </w:rPr>
      </w:pPr>
      <w:r>
        <w:rPr>
          <w:rFonts w:cs="Arial"/>
          <w:b/>
          <w:sz w:val="22"/>
          <w:szCs w:val="22"/>
        </w:rPr>
        <w:t>Boletín N° 12596-07</w:t>
      </w:r>
    </w:p>
    <w:p w:rsidR="00FB6FE1" w:rsidRPr="002E29D6" w:rsidRDefault="00FB6FE1" w:rsidP="00686EE8">
      <w:pPr>
        <w:spacing w:line="276" w:lineRule="auto"/>
        <w:rPr>
          <w:rFonts w:cs="Arial"/>
          <w:b/>
          <w:sz w:val="22"/>
          <w:szCs w:val="22"/>
          <w:lang w:val="es-ES_tradnl"/>
        </w:rPr>
      </w:pPr>
    </w:p>
    <w:p w:rsidR="00686EE8" w:rsidRPr="002E29D6" w:rsidRDefault="00F2768B" w:rsidP="00686EE8">
      <w:pPr>
        <w:pStyle w:val="Prrafodelista"/>
        <w:numPr>
          <w:ilvl w:val="0"/>
          <w:numId w:val="10"/>
        </w:numPr>
        <w:spacing w:line="276" w:lineRule="auto"/>
        <w:rPr>
          <w:rFonts w:cs="Arial"/>
          <w:b/>
          <w:sz w:val="22"/>
          <w:szCs w:val="22"/>
          <w:lang w:val="es-ES_tradnl"/>
        </w:rPr>
      </w:pPr>
      <w:r w:rsidRPr="002E29D6">
        <w:rPr>
          <w:rFonts w:cs="Arial"/>
          <w:b/>
          <w:sz w:val="22"/>
          <w:szCs w:val="22"/>
          <w:lang w:val="es-ES_tradnl"/>
        </w:rPr>
        <w:t>Fundamentos</w:t>
      </w:r>
    </w:p>
    <w:p w:rsidR="00686EE8" w:rsidRPr="002E29D6" w:rsidRDefault="00686EE8" w:rsidP="00686EE8">
      <w:pPr>
        <w:spacing w:line="276" w:lineRule="auto"/>
        <w:rPr>
          <w:rFonts w:cs="Arial"/>
          <w:sz w:val="22"/>
          <w:szCs w:val="22"/>
          <w:lang w:val="es-ES_tradnl"/>
        </w:rPr>
      </w:pPr>
    </w:p>
    <w:p w:rsidR="00FB6FE1" w:rsidRPr="002E29D6" w:rsidRDefault="009E6938" w:rsidP="00562A0A">
      <w:pPr>
        <w:spacing w:line="276" w:lineRule="auto"/>
        <w:rPr>
          <w:rFonts w:cs="Arial"/>
          <w:b/>
          <w:sz w:val="22"/>
          <w:szCs w:val="22"/>
          <w:lang w:val="es-ES_tradnl"/>
        </w:rPr>
      </w:pPr>
      <w:r w:rsidRPr="002E29D6">
        <w:rPr>
          <w:rFonts w:cs="Arial"/>
          <w:sz w:val="22"/>
          <w:szCs w:val="22"/>
          <w:lang w:val="es-ES_tradnl"/>
        </w:rPr>
        <w:t>La probidad y transparencia son uno d</w:t>
      </w:r>
      <w:bookmarkStart w:id="0" w:name="_GoBack"/>
      <w:bookmarkEnd w:id="0"/>
      <w:r w:rsidRPr="002E29D6">
        <w:rPr>
          <w:rFonts w:cs="Arial"/>
          <w:sz w:val="22"/>
          <w:szCs w:val="22"/>
          <w:lang w:val="es-ES_tradnl"/>
        </w:rPr>
        <w:t xml:space="preserve">e los pilares básicos en los que se sustenta el ejercicio de la función pública. Diversas normativas se han gestado en los últimos años, con el objeto de elevar los estándares a que están </w:t>
      </w:r>
      <w:proofErr w:type="gramStart"/>
      <w:r w:rsidRPr="002E29D6">
        <w:rPr>
          <w:rFonts w:cs="Arial"/>
          <w:sz w:val="22"/>
          <w:szCs w:val="22"/>
          <w:lang w:val="es-ES_tradnl"/>
        </w:rPr>
        <w:t>sujet</w:t>
      </w:r>
      <w:r w:rsidR="008C5F56">
        <w:rPr>
          <w:rFonts w:cs="Arial"/>
          <w:sz w:val="22"/>
          <w:szCs w:val="22"/>
          <w:lang w:val="es-ES_tradnl"/>
        </w:rPr>
        <w:t>a</w:t>
      </w:r>
      <w:r w:rsidRPr="002E29D6">
        <w:rPr>
          <w:rFonts w:cs="Arial"/>
          <w:sz w:val="22"/>
          <w:szCs w:val="22"/>
          <w:lang w:val="es-ES_tradnl"/>
        </w:rPr>
        <w:t>s</w:t>
      </w:r>
      <w:proofErr w:type="gramEnd"/>
      <w:r w:rsidRPr="002E29D6">
        <w:rPr>
          <w:rFonts w:cs="Arial"/>
          <w:sz w:val="22"/>
          <w:szCs w:val="22"/>
          <w:lang w:val="es-ES_tradnl"/>
        </w:rPr>
        <w:t xml:space="preserve"> las autoridades y funcionarios públicos, en el ejercicio de sus funciones y procedimientos.</w:t>
      </w:r>
      <w:r w:rsidR="00FB6FE1" w:rsidRPr="002E29D6">
        <w:rPr>
          <w:rFonts w:cs="Arial"/>
          <w:sz w:val="22"/>
          <w:szCs w:val="22"/>
          <w:lang w:val="es-ES_tradnl"/>
        </w:rPr>
        <w:t xml:space="preserve"> Se puede mencionar en esta categoría, </w:t>
      </w:r>
      <w:r w:rsidR="00E53E7D" w:rsidRPr="002E29D6">
        <w:rPr>
          <w:rFonts w:cs="Arial"/>
          <w:sz w:val="22"/>
          <w:szCs w:val="22"/>
          <w:lang w:val="es-ES_tradnl"/>
        </w:rPr>
        <w:t xml:space="preserve">la modificación al artículo 8° de la Constitución incorporando el principio de probidad y transparencia, </w:t>
      </w:r>
      <w:r w:rsidR="00FB6FE1" w:rsidRPr="002E29D6">
        <w:rPr>
          <w:rFonts w:cs="Arial"/>
          <w:sz w:val="22"/>
          <w:szCs w:val="22"/>
          <w:lang w:val="es-ES_tradnl"/>
        </w:rPr>
        <w:t xml:space="preserve">la </w:t>
      </w:r>
      <w:r w:rsidR="00FB6FE1" w:rsidRPr="002E29D6">
        <w:rPr>
          <w:rFonts w:eastAsia="Courier New" w:cs="Arial"/>
          <w:sz w:val="22"/>
          <w:szCs w:val="22"/>
        </w:rPr>
        <w:t xml:space="preserve">Ley que Regula el Lobby y las Gestiones de Intereses, </w:t>
      </w:r>
      <w:r w:rsidR="00FB6FE1" w:rsidRPr="002E29D6">
        <w:rPr>
          <w:rStyle w:val="nfasis"/>
          <w:rFonts w:cs="Arial"/>
          <w:bCs/>
          <w:i w:val="0"/>
          <w:iCs w:val="0"/>
          <w:sz w:val="22"/>
          <w:szCs w:val="22"/>
          <w:shd w:val="clear" w:color="auto" w:fill="FFFFFF"/>
        </w:rPr>
        <w:t>Ley de Transparencia de la</w:t>
      </w:r>
      <w:r w:rsidR="00FB6FE1" w:rsidRPr="002E29D6">
        <w:rPr>
          <w:rFonts w:cs="Arial"/>
          <w:sz w:val="22"/>
          <w:szCs w:val="22"/>
          <w:shd w:val="clear" w:color="auto" w:fill="FFFFFF"/>
        </w:rPr>
        <w:t xml:space="preserve"> Función Pública y de Acceso a la Información de la Administración del Estado y la Ley sobre Probidad en la Función Pública y Prevención de los Conflictos de Intereses. </w:t>
      </w:r>
    </w:p>
    <w:p w:rsidR="00FB6FE1" w:rsidRPr="002E29D6" w:rsidRDefault="00FB6FE1" w:rsidP="00686EE8">
      <w:pPr>
        <w:spacing w:line="276" w:lineRule="auto"/>
        <w:rPr>
          <w:rFonts w:cs="Arial"/>
          <w:sz w:val="22"/>
          <w:szCs w:val="22"/>
          <w:shd w:val="clear" w:color="auto" w:fill="FFFFFF"/>
        </w:rPr>
      </w:pPr>
    </w:p>
    <w:p w:rsidR="00FB6FE1" w:rsidRPr="002E29D6" w:rsidRDefault="00FB6FE1" w:rsidP="00686EE8">
      <w:pPr>
        <w:spacing w:line="276" w:lineRule="auto"/>
        <w:rPr>
          <w:rFonts w:cs="Arial"/>
          <w:sz w:val="22"/>
          <w:szCs w:val="22"/>
          <w:lang w:val="es-ES_tradnl"/>
        </w:rPr>
      </w:pPr>
      <w:r w:rsidRPr="002E29D6">
        <w:rPr>
          <w:rFonts w:cs="Arial"/>
          <w:sz w:val="22"/>
          <w:szCs w:val="22"/>
          <w:shd w:val="clear" w:color="auto" w:fill="FFFFFF"/>
        </w:rPr>
        <w:t>Sin perjuicio de lo anterior y del importante y fundamental efecto que aquella normativa, y las demás pertinentes puedan tener en el ejercicio de la función parlament</w:t>
      </w:r>
      <w:r w:rsidR="00491301" w:rsidRPr="002E29D6">
        <w:rPr>
          <w:rFonts w:cs="Arial"/>
          <w:sz w:val="22"/>
          <w:szCs w:val="22"/>
          <w:shd w:val="clear" w:color="auto" w:fill="FFFFFF"/>
        </w:rPr>
        <w:t>aria, resulta claro que existen</w:t>
      </w:r>
      <w:r w:rsidRPr="002E29D6">
        <w:rPr>
          <w:rFonts w:cs="Arial"/>
          <w:sz w:val="22"/>
          <w:szCs w:val="22"/>
          <w:shd w:val="clear" w:color="auto" w:fill="FFFFFF"/>
        </w:rPr>
        <w:t xml:space="preserve"> aún, en el Congreso Nacional, </w:t>
      </w:r>
      <w:r w:rsidR="008C5F56">
        <w:rPr>
          <w:rFonts w:cs="Arial"/>
          <w:sz w:val="22"/>
          <w:szCs w:val="22"/>
          <w:shd w:val="clear" w:color="auto" w:fill="FFFFFF"/>
        </w:rPr>
        <w:t xml:space="preserve">grandes </w:t>
      </w:r>
      <w:r w:rsidRPr="002E29D6">
        <w:rPr>
          <w:rFonts w:cs="Arial"/>
          <w:sz w:val="22"/>
          <w:szCs w:val="22"/>
          <w:lang w:val="es-ES_tradnl"/>
        </w:rPr>
        <w:t xml:space="preserve">espacios de discrecionalidad en que la legislación </w:t>
      </w:r>
      <w:r w:rsidR="00491301" w:rsidRPr="002E29D6">
        <w:rPr>
          <w:rFonts w:cs="Arial"/>
          <w:sz w:val="22"/>
          <w:szCs w:val="22"/>
          <w:lang w:val="es-ES_tradnl"/>
        </w:rPr>
        <w:t>actual no contempla normas explí</w:t>
      </w:r>
      <w:r w:rsidRPr="002E29D6">
        <w:rPr>
          <w:rFonts w:cs="Arial"/>
          <w:sz w:val="22"/>
          <w:szCs w:val="22"/>
          <w:lang w:val="es-ES_tradnl"/>
        </w:rPr>
        <w:t>citas sobre transparencia o probidad, o bien si las contempla, estas quedan libradas al cumplimiento voluntario del parlamentario.</w:t>
      </w:r>
    </w:p>
    <w:p w:rsidR="00FB6FE1" w:rsidRPr="002E29D6" w:rsidRDefault="00FB6FE1" w:rsidP="00686EE8">
      <w:pPr>
        <w:spacing w:line="276" w:lineRule="auto"/>
        <w:rPr>
          <w:rFonts w:cs="Arial"/>
          <w:sz w:val="22"/>
          <w:szCs w:val="22"/>
          <w:lang w:val="es-ES_tradnl"/>
        </w:rPr>
      </w:pPr>
    </w:p>
    <w:p w:rsidR="00FB6FE1" w:rsidRPr="002E29D6" w:rsidRDefault="00FB6FE1" w:rsidP="00686EE8">
      <w:pPr>
        <w:spacing w:line="276" w:lineRule="auto"/>
        <w:rPr>
          <w:rFonts w:cs="Arial"/>
          <w:sz w:val="22"/>
          <w:szCs w:val="22"/>
          <w:lang w:val="es-ES_tradnl"/>
        </w:rPr>
      </w:pPr>
      <w:r w:rsidRPr="002E29D6">
        <w:rPr>
          <w:rFonts w:cs="Arial"/>
          <w:sz w:val="22"/>
          <w:szCs w:val="22"/>
          <w:lang w:val="es-ES_tradnl"/>
        </w:rPr>
        <w:t xml:space="preserve">Se puede señalar, a modo ejemplar, el artículo 5° B de la Ley </w:t>
      </w:r>
      <w:r w:rsidR="00562A0A" w:rsidRPr="002E29D6">
        <w:rPr>
          <w:rFonts w:cs="Arial"/>
          <w:sz w:val="22"/>
          <w:szCs w:val="22"/>
          <w:lang w:val="es-ES_tradnl"/>
        </w:rPr>
        <w:t>Orgánica Constitucional</w:t>
      </w:r>
      <w:r w:rsidRPr="002E29D6">
        <w:rPr>
          <w:rFonts w:cs="Arial"/>
          <w:sz w:val="22"/>
          <w:szCs w:val="22"/>
          <w:lang w:val="es-ES_tradnl"/>
        </w:rPr>
        <w:t xml:space="preserve"> del Congreso Nacional, que establece la inhabil</w:t>
      </w:r>
      <w:r w:rsidR="00EF3ED3">
        <w:rPr>
          <w:rFonts w:cs="Arial"/>
          <w:sz w:val="22"/>
          <w:szCs w:val="22"/>
          <w:lang w:val="es-ES_tradnl"/>
        </w:rPr>
        <w:t>idad para promover o votar</w:t>
      </w:r>
      <w:r w:rsidRPr="002E29D6">
        <w:rPr>
          <w:rFonts w:cs="Arial"/>
          <w:sz w:val="22"/>
          <w:szCs w:val="22"/>
          <w:lang w:val="es-ES_tradnl"/>
        </w:rPr>
        <w:t xml:space="preserve"> un asunto sobre el cual el parlamentario tenga un interés directo o lo tengan ciertas personas ligadas por lazos de parentesco</w:t>
      </w:r>
      <w:r w:rsidR="00EF3ED3">
        <w:rPr>
          <w:rFonts w:cs="Arial"/>
          <w:sz w:val="22"/>
          <w:szCs w:val="22"/>
          <w:lang w:val="es-ES_tradnl"/>
        </w:rPr>
        <w:t>. E</w:t>
      </w:r>
      <w:r w:rsidR="00686EE8" w:rsidRPr="002E29D6">
        <w:rPr>
          <w:rFonts w:cs="Arial"/>
          <w:sz w:val="22"/>
          <w:szCs w:val="22"/>
          <w:lang w:val="es-ES_tradnl"/>
        </w:rPr>
        <w:t xml:space="preserve">sta inhabilidad también se contempla en el artículo 7° del Código </w:t>
      </w:r>
      <w:proofErr w:type="gramStart"/>
      <w:r w:rsidR="00686EE8" w:rsidRPr="002E29D6">
        <w:rPr>
          <w:rFonts w:cs="Arial"/>
          <w:sz w:val="22"/>
          <w:szCs w:val="22"/>
          <w:lang w:val="es-ES_tradnl"/>
        </w:rPr>
        <w:t>de</w:t>
      </w:r>
      <w:proofErr w:type="gramEnd"/>
      <w:r w:rsidR="00686EE8" w:rsidRPr="002E29D6">
        <w:rPr>
          <w:rFonts w:cs="Arial"/>
          <w:sz w:val="22"/>
          <w:szCs w:val="22"/>
          <w:lang w:val="es-ES_tradnl"/>
        </w:rPr>
        <w:t xml:space="preserve"> Conductas Parlamentarias</w:t>
      </w:r>
      <w:r w:rsidR="00EF3ED3">
        <w:rPr>
          <w:rFonts w:cs="Arial"/>
          <w:sz w:val="22"/>
          <w:szCs w:val="22"/>
          <w:lang w:val="es-ES_tradnl"/>
        </w:rPr>
        <w:t>.</w:t>
      </w:r>
      <w:r w:rsidRPr="002E29D6">
        <w:rPr>
          <w:rFonts w:cs="Arial"/>
          <w:sz w:val="22"/>
          <w:szCs w:val="22"/>
          <w:lang w:val="es-ES_tradnl"/>
        </w:rPr>
        <w:t xml:space="preserve"> Sin embargo, </w:t>
      </w:r>
      <w:r w:rsidR="00EF3ED3">
        <w:rPr>
          <w:rFonts w:cs="Arial"/>
          <w:sz w:val="22"/>
          <w:szCs w:val="22"/>
          <w:lang w:val="es-ES_tradnl"/>
        </w:rPr>
        <w:t>ni en la referida ley, ni en su Reglamento, o en el Código de Conductas Parlamentarias, s</w:t>
      </w:r>
      <w:r w:rsidRPr="002E29D6">
        <w:rPr>
          <w:rFonts w:cs="Arial"/>
          <w:sz w:val="22"/>
          <w:szCs w:val="22"/>
          <w:lang w:val="es-ES_tradnl"/>
        </w:rPr>
        <w:t xml:space="preserve">e establece norma alguna </w:t>
      </w:r>
      <w:r w:rsidR="00EF3ED3">
        <w:rPr>
          <w:rFonts w:cs="Arial"/>
          <w:sz w:val="22"/>
          <w:szCs w:val="22"/>
          <w:lang w:val="es-ES_tradnl"/>
        </w:rPr>
        <w:t xml:space="preserve">con la </w:t>
      </w:r>
      <w:r w:rsidRPr="002E29D6">
        <w:rPr>
          <w:rFonts w:cs="Arial"/>
          <w:sz w:val="22"/>
          <w:szCs w:val="22"/>
          <w:lang w:val="es-ES_tradnl"/>
        </w:rPr>
        <w:t>cual se pueda hacer efectiva dicha inhabilidad, fuera de la voluntariedad del sujeto supuestamente interesado, ni tampoco se establecen sanciones.</w:t>
      </w:r>
    </w:p>
    <w:p w:rsidR="00FB6FE1" w:rsidRPr="002E29D6" w:rsidRDefault="00FB6FE1" w:rsidP="00686EE8">
      <w:pPr>
        <w:spacing w:line="276" w:lineRule="auto"/>
        <w:rPr>
          <w:rFonts w:cs="Arial"/>
          <w:sz w:val="22"/>
          <w:szCs w:val="22"/>
          <w:lang w:val="es-ES_tradnl"/>
        </w:rPr>
      </w:pPr>
    </w:p>
    <w:p w:rsidR="00E53E7D" w:rsidRPr="002E29D6" w:rsidRDefault="00686EE8" w:rsidP="00686EE8">
      <w:pPr>
        <w:spacing w:line="276" w:lineRule="auto"/>
        <w:rPr>
          <w:rFonts w:cs="Arial"/>
          <w:sz w:val="22"/>
          <w:szCs w:val="22"/>
          <w:lang w:val="es-ES_tradnl"/>
        </w:rPr>
      </w:pPr>
      <w:r w:rsidRPr="002E29D6">
        <w:rPr>
          <w:rFonts w:cs="Arial"/>
          <w:sz w:val="22"/>
          <w:szCs w:val="22"/>
          <w:lang w:val="es-ES_tradnl"/>
        </w:rPr>
        <w:t>Otro aspecto que considerar</w:t>
      </w:r>
      <w:r w:rsidR="00E53E7D" w:rsidRPr="002E29D6">
        <w:rPr>
          <w:rFonts w:cs="Arial"/>
          <w:sz w:val="22"/>
          <w:szCs w:val="22"/>
          <w:lang w:val="es-ES_tradnl"/>
        </w:rPr>
        <w:t xml:space="preserve"> es la participación </w:t>
      </w:r>
      <w:r w:rsidR="00491301" w:rsidRPr="002E29D6">
        <w:rPr>
          <w:rFonts w:cs="Arial"/>
          <w:sz w:val="22"/>
          <w:szCs w:val="22"/>
          <w:lang w:val="es-ES_tradnl"/>
        </w:rPr>
        <w:t>de</w:t>
      </w:r>
      <w:r w:rsidR="00E53E7D" w:rsidRPr="002E29D6">
        <w:rPr>
          <w:rFonts w:cs="Arial"/>
          <w:sz w:val="22"/>
          <w:szCs w:val="22"/>
          <w:lang w:val="es-ES_tradnl"/>
        </w:rPr>
        <w:t xml:space="preserve"> personas externas al parlam</w:t>
      </w:r>
      <w:r w:rsidR="00491301" w:rsidRPr="002E29D6">
        <w:rPr>
          <w:rFonts w:cs="Arial"/>
          <w:sz w:val="22"/>
          <w:szCs w:val="22"/>
          <w:lang w:val="es-ES_tradnl"/>
        </w:rPr>
        <w:t>ento en las decisiones que toman</w:t>
      </w:r>
      <w:r w:rsidR="00E53E7D" w:rsidRPr="002E29D6">
        <w:rPr>
          <w:rFonts w:cs="Arial"/>
          <w:sz w:val="22"/>
          <w:szCs w:val="22"/>
          <w:lang w:val="es-ES_tradnl"/>
        </w:rPr>
        <w:t xml:space="preserve"> los legisladores. </w:t>
      </w:r>
    </w:p>
    <w:p w:rsidR="00E53E7D" w:rsidRPr="002E29D6" w:rsidRDefault="00E53E7D" w:rsidP="00686EE8">
      <w:pPr>
        <w:spacing w:line="276" w:lineRule="auto"/>
        <w:rPr>
          <w:rFonts w:cs="Arial"/>
          <w:sz w:val="22"/>
          <w:szCs w:val="22"/>
          <w:lang w:val="es-ES_tradnl"/>
        </w:rPr>
      </w:pPr>
    </w:p>
    <w:p w:rsidR="00E53E7D" w:rsidRPr="002E29D6" w:rsidRDefault="00E53E7D" w:rsidP="00686EE8">
      <w:pPr>
        <w:spacing w:line="276" w:lineRule="auto"/>
        <w:rPr>
          <w:rFonts w:cs="Arial"/>
          <w:sz w:val="22"/>
          <w:szCs w:val="22"/>
          <w:lang w:val="es-ES_tradnl"/>
        </w:rPr>
      </w:pPr>
      <w:r w:rsidRPr="002E29D6">
        <w:rPr>
          <w:rFonts w:cs="Arial"/>
          <w:sz w:val="22"/>
          <w:szCs w:val="22"/>
          <w:lang w:val="es-ES_tradnl"/>
        </w:rPr>
        <w:t>Por una parte, existe oscuridad respecto a la forma en que los parlamentarios son asesorados de forma “extraoficial”</w:t>
      </w:r>
      <w:r w:rsidR="00EF3ED3">
        <w:rPr>
          <w:rFonts w:cs="Arial"/>
          <w:sz w:val="22"/>
          <w:szCs w:val="22"/>
          <w:lang w:val="es-ES_tradnl"/>
        </w:rPr>
        <w:t>, fuera de la asesoría de su personal parlamentario o de las asesorías externas que pueda contratar</w:t>
      </w:r>
      <w:r w:rsidRPr="002E29D6">
        <w:rPr>
          <w:rFonts w:cs="Arial"/>
          <w:sz w:val="22"/>
          <w:szCs w:val="22"/>
          <w:lang w:val="es-ES_tradnl"/>
        </w:rPr>
        <w:t>. En efecto, diversas noticias han salido a la luz en los últimos años respecto a parlamentarios recibiendo instrucciones sobre la forma de proceder en un determinado proyecto.</w:t>
      </w:r>
    </w:p>
    <w:p w:rsidR="00E53E7D" w:rsidRPr="002E29D6" w:rsidRDefault="00E53E7D" w:rsidP="00686EE8">
      <w:pPr>
        <w:spacing w:line="276" w:lineRule="auto"/>
        <w:rPr>
          <w:rFonts w:cs="Arial"/>
          <w:sz w:val="22"/>
          <w:szCs w:val="22"/>
          <w:lang w:val="es-ES_tradnl"/>
        </w:rPr>
      </w:pPr>
    </w:p>
    <w:p w:rsidR="00E53E7D" w:rsidRPr="002E29D6" w:rsidRDefault="00E53E7D" w:rsidP="00686EE8">
      <w:pPr>
        <w:spacing w:line="276" w:lineRule="auto"/>
        <w:rPr>
          <w:rFonts w:cs="Arial"/>
          <w:sz w:val="22"/>
          <w:szCs w:val="22"/>
          <w:lang w:val="es-ES_tradnl"/>
        </w:rPr>
      </w:pPr>
      <w:r w:rsidRPr="002E29D6">
        <w:rPr>
          <w:rFonts w:cs="Arial"/>
          <w:sz w:val="22"/>
          <w:szCs w:val="22"/>
          <w:lang w:val="es-ES_tradnl"/>
        </w:rPr>
        <w:t>Sin perjuicio de que aquellos casos puedan, eventualmente, constituir delitos de cohecho</w:t>
      </w:r>
      <w:r w:rsidR="00686EE8" w:rsidRPr="002E29D6">
        <w:rPr>
          <w:rFonts w:cs="Arial"/>
          <w:sz w:val="22"/>
          <w:szCs w:val="22"/>
          <w:lang w:val="es-ES_tradnl"/>
        </w:rPr>
        <w:t xml:space="preserve">, </w:t>
      </w:r>
      <w:r w:rsidRPr="002E29D6">
        <w:rPr>
          <w:rFonts w:cs="Arial"/>
          <w:sz w:val="22"/>
          <w:szCs w:val="22"/>
          <w:lang w:val="es-ES_tradnl"/>
        </w:rPr>
        <w:t>soborno</w:t>
      </w:r>
      <w:r w:rsidR="00686EE8" w:rsidRPr="002E29D6">
        <w:rPr>
          <w:rFonts w:cs="Arial"/>
          <w:sz w:val="22"/>
          <w:szCs w:val="22"/>
          <w:lang w:val="es-ES_tradnl"/>
        </w:rPr>
        <w:t xml:space="preserve"> u otros delitos funcionarios</w:t>
      </w:r>
      <w:r w:rsidRPr="002E29D6">
        <w:rPr>
          <w:rFonts w:cs="Arial"/>
          <w:sz w:val="22"/>
          <w:szCs w:val="22"/>
          <w:lang w:val="es-ES_tradnl"/>
        </w:rPr>
        <w:t xml:space="preserve">, también existe la práctica de que </w:t>
      </w:r>
      <w:r w:rsidR="00686EE8" w:rsidRPr="002E29D6">
        <w:rPr>
          <w:rFonts w:cs="Arial"/>
          <w:sz w:val="22"/>
          <w:szCs w:val="22"/>
          <w:lang w:val="es-ES_tradnl"/>
        </w:rPr>
        <w:t>académicos</w:t>
      </w:r>
      <w:r w:rsidRPr="002E29D6">
        <w:rPr>
          <w:rFonts w:cs="Arial"/>
          <w:sz w:val="22"/>
          <w:szCs w:val="22"/>
          <w:lang w:val="es-ES_tradnl"/>
        </w:rPr>
        <w:t xml:space="preserve"> o fundaciones, asesor</w:t>
      </w:r>
      <w:r w:rsidR="00686EE8" w:rsidRPr="002E29D6">
        <w:rPr>
          <w:rFonts w:cs="Arial"/>
          <w:sz w:val="22"/>
          <w:szCs w:val="22"/>
          <w:lang w:val="es-ES_tradnl"/>
        </w:rPr>
        <w:t>e</w:t>
      </w:r>
      <w:r w:rsidRPr="002E29D6">
        <w:rPr>
          <w:rFonts w:cs="Arial"/>
          <w:sz w:val="22"/>
          <w:szCs w:val="22"/>
          <w:lang w:val="es-ES_tradnl"/>
        </w:rPr>
        <w:t xml:space="preserve">n a parlamentarios de forma </w:t>
      </w:r>
      <w:r w:rsidRPr="002E29D6">
        <w:rPr>
          <w:rFonts w:cs="Arial"/>
          <w:i/>
          <w:sz w:val="22"/>
          <w:szCs w:val="22"/>
          <w:lang w:val="es-ES_tradnl"/>
        </w:rPr>
        <w:t>ad honoren</w:t>
      </w:r>
      <w:r w:rsidRPr="002E29D6">
        <w:rPr>
          <w:rFonts w:cs="Arial"/>
          <w:sz w:val="22"/>
          <w:szCs w:val="22"/>
          <w:lang w:val="es-ES_tradnl"/>
        </w:rPr>
        <w:t xml:space="preserve">, y aquello no se encuentra </w:t>
      </w:r>
      <w:r w:rsidRPr="002E29D6">
        <w:rPr>
          <w:rFonts w:cs="Arial"/>
          <w:sz w:val="22"/>
          <w:szCs w:val="22"/>
          <w:lang w:val="es-ES_tradnl"/>
        </w:rPr>
        <w:lastRenderedPageBreak/>
        <w:t>cubierto por la legislación actual, lo que resulta grave, pues resulta fundamental conocer quiénes han influido en una determinada decisión legislativa.</w:t>
      </w:r>
    </w:p>
    <w:p w:rsidR="00E53E7D" w:rsidRPr="002E29D6" w:rsidRDefault="00E53E7D" w:rsidP="00686EE8">
      <w:pPr>
        <w:spacing w:line="276" w:lineRule="auto"/>
        <w:rPr>
          <w:rFonts w:cs="Arial"/>
          <w:sz w:val="22"/>
          <w:szCs w:val="22"/>
          <w:lang w:val="es-ES_tradnl"/>
        </w:rPr>
      </w:pPr>
    </w:p>
    <w:p w:rsidR="00E53E7D" w:rsidRPr="002E29D6" w:rsidRDefault="00E53E7D" w:rsidP="00686EE8">
      <w:pPr>
        <w:spacing w:line="276" w:lineRule="auto"/>
        <w:rPr>
          <w:rFonts w:cs="Arial"/>
          <w:sz w:val="22"/>
          <w:szCs w:val="22"/>
          <w:lang w:val="es-ES_tradnl"/>
        </w:rPr>
      </w:pPr>
      <w:r w:rsidRPr="002E29D6">
        <w:rPr>
          <w:rFonts w:cs="Arial"/>
          <w:sz w:val="22"/>
          <w:szCs w:val="22"/>
          <w:lang w:val="es-ES_tradnl"/>
        </w:rPr>
        <w:t>A su vez, resulta relevante incorporar la posibilidad de que personas, que no sean parlamentarios, puedan recurrir ante la Comisión de Ética y Transparencia respectiva, con el fin de poner en su consideración, asuntos de relevancia</w:t>
      </w:r>
      <w:r w:rsidR="00BB2943">
        <w:rPr>
          <w:rFonts w:cs="Arial"/>
          <w:sz w:val="22"/>
          <w:szCs w:val="22"/>
          <w:lang w:val="es-ES_tradnl"/>
        </w:rPr>
        <w:t>,</w:t>
      </w:r>
      <w:r w:rsidRPr="002E29D6">
        <w:rPr>
          <w:rFonts w:cs="Arial"/>
          <w:sz w:val="22"/>
          <w:szCs w:val="22"/>
          <w:lang w:val="es-ES_tradnl"/>
        </w:rPr>
        <w:t xml:space="preserve"> como conflictos de intereses que no hayan sido denunciados por parlamentarios, ya sea por su desconocimiento o por motivos de carácter político. El escrutinio ciudadano actualmente carece de herramientas para hacerse efectivo, fuera de los alcances propios de la </w:t>
      </w:r>
      <w:proofErr w:type="spellStart"/>
      <w:r w:rsidRPr="002E29D6">
        <w:rPr>
          <w:rFonts w:cs="Arial"/>
          <w:sz w:val="22"/>
          <w:szCs w:val="22"/>
          <w:lang w:val="es-ES_tradnl"/>
        </w:rPr>
        <w:t>viralización</w:t>
      </w:r>
      <w:proofErr w:type="spellEnd"/>
      <w:r w:rsidRPr="002E29D6">
        <w:rPr>
          <w:rFonts w:cs="Arial"/>
          <w:sz w:val="22"/>
          <w:szCs w:val="22"/>
          <w:lang w:val="es-ES_tradnl"/>
        </w:rPr>
        <w:t xml:space="preserve"> de denuncias ciudadanas</w:t>
      </w:r>
      <w:r w:rsidR="00491301" w:rsidRPr="002E29D6">
        <w:rPr>
          <w:rFonts w:cs="Arial"/>
          <w:sz w:val="22"/>
          <w:szCs w:val="22"/>
          <w:lang w:val="es-ES_tradnl"/>
        </w:rPr>
        <w:t xml:space="preserve"> a través de las redes sociales</w:t>
      </w:r>
      <w:r w:rsidRPr="002E29D6">
        <w:rPr>
          <w:rFonts w:cs="Arial"/>
          <w:sz w:val="22"/>
          <w:szCs w:val="22"/>
          <w:lang w:val="es-ES_tradnl"/>
        </w:rPr>
        <w:t xml:space="preserve"> o los efectos de los medios de prensa.</w:t>
      </w:r>
    </w:p>
    <w:p w:rsidR="00E53E7D" w:rsidRPr="002E29D6" w:rsidRDefault="00E53E7D" w:rsidP="00686EE8">
      <w:pPr>
        <w:spacing w:line="276" w:lineRule="auto"/>
        <w:rPr>
          <w:rFonts w:cs="Arial"/>
          <w:sz w:val="22"/>
          <w:szCs w:val="22"/>
          <w:lang w:val="es-ES_tradnl"/>
        </w:rPr>
      </w:pPr>
    </w:p>
    <w:p w:rsidR="00BB2943" w:rsidRDefault="00E53E7D" w:rsidP="00686EE8">
      <w:pPr>
        <w:spacing w:line="276" w:lineRule="auto"/>
        <w:rPr>
          <w:rFonts w:cs="Arial"/>
          <w:sz w:val="22"/>
          <w:szCs w:val="22"/>
          <w:lang w:val="es-ES_tradnl"/>
        </w:rPr>
      </w:pPr>
      <w:r w:rsidRPr="002E29D6">
        <w:rPr>
          <w:rFonts w:cs="Arial"/>
          <w:sz w:val="22"/>
          <w:szCs w:val="22"/>
          <w:lang w:val="es-ES_tradnl"/>
        </w:rPr>
        <w:t>Estas lagunas legislativas</w:t>
      </w:r>
      <w:r w:rsidR="004D2F5E" w:rsidRPr="002E29D6">
        <w:rPr>
          <w:rFonts w:cs="Arial"/>
          <w:sz w:val="22"/>
          <w:szCs w:val="22"/>
          <w:lang w:val="es-ES_tradnl"/>
        </w:rPr>
        <w:t>, que dan lugar a a</w:t>
      </w:r>
      <w:r w:rsidR="00491301" w:rsidRPr="002E29D6">
        <w:rPr>
          <w:rFonts w:cs="Arial"/>
          <w:sz w:val="22"/>
          <w:szCs w:val="22"/>
          <w:lang w:val="es-ES_tradnl"/>
        </w:rPr>
        <w:t xml:space="preserve">mplios espacios </w:t>
      </w:r>
      <w:r w:rsidR="005771E6">
        <w:rPr>
          <w:rFonts w:cs="Arial"/>
          <w:sz w:val="22"/>
          <w:szCs w:val="22"/>
          <w:lang w:val="es-ES_tradnl"/>
        </w:rPr>
        <w:t>par</w:t>
      </w:r>
      <w:r w:rsidR="00491301" w:rsidRPr="002E29D6">
        <w:rPr>
          <w:rFonts w:cs="Arial"/>
          <w:sz w:val="22"/>
          <w:szCs w:val="22"/>
          <w:lang w:val="es-ES_tradnl"/>
        </w:rPr>
        <w:t>a la corrupción, han incidido</w:t>
      </w:r>
      <w:r w:rsidR="00BB2943">
        <w:rPr>
          <w:rFonts w:cs="Arial"/>
          <w:sz w:val="22"/>
          <w:szCs w:val="22"/>
          <w:lang w:val="es-ES_tradnl"/>
        </w:rPr>
        <w:t xml:space="preserve"> </w:t>
      </w:r>
      <w:r w:rsidR="00491301" w:rsidRPr="002E29D6">
        <w:rPr>
          <w:rFonts w:cs="Arial"/>
          <w:sz w:val="22"/>
          <w:szCs w:val="22"/>
          <w:lang w:val="es-ES_tradnl"/>
        </w:rPr>
        <w:t>en la significativa pé</w:t>
      </w:r>
      <w:r w:rsidRPr="002E29D6">
        <w:rPr>
          <w:rFonts w:cs="Arial"/>
          <w:sz w:val="22"/>
          <w:szCs w:val="22"/>
          <w:lang w:val="es-ES_tradnl"/>
        </w:rPr>
        <w:t xml:space="preserve">rdida de confianza </w:t>
      </w:r>
      <w:r w:rsidR="005771E6">
        <w:rPr>
          <w:rFonts w:cs="Arial"/>
          <w:sz w:val="22"/>
          <w:szCs w:val="22"/>
          <w:lang w:val="es-ES_tradnl"/>
        </w:rPr>
        <w:t xml:space="preserve">de la ciudadanía hacía las </w:t>
      </w:r>
      <w:proofErr w:type="spellStart"/>
      <w:r w:rsidR="00491301" w:rsidRPr="002E29D6">
        <w:rPr>
          <w:rFonts w:cs="Arial"/>
          <w:sz w:val="22"/>
          <w:szCs w:val="22"/>
          <w:lang w:val="es-ES_tradnl"/>
        </w:rPr>
        <w:t>las</w:t>
      </w:r>
      <w:proofErr w:type="spellEnd"/>
      <w:r w:rsidR="00491301" w:rsidRPr="002E29D6">
        <w:rPr>
          <w:rFonts w:cs="Arial"/>
          <w:sz w:val="22"/>
          <w:szCs w:val="22"/>
          <w:lang w:val="es-ES_tradnl"/>
        </w:rPr>
        <w:t xml:space="preserve"> labores parlamentarias y</w:t>
      </w:r>
      <w:r w:rsidR="00BB2943">
        <w:rPr>
          <w:rFonts w:cs="Arial"/>
          <w:sz w:val="22"/>
          <w:szCs w:val="22"/>
          <w:lang w:val="es-ES_tradnl"/>
        </w:rPr>
        <w:t xml:space="preserve"> </w:t>
      </w:r>
      <w:r w:rsidR="00491301" w:rsidRPr="002E29D6">
        <w:rPr>
          <w:rFonts w:cs="Arial"/>
          <w:sz w:val="22"/>
          <w:szCs w:val="22"/>
          <w:lang w:val="es-ES_tradnl"/>
        </w:rPr>
        <w:t>la imagen d</w:t>
      </w:r>
      <w:r w:rsidRPr="002E29D6">
        <w:rPr>
          <w:rFonts w:cs="Arial"/>
          <w:sz w:val="22"/>
          <w:szCs w:val="22"/>
          <w:lang w:val="es-ES_tradnl"/>
        </w:rPr>
        <w:t xml:space="preserve">el Congreso Nacional en </w:t>
      </w:r>
      <w:r w:rsidR="00491301" w:rsidRPr="002E29D6">
        <w:rPr>
          <w:rFonts w:cs="Arial"/>
          <w:sz w:val="22"/>
          <w:szCs w:val="22"/>
          <w:lang w:val="es-ES_tradnl"/>
        </w:rPr>
        <w:t>general</w:t>
      </w:r>
      <w:r w:rsidR="00686EE8" w:rsidRPr="002E29D6">
        <w:rPr>
          <w:rFonts w:cs="Arial"/>
          <w:sz w:val="22"/>
          <w:szCs w:val="22"/>
          <w:lang w:val="es-ES_tradnl"/>
        </w:rPr>
        <w:t xml:space="preserve">. Así, el estudio de </w:t>
      </w:r>
      <w:r w:rsidR="004D2F5E" w:rsidRPr="002E29D6">
        <w:rPr>
          <w:rFonts w:cs="Arial"/>
          <w:sz w:val="22"/>
          <w:szCs w:val="22"/>
          <w:shd w:val="clear" w:color="auto" w:fill="FFFFFF"/>
        </w:rPr>
        <w:t>opinión pública del Centro de Estudios Públicos (CEP) del año 2017, ubica al Congreso Nacional en el úl</w:t>
      </w:r>
      <w:r w:rsidR="00491301" w:rsidRPr="002E29D6">
        <w:rPr>
          <w:rFonts w:cs="Arial"/>
          <w:sz w:val="22"/>
          <w:szCs w:val="22"/>
          <w:shd w:val="clear" w:color="auto" w:fill="FFFFFF"/>
        </w:rPr>
        <w:t>t</w:t>
      </w:r>
      <w:r w:rsidR="004D2F5E" w:rsidRPr="002E29D6">
        <w:rPr>
          <w:rFonts w:cs="Arial"/>
          <w:sz w:val="22"/>
          <w:szCs w:val="22"/>
          <w:shd w:val="clear" w:color="auto" w:fill="FFFFFF"/>
        </w:rPr>
        <w:t>imo lugar de su tabla de confiabilidad, con apenas un 6%.  Luego, no resulta extraño que aquello se exprese, e</w:t>
      </w:r>
      <w:r w:rsidR="00686EE8" w:rsidRPr="002E29D6">
        <w:rPr>
          <w:rFonts w:cs="Arial"/>
          <w:sz w:val="22"/>
          <w:szCs w:val="22"/>
          <w:lang w:val="es-ES_tradnl"/>
        </w:rPr>
        <w:t xml:space="preserve">n </w:t>
      </w:r>
      <w:r w:rsidR="004D2F5E" w:rsidRPr="002E29D6">
        <w:rPr>
          <w:rFonts w:cs="Arial"/>
          <w:sz w:val="22"/>
          <w:szCs w:val="22"/>
          <w:lang w:val="es-ES_tradnl"/>
        </w:rPr>
        <w:t>una</w:t>
      </w:r>
      <w:r w:rsidR="00BB2943">
        <w:rPr>
          <w:rFonts w:cs="Arial"/>
          <w:sz w:val="22"/>
          <w:szCs w:val="22"/>
          <w:lang w:val="es-ES_tradnl"/>
        </w:rPr>
        <w:t xml:space="preserve"> baja participación electoral.</w:t>
      </w:r>
    </w:p>
    <w:p w:rsidR="00686EE8" w:rsidRPr="002E29D6" w:rsidRDefault="00BB2943" w:rsidP="00686EE8">
      <w:pPr>
        <w:spacing w:line="276" w:lineRule="auto"/>
        <w:rPr>
          <w:rFonts w:cs="Arial"/>
          <w:sz w:val="22"/>
          <w:szCs w:val="22"/>
          <w:lang w:val="es-ES_tradnl"/>
        </w:rPr>
      </w:pPr>
      <w:r w:rsidRPr="002E29D6">
        <w:rPr>
          <w:rFonts w:cs="Arial"/>
          <w:sz w:val="22"/>
          <w:szCs w:val="22"/>
          <w:lang w:val="es-ES_tradnl"/>
        </w:rPr>
        <w:t xml:space="preserve"> </w:t>
      </w:r>
    </w:p>
    <w:p w:rsidR="00E53E7D" w:rsidRPr="002E29D6" w:rsidRDefault="00E53E7D" w:rsidP="00686EE8">
      <w:pPr>
        <w:spacing w:line="276" w:lineRule="auto"/>
        <w:rPr>
          <w:rFonts w:cs="Arial"/>
          <w:sz w:val="22"/>
          <w:szCs w:val="22"/>
          <w:lang w:val="es-ES_tradnl"/>
        </w:rPr>
      </w:pPr>
      <w:r w:rsidRPr="002E29D6">
        <w:rPr>
          <w:rFonts w:cs="Arial"/>
          <w:sz w:val="22"/>
          <w:szCs w:val="22"/>
          <w:lang w:val="es-ES_tradnl"/>
        </w:rPr>
        <w:t>Por ello resulta necesario elevar los estándares de transparencia con los que actualmente trabaja el Congreso, poniendo luz sobre los aspectos relevantes de su funcionamiento, dándole herramientas a los ciudadanos para hacerse parte de la labor que llevan a cabo sus parlamentarios, y para fiscalizar a los mismos de igual forma.</w:t>
      </w:r>
    </w:p>
    <w:p w:rsidR="00D86850" w:rsidRPr="002E29D6" w:rsidRDefault="00D86850" w:rsidP="00686EE8">
      <w:pPr>
        <w:spacing w:line="276" w:lineRule="auto"/>
        <w:rPr>
          <w:rFonts w:cs="Arial"/>
          <w:b/>
          <w:sz w:val="22"/>
          <w:szCs w:val="22"/>
          <w:lang w:val="es-ES_tradnl"/>
        </w:rPr>
      </w:pPr>
    </w:p>
    <w:p w:rsidR="00F2768B" w:rsidRPr="002E29D6" w:rsidRDefault="00F2768B" w:rsidP="00686EE8">
      <w:pPr>
        <w:spacing w:line="276" w:lineRule="auto"/>
        <w:rPr>
          <w:rFonts w:cs="Arial"/>
          <w:b/>
          <w:sz w:val="22"/>
          <w:szCs w:val="22"/>
          <w:lang w:val="es-ES_tradnl"/>
        </w:rPr>
      </w:pPr>
    </w:p>
    <w:p w:rsidR="00767F93" w:rsidRPr="002E29D6" w:rsidRDefault="00F2768B" w:rsidP="00686EE8">
      <w:pPr>
        <w:pStyle w:val="Prrafodelista"/>
        <w:numPr>
          <w:ilvl w:val="0"/>
          <w:numId w:val="10"/>
        </w:numPr>
        <w:spacing w:line="276" w:lineRule="auto"/>
        <w:rPr>
          <w:rFonts w:cs="Arial"/>
          <w:b/>
          <w:sz w:val="22"/>
          <w:szCs w:val="22"/>
          <w:lang w:val="es-ES_tradnl"/>
        </w:rPr>
      </w:pPr>
      <w:r w:rsidRPr="002E29D6">
        <w:rPr>
          <w:rFonts w:cs="Arial"/>
          <w:b/>
          <w:sz w:val="22"/>
          <w:szCs w:val="22"/>
          <w:lang w:val="es-ES_tradnl"/>
        </w:rPr>
        <w:t>Idea matriz</w:t>
      </w:r>
    </w:p>
    <w:p w:rsidR="00767F93" w:rsidRPr="002E29D6" w:rsidRDefault="00767F93" w:rsidP="00686EE8">
      <w:pPr>
        <w:spacing w:line="276" w:lineRule="auto"/>
        <w:rPr>
          <w:rFonts w:cs="Arial"/>
          <w:b/>
          <w:sz w:val="22"/>
          <w:szCs w:val="22"/>
          <w:lang w:val="es-ES_tradnl"/>
        </w:rPr>
      </w:pPr>
    </w:p>
    <w:p w:rsidR="00FB6FE1" w:rsidRPr="002E29D6" w:rsidRDefault="00767F93" w:rsidP="00686EE8">
      <w:pPr>
        <w:spacing w:line="276" w:lineRule="auto"/>
        <w:rPr>
          <w:rFonts w:cs="Arial"/>
          <w:sz w:val="22"/>
          <w:szCs w:val="22"/>
          <w:shd w:val="clear" w:color="auto" w:fill="FFFFFF"/>
        </w:rPr>
      </w:pPr>
      <w:r w:rsidRPr="002E29D6">
        <w:rPr>
          <w:rFonts w:eastAsia="Courier New" w:cs="Arial"/>
          <w:sz w:val="22"/>
          <w:szCs w:val="22"/>
        </w:rPr>
        <w:t xml:space="preserve">La presente moción, que contempla modificaciones a la Ley </w:t>
      </w:r>
      <w:r w:rsidR="00562A0A" w:rsidRPr="002E29D6">
        <w:rPr>
          <w:rFonts w:eastAsia="Courier New" w:cs="Arial"/>
          <w:sz w:val="22"/>
          <w:szCs w:val="22"/>
        </w:rPr>
        <w:t>Orgánica Constitucional</w:t>
      </w:r>
      <w:r w:rsidR="00BB2943">
        <w:rPr>
          <w:rFonts w:eastAsia="Courier New" w:cs="Arial"/>
          <w:sz w:val="22"/>
          <w:szCs w:val="22"/>
        </w:rPr>
        <w:t xml:space="preserve"> del Congreso Nacional y</w:t>
      </w:r>
      <w:r w:rsidRPr="002E29D6">
        <w:rPr>
          <w:rFonts w:eastAsia="Courier New" w:cs="Arial"/>
          <w:sz w:val="22"/>
          <w:szCs w:val="22"/>
        </w:rPr>
        <w:t xml:space="preserve"> la Ley que Regula el Lobby y las Gestiones de Intereses,</w:t>
      </w:r>
      <w:r w:rsidR="00BB2943">
        <w:rPr>
          <w:rFonts w:eastAsia="Courier New" w:cs="Arial"/>
          <w:sz w:val="22"/>
          <w:szCs w:val="22"/>
        </w:rPr>
        <w:t xml:space="preserve"> para </w:t>
      </w:r>
      <w:r w:rsidR="00BB2943">
        <w:rPr>
          <w:rFonts w:cs="Arial"/>
          <w:sz w:val="22"/>
          <w:szCs w:val="22"/>
          <w:shd w:val="clear" w:color="auto" w:fill="FFFFFF"/>
        </w:rPr>
        <w:t>establecer un</w:t>
      </w:r>
      <w:r w:rsidRPr="002E29D6">
        <w:rPr>
          <w:rFonts w:cs="Arial"/>
          <w:sz w:val="22"/>
          <w:szCs w:val="22"/>
          <w:shd w:val="clear" w:color="auto" w:fill="FFFFFF"/>
        </w:rPr>
        <w:t xml:space="preserve"> estándar más elevado de transparencia y probidad en las actuaciones de las Cámaras del Congreso Nacional, así como sus parlamentarios</w:t>
      </w:r>
      <w:r w:rsidR="00FB6FE1" w:rsidRPr="002E29D6">
        <w:rPr>
          <w:rFonts w:cs="Arial"/>
          <w:sz w:val="22"/>
          <w:szCs w:val="22"/>
          <w:shd w:val="clear" w:color="auto" w:fill="FFFFFF"/>
        </w:rPr>
        <w:t>, del que contempla la legislación actual.</w:t>
      </w:r>
    </w:p>
    <w:p w:rsidR="00FB6FE1" w:rsidRPr="002E29D6" w:rsidRDefault="00FB6FE1" w:rsidP="00686EE8">
      <w:pPr>
        <w:spacing w:line="276" w:lineRule="auto"/>
        <w:rPr>
          <w:rFonts w:cs="Arial"/>
          <w:sz w:val="22"/>
          <w:szCs w:val="22"/>
          <w:shd w:val="clear" w:color="auto" w:fill="FFFFFF"/>
        </w:rPr>
      </w:pPr>
    </w:p>
    <w:p w:rsidR="00FB6FE1" w:rsidRPr="002E29D6" w:rsidRDefault="00FB6FE1" w:rsidP="00686EE8">
      <w:pPr>
        <w:spacing w:line="276" w:lineRule="auto"/>
        <w:rPr>
          <w:rFonts w:cs="Arial"/>
          <w:bCs/>
          <w:sz w:val="22"/>
          <w:szCs w:val="22"/>
          <w:lang w:val="es-ES_tradnl"/>
        </w:rPr>
      </w:pPr>
      <w:r w:rsidRPr="002E29D6">
        <w:rPr>
          <w:rFonts w:cs="Arial"/>
          <w:sz w:val="22"/>
          <w:szCs w:val="22"/>
          <w:shd w:val="clear" w:color="auto" w:fill="FFFFFF"/>
        </w:rPr>
        <w:t>Para ello</w:t>
      </w:r>
      <w:r w:rsidR="00BB2943">
        <w:rPr>
          <w:rFonts w:cs="Arial"/>
          <w:sz w:val="22"/>
          <w:szCs w:val="22"/>
          <w:shd w:val="clear" w:color="auto" w:fill="FFFFFF"/>
        </w:rPr>
        <w:t xml:space="preserve"> </w:t>
      </w:r>
      <w:r w:rsidRPr="002E29D6">
        <w:rPr>
          <w:rFonts w:cs="Arial"/>
          <w:sz w:val="22"/>
          <w:szCs w:val="22"/>
          <w:shd w:val="clear" w:color="auto" w:fill="FFFFFF"/>
        </w:rPr>
        <w:t xml:space="preserve">el proyecto de ley </w:t>
      </w:r>
      <w:r w:rsidRPr="002E29D6">
        <w:rPr>
          <w:rFonts w:cs="Arial"/>
          <w:sz w:val="22"/>
          <w:szCs w:val="22"/>
          <w:lang w:val="es-ES_tradnl"/>
        </w:rPr>
        <w:t>modifica el sistema de inhabilidades parlamentarias, su forma de hacerlas efectivas y su</w:t>
      </w:r>
      <w:r w:rsidR="00BB2943">
        <w:rPr>
          <w:rFonts w:cs="Arial"/>
          <w:sz w:val="22"/>
          <w:szCs w:val="22"/>
          <w:lang w:val="es-ES_tradnl"/>
        </w:rPr>
        <w:t>s consecuencias; incorpora nueva</w:t>
      </w:r>
      <w:r w:rsidRPr="002E29D6">
        <w:rPr>
          <w:rFonts w:cs="Arial"/>
          <w:sz w:val="22"/>
          <w:szCs w:val="22"/>
          <w:lang w:val="es-ES_tradnl"/>
        </w:rPr>
        <w:t>s formas de recurrir ante la Comisión de Ética y Transparencia por personas que no sean parlamentarios; establece la obligación de transparentar</w:t>
      </w:r>
      <w:r w:rsidR="00BB2943">
        <w:rPr>
          <w:rFonts w:cs="Arial"/>
          <w:sz w:val="22"/>
          <w:szCs w:val="22"/>
          <w:lang w:val="es-ES_tradnl"/>
        </w:rPr>
        <w:t xml:space="preserve"> las asesorías no remuneradas; </w:t>
      </w:r>
      <w:r w:rsidRPr="002E29D6">
        <w:rPr>
          <w:rFonts w:cs="Arial"/>
          <w:sz w:val="22"/>
          <w:szCs w:val="22"/>
          <w:lang w:val="es-ES_tradnl"/>
        </w:rPr>
        <w:t xml:space="preserve">y </w:t>
      </w:r>
      <w:r w:rsidR="00BB2943">
        <w:rPr>
          <w:rFonts w:cs="Arial"/>
          <w:sz w:val="22"/>
          <w:szCs w:val="22"/>
          <w:lang w:val="es-ES_tradnl"/>
        </w:rPr>
        <w:t xml:space="preserve">finalmente, crea la </w:t>
      </w:r>
      <w:r w:rsidRPr="002E29D6">
        <w:rPr>
          <w:rFonts w:cs="Arial"/>
          <w:sz w:val="22"/>
          <w:szCs w:val="22"/>
          <w:lang w:val="es-ES_tradnl"/>
        </w:rPr>
        <w:t xml:space="preserve">prohibición de ser lobista o gestor de intereses hasta doce meses luego de cesar en el cargo de diputado o senador.  </w:t>
      </w:r>
    </w:p>
    <w:p w:rsidR="00767F93" w:rsidRPr="002E29D6" w:rsidRDefault="00767F93" w:rsidP="00686EE8">
      <w:pPr>
        <w:spacing w:line="276" w:lineRule="auto"/>
        <w:rPr>
          <w:rFonts w:eastAsia="Courier New" w:cs="Arial"/>
          <w:sz w:val="22"/>
          <w:szCs w:val="22"/>
        </w:rPr>
      </w:pPr>
    </w:p>
    <w:p w:rsidR="00F2768B" w:rsidRPr="002E29D6" w:rsidRDefault="00F2768B" w:rsidP="00686EE8">
      <w:pPr>
        <w:spacing w:line="276" w:lineRule="auto"/>
        <w:rPr>
          <w:rFonts w:cs="Arial"/>
          <w:b/>
          <w:sz w:val="22"/>
          <w:szCs w:val="22"/>
          <w:lang w:val="es-ES_tradnl"/>
        </w:rPr>
      </w:pPr>
    </w:p>
    <w:p w:rsidR="00F2768B" w:rsidRPr="002E29D6" w:rsidRDefault="00F2768B" w:rsidP="00686EE8">
      <w:pPr>
        <w:pStyle w:val="Prrafodelista"/>
        <w:numPr>
          <w:ilvl w:val="0"/>
          <w:numId w:val="10"/>
        </w:numPr>
        <w:spacing w:line="276" w:lineRule="auto"/>
        <w:rPr>
          <w:rFonts w:cs="Arial"/>
          <w:b/>
          <w:sz w:val="22"/>
          <w:szCs w:val="22"/>
          <w:lang w:val="es-ES_tradnl"/>
        </w:rPr>
      </w:pPr>
      <w:r w:rsidRPr="002E29D6">
        <w:rPr>
          <w:rFonts w:cs="Arial"/>
          <w:b/>
          <w:sz w:val="22"/>
          <w:szCs w:val="22"/>
          <w:lang w:val="es-ES_tradnl"/>
        </w:rPr>
        <w:t>Contenido</w:t>
      </w:r>
    </w:p>
    <w:p w:rsidR="0069596E" w:rsidRPr="002E29D6" w:rsidRDefault="0069596E" w:rsidP="00686EE8">
      <w:pPr>
        <w:spacing w:line="276" w:lineRule="auto"/>
        <w:rPr>
          <w:rFonts w:cs="Arial"/>
          <w:b/>
          <w:sz w:val="22"/>
          <w:szCs w:val="22"/>
          <w:lang w:val="es-ES_tradnl"/>
        </w:rPr>
      </w:pPr>
    </w:p>
    <w:p w:rsidR="005056CC" w:rsidRPr="002E29D6" w:rsidRDefault="005056CC" w:rsidP="00686EE8">
      <w:pPr>
        <w:pStyle w:val="Prrafodelista"/>
        <w:numPr>
          <w:ilvl w:val="0"/>
          <w:numId w:val="8"/>
        </w:numPr>
        <w:spacing w:line="276" w:lineRule="auto"/>
        <w:rPr>
          <w:rFonts w:cs="Arial"/>
          <w:b/>
          <w:sz w:val="22"/>
          <w:szCs w:val="22"/>
          <w:lang w:val="es-ES_tradnl"/>
        </w:rPr>
      </w:pPr>
      <w:r w:rsidRPr="002E29D6">
        <w:rPr>
          <w:rFonts w:cs="Arial"/>
          <w:b/>
          <w:sz w:val="22"/>
          <w:szCs w:val="22"/>
          <w:lang w:val="es-ES_tradnl"/>
        </w:rPr>
        <w:t xml:space="preserve">Modificación del sistema de inhabilidades parlamentarias por conflicto de intereses. </w:t>
      </w:r>
    </w:p>
    <w:p w:rsidR="0069596E" w:rsidRPr="002E29D6" w:rsidRDefault="0069596E" w:rsidP="00686EE8">
      <w:pPr>
        <w:spacing w:line="276" w:lineRule="auto"/>
        <w:rPr>
          <w:rFonts w:cs="Arial"/>
          <w:b/>
          <w:sz w:val="22"/>
          <w:szCs w:val="22"/>
          <w:lang w:val="es-ES_tradnl"/>
        </w:rPr>
      </w:pPr>
    </w:p>
    <w:p w:rsidR="005056CC" w:rsidRPr="002E29D6" w:rsidRDefault="005056CC" w:rsidP="00686EE8">
      <w:pPr>
        <w:spacing w:line="276" w:lineRule="auto"/>
        <w:rPr>
          <w:rFonts w:cs="Arial"/>
          <w:sz w:val="22"/>
          <w:szCs w:val="22"/>
          <w:lang w:val="es-ES_tradnl"/>
        </w:rPr>
      </w:pPr>
      <w:r w:rsidRPr="002E29D6">
        <w:rPr>
          <w:rFonts w:cs="Arial"/>
          <w:sz w:val="22"/>
          <w:szCs w:val="22"/>
          <w:lang w:val="es-ES_tradnl"/>
        </w:rPr>
        <w:lastRenderedPageBreak/>
        <w:t xml:space="preserve">El artículo 5° B de la Ley </w:t>
      </w:r>
      <w:r w:rsidR="00562A0A" w:rsidRPr="002E29D6">
        <w:rPr>
          <w:rFonts w:cs="Arial"/>
          <w:sz w:val="22"/>
          <w:szCs w:val="22"/>
          <w:lang w:val="es-ES_tradnl"/>
        </w:rPr>
        <w:t>Orgánica Constitucional</w:t>
      </w:r>
      <w:r w:rsidRPr="002E29D6">
        <w:rPr>
          <w:rFonts w:cs="Arial"/>
          <w:sz w:val="22"/>
          <w:szCs w:val="22"/>
          <w:lang w:val="es-ES_tradnl"/>
        </w:rPr>
        <w:t xml:space="preserve"> del Congreso Nacional, contempla actualmente la inhabilitación del parlamentario de promover o votar un asunto en que él o ciertas personas respecto de l</w:t>
      </w:r>
      <w:r w:rsidR="00491301" w:rsidRPr="002E29D6">
        <w:rPr>
          <w:rFonts w:cs="Arial"/>
          <w:sz w:val="22"/>
          <w:szCs w:val="22"/>
          <w:lang w:val="es-ES_tradnl"/>
        </w:rPr>
        <w:t>as cuales tenga un ví</w:t>
      </w:r>
      <w:r w:rsidRPr="002E29D6">
        <w:rPr>
          <w:rFonts w:cs="Arial"/>
          <w:sz w:val="22"/>
          <w:szCs w:val="22"/>
          <w:lang w:val="es-ES_tradnl"/>
        </w:rPr>
        <w:t xml:space="preserve">nculo de parentesco, tengan interés. Sin perjuicio de aquello, la normativa no contempla un procedimiento para hacer efectiva dicha inhabilidad, las consecuencias que aquella tendría en el </w:t>
      </w:r>
      <w:r w:rsidR="00BB2943" w:rsidRPr="002E29D6">
        <w:rPr>
          <w:rFonts w:cs="Arial"/>
          <w:sz w:val="22"/>
          <w:szCs w:val="22"/>
          <w:lang w:val="es-ES_tradnl"/>
        </w:rPr>
        <w:t>quórum</w:t>
      </w:r>
      <w:r w:rsidRPr="002E29D6">
        <w:rPr>
          <w:rFonts w:cs="Arial"/>
          <w:sz w:val="22"/>
          <w:szCs w:val="22"/>
          <w:lang w:val="es-ES_tradnl"/>
        </w:rPr>
        <w:t xml:space="preserve"> de votación, ni tampoco sanciones para su incumplimiento. </w:t>
      </w:r>
    </w:p>
    <w:p w:rsidR="005056CC" w:rsidRDefault="005056CC" w:rsidP="00686EE8">
      <w:pPr>
        <w:spacing w:line="276" w:lineRule="auto"/>
        <w:rPr>
          <w:rFonts w:cs="Arial"/>
          <w:sz w:val="22"/>
          <w:szCs w:val="22"/>
          <w:lang w:val="es-ES_tradnl"/>
        </w:rPr>
      </w:pPr>
    </w:p>
    <w:p w:rsidR="005056CC" w:rsidRPr="002E29D6" w:rsidRDefault="00BB2943" w:rsidP="00686EE8">
      <w:pPr>
        <w:spacing w:line="276" w:lineRule="auto"/>
        <w:rPr>
          <w:rFonts w:cs="Arial"/>
          <w:sz w:val="22"/>
          <w:szCs w:val="22"/>
          <w:lang w:val="es-ES_tradnl"/>
        </w:rPr>
      </w:pPr>
      <w:r>
        <w:rPr>
          <w:rFonts w:cs="Arial"/>
          <w:sz w:val="22"/>
          <w:szCs w:val="22"/>
          <w:lang w:val="es-ES_tradnl"/>
        </w:rPr>
        <w:t xml:space="preserve">Para ello, el proyecto establece un procedimiento para que un tercer parlamentario, o en general, cualquier persona interesada, pueda denunciar ante la Comisión de Ética y Transparencia, los conflictos de interés que puedan afectar a los parlamentarios en la discusión o votación de un proyecto de ley. Así también, se establece la forma de proceder por </w:t>
      </w:r>
      <w:r w:rsidR="005056CC" w:rsidRPr="002E29D6">
        <w:rPr>
          <w:rFonts w:cs="Arial"/>
          <w:sz w:val="22"/>
          <w:szCs w:val="22"/>
          <w:lang w:val="es-ES_tradnl"/>
        </w:rPr>
        <w:t>parte de la Comisión de Ética y Transparencia en la resolución del asunto y las sanciones para el parlamentario respectivo</w:t>
      </w:r>
      <w:r>
        <w:rPr>
          <w:rFonts w:cs="Arial"/>
          <w:sz w:val="22"/>
          <w:szCs w:val="22"/>
          <w:lang w:val="es-ES_tradnl"/>
        </w:rPr>
        <w:t xml:space="preserve"> ante la omisión de inhabilitación</w:t>
      </w:r>
      <w:r w:rsidR="005056CC" w:rsidRPr="002E29D6">
        <w:rPr>
          <w:rFonts w:cs="Arial"/>
          <w:sz w:val="22"/>
          <w:szCs w:val="22"/>
          <w:lang w:val="es-ES_tradnl"/>
        </w:rPr>
        <w:t>.</w:t>
      </w:r>
    </w:p>
    <w:p w:rsidR="005056CC" w:rsidRPr="002E29D6" w:rsidRDefault="005056CC" w:rsidP="00686EE8">
      <w:pPr>
        <w:spacing w:line="276" w:lineRule="auto"/>
        <w:rPr>
          <w:rFonts w:cs="Arial"/>
          <w:sz w:val="22"/>
          <w:szCs w:val="22"/>
          <w:lang w:val="es-ES_tradnl"/>
        </w:rPr>
      </w:pPr>
    </w:p>
    <w:p w:rsidR="0069596E" w:rsidRPr="002E29D6" w:rsidRDefault="00BB2943" w:rsidP="00686EE8">
      <w:pPr>
        <w:spacing w:line="276" w:lineRule="auto"/>
        <w:rPr>
          <w:rFonts w:cs="Arial"/>
          <w:sz w:val="22"/>
          <w:szCs w:val="22"/>
        </w:rPr>
      </w:pPr>
      <w:r>
        <w:rPr>
          <w:rFonts w:cs="Arial"/>
          <w:sz w:val="22"/>
          <w:szCs w:val="22"/>
          <w:lang w:val="es-ES_tradnl"/>
        </w:rPr>
        <w:t xml:space="preserve">Igualmente </w:t>
      </w:r>
      <w:r w:rsidR="005056CC" w:rsidRPr="002E29D6">
        <w:rPr>
          <w:rFonts w:cs="Arial"/>
          <w:sz w:val="22"/>
          <w:szCs w:val="22"/>
          <w:lang w:val="es-ES_tradnl"/>
        </w:rPr>
        <w:t>se establece que se entenderá especial</w:t>
      </w:r>
      <w:r w:rsidR="00093AF5" w:rsidRPr="002E29D6">
        <w:rPr>
          <w:rFonts w:cs="Arial"/>
          <w:sz w:val="22"/>
          <w:szCs w:val="22"/>
          <w:lang w:val="es-ES_tradnl"/>
        </w:rPr>
        <w:t>mente</w:t>
      </w:r>
      <w:r>
        <w:rPr>
          <w:rFonts w:cs="Arial"/>
          <w:sz w:val="22"/>
          <w:szCs w:val="22"/>
          <w:lang w:val="es-ES_tradnl"/>
        </w:rPr>
        <w:t xml:space="preserve"> </w:t>
      </w:r>
      <w:r w:rsidR="0069596E" w:rsidRPr="002E29D6">
        <w:rPr>
          <w:rFonts w:cs="Arial"/>
          <w:sz w:val="22"/>
          <w:szCs w:val="22"/>
        </w:rPr>
        <w:t xml:space="preserve">que un asunto interesa personalmente al parlamentario o a </w:t>
      </w:r>
      <w:r w:rsidR="002A534C" w:rsidRPr="002E29D6">
        <w:rPr>
          <w:rFonts w:cs="Arial"/>
          <w:sz w:val="22"/>
          <w:szCs w:val="22"/>
        </w:rPr>
        <w:t xml:space="preserve">sus familiares, </w:t>
      </w:r>
      <w:r w:rsidR="008E20F9">
        <w:rPr>
          <w:rFonts w:cs="Arial"/>
          <w:sz w:val="22"/>
          <w:szCs w:val="22"/>
        </w:rPr>
        <w:t xml:space="preserve">cuando </w:t>
      </w:r>
      <w:r w:rsidR="0069596E" w:rsidRPr="002E29D6">
        <w:rPr>
          <w:rFonts w:cs="Arial"/>
          <w:sz w:val="22"/>
          <w:szCs w:val="22"/>
        </w:rPr>
        <w:t>cotejadas las declaraciones de intereses y patrimon</w:t>
      </w:r>
      <w:r w:rsidR="008E20F9">
        <w:rPr>
          <w:rFonts w:cs="Arial"/>
          <w:sz w:val="22"/>
          <w:szCs w:val="22"/>
        </w:rPr>
        <w:t>ios efectuadas de acuerdo a la Ley 20.880 sobre Probidad en la Función Pública y Prevención de los Conflictos de I</w:t>
      </w:r>
      <w:r w:rsidR="0069596E" w:rsidRPr="002E29D6">
        <w:rPr>
          <w:rFonts w:cs="Arial"/>
          <w:sz w:val="22"/>
          <w:szCs w:val="22"/>
        </w:rPr>
        <w:t>ntereses, aparezca que existe la posibilidad razonable de que prevalezca el interés personal por sobre el general en la participación del parlamentario en el asunto de que se trate</w:t>
      </w:r>
      <w:r w:rsidR="002A534C" w:rsidRPr="002E29D6">
        <w:rPr>
          <w:rFonts w:cs="Arial"/>
          <w:sz w:val="22"/>
          <w:szCs w:val="22"/>
        </w:rPr>
        <w:t>, cuestión que, de forma manifiesta, infringe el deber de probidad a que están sujetos todos quienes realizan una función pública.</w:t>
      </w:r>
    </w:p>
    <w:p w:rsidR="0069596E" w:rsidRPr="002E29D6" w:rsidRDefault="0069596E" w:rsidP="00686EE8">
      <w:pPr>
        <w:spacing w:line="276" w:lineRule="auto"/>
        <w:rPr>
          <w:rFonts w:cs="Arial"/>
          <w:sz w:val="22"/>
          <w:szCs w:val="22"/>
          <w:lang w:val="es-ES_tradnl"/>
        </w:rPr>
      </w:pPr>
    </w:p>
    <w:p w:rsidR="002A534C" w:rsidRPr="002E29D6" w:rsidRDefault="002A534C" w:rsidP="00686EE8">
      <w:pPr>
        <w:pStyle w:val="Prrafodelista"/>
        <w:numPr>
          <w:ilvl w:val="0"/>
          <w:numId w:val="8"/>
        </w:numPr>
        <w:spacing w:line="276" w:lineRule="auto"/>
        <w:rPr>
          <w:rFonts w:cs="Arial"/>
          <w:b/>
          <w:sz w:val="22"/>
          <w:szCs w:val="22"/>
          <w:lang w:val="es-ES_tradnl"/>
        </w:rPr>
      </w:pPr>
      <w:r w:rsidRPr="002E29D6">
        <w:rPr>
          <w:rFonts w:cs="Arial"/>
          <w:b/>
          <w:sz w:val="22"/>
          <w:szCs w:val="22"/>
          <w:lang w:val="es-ES_tradnl"/>
        </w:rPr>
        <w:t>Declaración de asesorías no remuneradas</w:t>
      </w:r>
    </w:p>
    <w:p w:rsidR="002A534C" w:rsidRPr="002E29D6" w:rsidRDefault="002A534C" w:rsidP="00686EE8">
      <w:pPr>
        <w:spacing w:line="276" w:lineRule="auto"/>
        <w:rPr>
          <w:rFonts w:cs="Arial"/>
          <w:sz w:val="22"/>
          <w:szCs w:val="22"/>
          <w:lang w:val="es-ES_tradnl"/>
        </w:rPr>
      </w:pPr>
    </w:p>
    <w:p w:rsidR="002A534C" w:rsidRPr="002E29D6" w:rsidRDefault="002A534C" w:rsidP="00686EE8">
      <w:pPr>
        <w:spacing w:line="276" w:lineRule="auto"/>
        <w:rPr>
          <w:rFonts w:cs="Arial"/>
          <w:sz w:val="22"/>
          <w:szCs w:val="22"/>
          <w:lang w:val="es-ES_tradnl"/>
        </w:rPr>
      </w:pPr>
      <w:r w:rsidRPr="002E29D6">
        <w:rPr>
          <w:rFonts w:cs="Arial"/>
          <w:sz w:val="22"/>
          <w:szCs w:val="22"/>
          <w:lang w:val="es-ES_tradnl"/>
        </w:rPr>
        <w:t>En el ejercicio de legislar, resulta habitual que diputados y senadores se hagan asesorar por personas naturales o jurídicas que, ad honorem, prestan servicios de redacción de indicaciones o proyectos en su totalidad, o den recomendaciones de votación de proyectos.</w:t>
      </w:r>
      <w:r w:rsidR="00767F93" w:rsidRPr="002E29D6">
        <w:rPr>
          <w:rFonts w:cs="Arial"/>
          <w:sz w:val="22"/>
          <w:szCs w:val="22"/>
          <w:lang w:val="es-ES_tradnl"/>
        </w:rPr>
        <w:t xml:space="preserve"> Estas recomendaciones no se encuentran cubiertas por la legislación actualmente.</w:t>
      </w:r>
    </w:p>
    <w:p w:rsidR="002A534C" w:rsidRPr="002E29D6" w:rsidRDefault="002A534C" w:rsidP="00686EE8">
      <w:pPr>
        <w:spacing w:line="276" w:lineRule="auto"/>
        <w:rPr>
          <w:rFonts w:cs="Arial"/>
          <w:sz w:val="22"/>
          <w:szCs w:val="22"/>
          <w:lang w:val="es-ES_tradnl"/>
        </w:rPr>
      </w:pPr>
    </w:p>
    <w:p w:rsidR="0069596E" w:rsidRPr="002E29D6" w:rsidRDefault="002A534C" w:rsidP="00686EE8">
      <w:pPr>
        <w:spacing w:line="276" w:lineRule="auto"/>
        <w:rPr>
          <w:rFonts w:cs="Arial"/>
          <w:sz w:val="22"/>
          <w:szCs w:val="22"/>
        </w:rPr>
      </w:pPr>
      <w:r w:rsidRPr="002E29D6">
        <w:rPr>
          <w:rFonts w:cs="Arial"/>
          <w:sz w:val="22"/>
          <w:szCs w:val="22"/>
          <w:lang w:val="es-ES_tradnl"/>
        </w:rPr>
        <w:t xml:space="preserve">Sin perjuicio </w:t>
      </w:r>
      <w:r w:rsidR="008E20F9">
        <w:rPr>
          <w:rFonts w:cs="Arial"/>
          <w:sz w:val="22"/>
          <w:szCs w:val="22"/>
          <w:lang w:val="es-ES_tradnl"/>
        </w:rPr>
        <w:t xml:space="preserve">de </w:t>
      </w:r>
      <w:r w:rsidRPr="002E29D6">
        <w:rPr>
          <w:rFonts w:cs="Arial"/>
          <w:sz w:val="22"/>
          <w:szCs w:val="22"/>
          <w:lang w:val="es-ES_tradnl"/>
        </w:rPr>
        <w:t xml:space="preserve">que en ciertos casos, </w:t>
      </w:r>
      <w:r w:rsidR="008E20F9">
        <w:rPr>
          <w:rFonts w:cs="Arial"/>
          <w:sz w:val="22"/>
          <w:szCs w:val="22"/>
          <w:lang w:val="es-ES_tradnl"/>
        </w:rPr>
        <w:t>dichas conductas puedan configurar la conducta tipifica de los delitos de cohecho o soborno, aún en los casos en que ello no sea así</w:t>
      </w:r>
      <w:r w:rsidRPr="002E29D6">
        <w:rPr>
          <w:rFonts w:cs="Arial"/>
          <w:sz w:val="22"/>
          <w:szCs w:val="22"/>
          <w:lang w:val="es-ES_tradnl"/>
        </w:rPr>
        <w:t>, resulta fundamental transparentar a qué intereses está respondiendo el parlamentario respectivo</w:t>
      </w:r>
      <w:r w:rsidR="00767F93" w:rsidRPr="002E29D6">
        <w:rPr>
          <w:rFonts w:cs="Arial"/>
          <w:sz w:val="22"/>
          <w:szCs w:val="22"/>
          <w:lang w:val="es-ES_tradnl"/>
        </w:rPr>
        <w:t xml:space="preserve">, y qué personas han intervenido en sus decisiones legislativas. Por ello, el proyecto establece la obligación de declarar mensualmente, sus </w:t>
      </w:r>
      <w:r w:rsidR="0069596E" w:rsidRPr="002E29D6">
        <w:rPr>
          <w:rFonts w:cs="Arial"/>
          <w:sz w:val="22"/>
          <w:szCs w:val="22"/>
        </w:rPr>
        <w:t>asesorías no remuneradas, prestadas por personas naturales o jurídicas, en lo referido a iniciativas parlamentarias, indicaciones o formas de votación.</w:t>
      </w:r>
    </w:p>
    <w:p w:rsidR="0069596E" w:rsidRPr="002E29D6" w:rsidRDefault="0069596E" w:rsidP="00686EE8">
      <w:pPr>
        <w:pStyle w:val="Prrafodelista"/>
        <w:autoSpaceDE w:val="0"/>
        <w:autoSpaceDN w:val="0"/>
        <w:adjustRightInd w:val="0"/>
        <w:spacing w:line="276" w:lineRule="auto"/>
        <w:rPr>
          <w:rFonts w:cs="Arial"/>
          <w:bCs/>
          <w:sz w:val="22"/>
          <w:szCs w:val="22"/>
          <w:lang w:val="es-ES_tradnl"/>
        </w:rPr>
      </w:pPr>
    </w:p>
    <w:p w:rsidR="00767F93" w:rsidRPr="002E29D6" w:rsidRDefault="00767F93" w:rsidP="00686EE8">
      <w:pPr>
        <w:pStyle w:val="Prrafodelista"/>
        <w:numPr>
          <w:ilvl w:val="0"/>
          <w:numId w:val="8"/>
        </w:numPr>
        <w:autoSpaceDE w:val="0"/>
        <w:autoSpaceDN w:val="0"/>
        <w:adjustRightInd w:val="0"/>
        <w:spacing w:line="276" w:lineRule="auto"/>
        <w:rPr>
          <w:rFonts w:cs="Arial"/>
          <w:b/>
          <w:bCs/>
          <w:sz w:val="22"/>
          <w:szCs w:val="22"/>
          <w:lang w:val="es-ES_tradnl"/>
        </w:rPr>
      </w:pPr>
      <w:r w:rsidRPr="002E29D6">
        <w:rPr>
          <w:rFonts w:cs="Arial"/>
          <w:b/>
          <w:bCs/>
          <w:sz w:val="22"/>
          <w:szCs w:val="22"/>
          <w:lang w:val="es-ES_tradnl"/>
        </w:rPr>
        <w:t>Modificación de la ley 20.730 para establecer la prohibición para los parlamentarios de realizar actividades de lobby o gestión de intereses luego de cesado en el cargo.</w:t>
      </w:r>
    </w:p>
    <w:p w:rsidR="00767F93" w:rsidRDefault="00767F93" w:rsidP="00686EE8">
      <w:pPr>
        <w:autoSpaceDE w:val="0"/>
        <w:autoSpaceDN w:val="0"/>
        <w:adjustRightInd w:val="0"/>
        <w:spacing w:line="276" w:lineRule="auto"/>
        <w:rPr>
          <w:rFonts w:cs="Arial"/>
          <w:bCs/>
          <w:sz w:val="22"/>
          <w:szCs w:val="22"/>
          <w:lang w:val="es-ES_tradnl"/>
        </w:rPr>
      </w:pPr>
    </w:p>
    <w:p w:rsidR="00A134C5" w:rsidRDefault="00A134C5" w:rsidP="00686EE8">
      <w:pPr>
        <w:autoSpaceDE w:val="0"/>
        <w:autoSpaceDN w:val="0"/>
        <w:adjustRightInd w:val="0"/>
        <w:spacing w:line="276" w:lineRule="auto"/>
        <w:rPr>
          <w:rFonts w:cs="Arial"/>
          <w:bCs/>
          <w:sz w:val="22"/>
          <w:szCs w:val="22"/>
          <w:lang w:val="es-ES_tradnl"/>
        </w:rPr>
      </w:pPr>
    </w:p>
    <w:p w:rsidR="00A134C5" w:rsidRPr="002E29D6" w:rsidRDefault="00A134C5" w:rsidP="00686EE8">
      <w:pPr>
        <w:autoSpaceDE w:val="0"/>
        <w:autoSpaceDN w:val="0"/>
        <w:adjustRightInd w:val="0"/>
        <w:spacing w:line="276" w:lineRule="auto"/>
        <w:rPr>
          <w:rFonts w:cs="Arial"/>
          <w:bCs/>
          <w:sz w:val="22"/>
          <w:szCs w:val="22"/>
          <w:lang w:val="es-ES_tradnl"/>
        </w:rPr>
      </w:pPr>
    </w:p>
    <w:p w:rsidR="00767F93" w:rsidRPr="002E29D6" w:rsidRDefault="00767F93" w:rsidP="00686EE8">
      <w:pPr>
        <w:autoSpaceDE w:val="0"/>
        <w:autoSpaceDN w:val="0"/>
        <w:adjustRightInd w:val="0"/>
        <w:spacing w:line="276" w:lineRule="auto"/>
        <w:rPr>
          <w:rFonts w:cs="Arial"/>
          <w:bCs/>
          <w:sz w:val="22"/>
          <w:szCs w:val="22"/>
          <w:lang w:val="es-ES_tradnl"/>
        </w:rPr>
      </w:pPr>
      <w:r w:rsidRPr="002E29D6">
        <w:rPr>
          <w:rFonts w:cs="Arial"/>
          <w:bCs/>
          <w:sz w:val="22"/>
          <w:szCs w:val="22"/>
          <w:lang w:val="es-ES_tradnl"/>
        </w:rPr>
        <w:lastRenderedPageBreak/>
        <w:t>El proyecto establece una modificación a la ley 20.730, con el objeto de prohibir que los parlamentarios realicen actividades de lobby o gestión de intereses particulares, hasta los doce meses siguientes al término de su mandato o cesación de servicios, con el objeto de evitar el uso indebido de la influencia política de la que aún gozan en razón del cargo en el que acaban de cesar.</w:t>
      </w:r>
    </w:p>
    <w:p w:rsidR="00767F93" w:rsidRPr="002E29D6" w:rsidRDefault="00767F93" w:rsidP="00686EE8">
      <w:pPr>
        <w:autoSpaceDE w:val="0"/>
        <w:autoSpaceDN w:val="0"/>
        <w:adjustRightInd w:val="0"/>
        <w:spacing w:line="276" w:lineRule="auto"/>
        <w:rPr>
          <w:rFonts w:cs="Arial"/>
          <w:bCs/>
          <w:sz w:val="22"/>
          <w:szCs w:val="22"/>
          <w:lang w:val="es-ES_tradnl"/>
        </w:rPr>
      </w:pPr>
    </w:p>
    <w:p w:rsidR="0069596E" w:rsidRPr="002E29D6" w:rsidRDefault="0069596E" w:rsidP="00686EE8">
      <w:pPr>
        <w:spacing w:line="276" w:lineRule="auto"/>
        <w:rPr>
          <w:rFonts w:cs="Arial"/>
          <w:b/>
          <w:sz w:val="22"/>
          <w:szCs w:val="22"/>
          <w:lang w:val="es-ES_tradnl"/>
        </w:rPr>
      </w:pPr>
    </w:p>
    <w:p w:rsidR="0069596E" w:rsidRPr="002E29D6" w:rsidRDefault="0069596E" w:rsidP="00686EE8">
      <w:pPr>
        <w:spacing w:line="276" w:lineRule="auto"/>
        <w:jc w:val="center"/>
        <w:rPr>
          <w:rFonts w:cs="Arial"/>
          <w:b/>
          <w:sz w:val="22"/>
          <w:szCs w:val="22"/>
          <w:lang w:val="es-ES_tradnl"/>
        </w:rPr>
      </w:pPr>
      <w:r w:rsidRPr="002E29D6">
        <w:rPr>
          <w:rFonts w:cs="Arial"/>
          <w:b/>
          <w:sz w:val="22"/>
          <w:szCs w:val="22"/>
          <w:lang w:val="es-ES_tradnl"/>
        </w:rPr>
        <w:t>Proyecto de ley</w:t>
      </w:r>
    </w:p>
    <w:p w:rsidR="0069596E" w:rsidRPr="002E29D6" w:rsidRDefault="0069596E" w:rsidP="00686EE8">
      <w:pPr>
        <w:spacing w:line="276" w:lineRule="auto"/>
        <w:rPr>
          <w:rFonts w:cs="Arial"/>
          <w:b/>
          <w:sz w:val="22"/>
          <w:szCs w:val="22"/>
          <w:lang w:val="es-ES_tradnl"/>
        </w:rPr>
      </w:pPr>
    </w:p>
    <w:p w:rsidR="0069596E" w:rsidRPr="002E29D6" w:rsidRDefault="0069596E" w:rsidP="00686EE8">
      <w:pPr>
        <w:pStyle w:val="Prrafodelista"/>
        <w:numPr>
          <w:ilvl w:val="0"/>
          <w:numId w:val="6"/>
        </w:numPr>
        <w:spacing w:line="276" w:lineRule="auto"/>
        <w:rPr>
          <w:rFonts w:cs="Arial"/>
          <w:sz w:val="22"/>
          <w:szCs w:val="22"/>
          <w:lang w:val="es-ES_tradnl"/>
        </w:rPr>
      </w:pPr>
      <w:r w:rsidRPr="002E29D6">
        <w:rPr>
          <w:rFonts w:cs="Arial"/>
          <w:b/>
          <w:sz w:val="22"/>
          <w:szCs w:val="22"/>
          <w:lang w:val="es-ES_tradnl"/>
        </w:rPr>
        <w:t>Artículo primero:</w:t>
      </w:r>
      <w:r w:rsidRPr="002E29D6">
        <w:rPr>
          <w:rFonts w:cs="Arial"/>
          <w:sz w:val="22"/>
          <w:szCs w:val="22"/>
          <w:lang w:val="es-ES_tradnl"/>
        </w:rPr>
        <w:t xml:space="preserve"> modifica la ley N° 18.918, </w:t>
      </w:r>
      <w:r w:rsidR="00562A0A" w:rsidRPr="002E29D6">
        <w:rPr>
          <w:rFonts w:cs="Arial"/>
          <w:sz w:val="22"/>
          <w:szCs w:val="22"/>
          <w:lang w:val="es-ES_tradnl"/>
        </w:rPr>
        <w:t>Orgánica Constitucional</w:t>
      </w:r>
      <w:r w:rsidRPr="002E29D6">
        <w:rPr>
          <w:rFonts w:cs="Arial"/>
          <w:sz w:val="22"/>
          <w:szCs w:val="22"/>
          <w:lang w:val="es-ES_tradnl"/>
        </w:rPr>
        <w:t xml:space="preserve"> del Congreso Nacional en los siguientes aspectos:</w:t>
      </w:r>
    </w:p>
    <w:p w:rsidR="0069596E" w:rsidRPr="002E29D6" w:rsidRDefault="0069596E" w:rsidP="00686EE8">
      <w:pPr>
        <w:spacing w:line="276" w:lineRule="auto"/>
        <w:rPr>
          <w:rFonts w:cs="Arial"/>
          <w:b/>
          <w:sz w:val="22"/>
          <w:szCs w:val="22"/>
          <w:lang w:val="es-ES_tradnl"/>
        </w:rPr>
      </w:pPr>
    </w:p>
    <w:p w:rsidR="0069596E" w:rsidRPr="002E29D6" w:rsidRDefault="0069596E" w:rsidP="00686EE8">
      <w:pPr>
        <w:pStyle w:val="Prrafodelista"/>
        <w:numPr>
          <w:ilvl w:val="0"/>
          <w:numId w:val="7"/>
        </w:numPr>
        <w:spacing w:line="276" w:lineRule="auto"/>
        <w:rPr>
          <w:rFonts w:cs="Arial"/>
          <w:sz w:val="22"/>
          <w:szCs w:val="22"/>
          <w:lang w:val="es-ES_tradnl"/>
        </w:rPr>
      </w:pPr>
      <w:r w:rsidRPr="002E29D6">
        <w:rPr>
          <w:rFonts w:cs="Arial"/>
          <w:sz w:val="22"/>
          <w:szCs w:val="22"/>
          <w:lang w:val="es-ES_tradnl"/>
        </w:rPr>
        <w:t>Al artículo 5° A</w:t>
      </w:r>
    </w:p>
    <w:p w:rsidR="0069596E" w:rsidRPr="002E29D6" w:rsidRDefault="0069596E" w:rsidP="00686EE8">
      <w:pPr>
        <w:spacing w:line="276" w:lineRule="auto"/>
        <w:rPr>
          <w:rFonts w:cs="Arial"/>
          <w:sz w:val="22"/>
          <w:szCs w:val="22"/>
        </w:rPr>
      </w:pPr>
    </w:p>
    <w:p w:rsidR="00AF4703" w:rsidRPr="002E29D6" w:rsidRDefault="00AF4703" w:rsidP="00AF4703">
      <w:pPr>
        <w:pStyle w:val="Prrafodelista"/>
        <w:numPr>
          <w:ilvl w:val="0"/>
          <w:numId w:val="2"/>
        </w:numPr>
        <w:spacing w:line="276" w:lineRule="auto"/>
        <w:rPr>
          <w:rFonts w:cs="Arial"/>
          <w:sz w:val="22"/>
          <w:szCs w:val="22"/>
        </w:rPr>
      </w:pPr>
      <w:r w:rsidRPr="002E29D6">
        <w:rPr>
          <w:rFonts w:cs="Arial"/>
          <w:sz w:val="22"/>
          <w:szCs w:val="22"/>
        </w:rPr>
        <w:t>Para eliminar del inciso final la oración “</w:t>
      </w:r>
      <w:proofErr w:type="gramStart"/>
      <w:r w:rsidRPr="002E29D6">
        <w:rPr>
          <w:rFonts w:cs="Arial"/>
          <w:sz w:val="22"/>
          <w:szCs w:val="22"/>
        </w:rPr>
        <w:t>,y</w:t>
      </w:r>
      <w:proofErr w:type="gramEnd"/>
      <w:r w:rsidRPr="002E29D6">
        <w:rPr>
          <w:rFonts w:cs="Arial"/>
          <w:sz w:val="22"/>
          <w:szCs w:val="22"/>
        </w:rPr>
        <w:t xml:space="preserve"> el monto de las multas que podrán imponer”.</w:t>
      </w:r>
    </w:p>
    <w:p w:rsidR="00AF4703" w:rsidRPr="002E29D6" w:rsidRDefault="00AF4703" w:rsidP="00AF4703">
      <w:pPr>
        <w:pStyle w:val="Prrafodelista"/>
        <w:spacing w:line="276" w:lineRule="auto"/>
        <w:rPr>
          <w:rFonts w:cs="Arial"/>
          <w:sz w:val="22"/>
          <w:szCs w:val="22"/>
        </w:rPr>
      </w:pPr>
    </w:p>
    <w:p w:rsidR="00AF4703" w:rsidRPr="002E29D6" w:rsidRDefault="00250F81" w:rsidP="00AF4703">
      <w:pPr>
        <w:pStyle w:val="Prrafodelista"/>
        <w:numPr>
          <w:ilvl w:val="0"/>
          <w:numId w:val="2"/>
        </w:numPr>
        <w:spacing w:line="276" w:lineRule="auto"/>
        <w:rPr>
          <w:rFonts w:cs="Arial"/>
          <w:sz w:val="22"/>
          <w:szCs w:val="22"/>
        </w:rPr>
      </w:pPr>
      <w:r w:rsidRPr="002E29D6">
        <w:rPr>
          <w:rFonts w:cs="Arial"/>
          <w:sz w:val="22"/>
          <w:szCs w:val="22"/>
        </w:rPr>
        <w:t xml:space="preserve">Para incorporar </w:t>
      </w:r>
      <w:r w:rsidR="00EF3ED3">
        <w:rPr>
          <w:rFonts w:cs="Arial"/>
          <w:sz w:val="22"/>
          <w:szCs w:val="22"/>
        </w:rPr>
        <w:t xml:space="preserve">al final del artículo, los siguientes incisos: </w:t>
      </w:r>
    </w:p>
    <w:p w:rsidR="00250F81" w:rsidRPr="002E29D6" w:rsidRDefault="00250F81" w:rsidP="00AF4703">
      <w:pPr>
        <w:autoSpaceDE w:val="0"/>
        <w:autoSpaceDN w:val="0"/>
        <w:adjustRightInd w:val="0"/>
        <w:rPr>
          <w:rFonts w:cs="Arial"/>
          <w:sz w:val="22"/>
          <w:szCs w:val="22"/>
        </w:rPr>
      </w:pPr>
    </w:p>
    <w:p w:rsidR="00AF4703" w:rsidRPr="002E29D6" w:rsidRDefault="00AF4703" w:rsidP="00AF4703">
      <w:pPr>
        <w:autoSpaceDE w:val="0"/>
        <w:autoSpaceDN w:val="0"/>
        <w:adjustRightInd w:val="0"/>
        <w:rPr>
          <w:rFonts w:cs="Arial"/>
          <w:sz w:val="22"/>
          <w:szCs w:val="22"/>
        </w:rPr>
      </w:pPr>
      <w:r w:rsidRPr="002E29D6">
        <w:rPr>
          <w:rFonts w:cs="Arial"/>
          <w:sz w:val="22"/>
          <w:szCs w:val="22"/>
        </w:rPr>
        <w:t>En los casos en que proceda la aplicación de sanciones, las Comisiones de Ética y Transparencia apl</w:t>
      </w:r>
      <w:r w:rsidR="00250F81" w:rsidRPr="002E29D6">
        <w:rPr>
          <w:rFonts w:cs="Arial"/>
          <w:sz w:val="22"/>
          <w:szCs w:val="22"/>
        </w:rPr>
        <w:t>icarán las siguientes sanciones:</w:t>
      </w:r>
    </w:p>
    <w:p w:rsidR="00AF4703" w:rsidRPr="002E29D6" w:rsidRDefault="00AF4703" w:rsidP="00AF4703">
      <w:pPr>
        <w:autoSpaceDE w:val="0"/>
        <w:autoSpaceDN w:val="0"/>
        <w:adjustRightInd w:val="0"/>
        <w:rPr>
          <w:rFonts w:cs="Arial"/>
          <w:sz w:val="22"/>
          <w:szCs w:val="22"/>
        </w:rPr>
      </w:pPr>
    </w:p>
    <w:p w:rsidR="00AF4703" w:rsidRPr="002E29D6" w:rsidRDefault="00AF4703" w:rsidP="00AF4703">
      <w:pPr>
        <w:autoSpaceDE w:val="0"/>
        <w:autoSpaceDN w:val="0"/>
        <w:adjustRightInd w:val="0"/>
        <w:rPr>
          <w:rFonts w:cs="Arial"/>
          <w:sz w:val="22"/>
          <w:szCs w:val="22"/>
        </w:rPr>
      </w:pPr>
      <w:r w:rsidRPr="002E29D6">
        <w:rPr>
          <w:rFonts w:cs="Arial"/>
          <w:sz w:val="22"/>
          <w:szCs w:val="22"/>
        </w:rPr>
        <w:t>1. Llamado al orden;</w:t>
      </w:r>
    </w:p>
    <w:p w:rsidR="00AF4703" w:rsidRPr="002E29D6" w:rsidRDefault="00AF4703" w:rsidP="00AF4703">
      <w:pPr>
        <w:autoSpaceDE w:val="0"/>
        <w:autoSpaceDN w:val="0"/>
        <w:adjustRightInd w:val="0"/>
        <w:rPr>
          <w:rFonts w:cs="Arial"/>
          <w:sz w:val="22"/>
          <w:szCs w:val="22"/>
        </w:rPr>
      </w:pPr>
      <w:r w:rsidRPr="002E29D6">
        <w:rPr>
          <w:rFonts w:cs="Arial"/>
          <w:sz w:val="22"/>
          <w:szCs w:val="22"/>
        </w:rPr>
        <w:t>2. Amonestación;</w:t>
      </w:r>
    </w:p>
    <w:p w:rsidR="00AF4703" w:rsidRPr="002E29D6" w:rsidRDefault="00AF4703" w:rsidP="00AF4703">
      <w:pPr>
        <w:autoSpaceDE w:val="0"/>
        <w:autoSpaceDN w:val="0"/>
        <w:adjustRightInd w:val="0"/>
        <w:rPr>
          <w:rFonts w:cs="Arial"/>
          <w:sz w:val="22"/>
          <w:szCs w:val="22"/>
        </w:rPr>
      </w:pPr>
      <w:r w:rsidRPr="002E29D6">
        <w:rPr>
          <w:rFonts w:cs="Arial"/>
          <w:sz w:val="22"/>
          <w:szCs w:val="22"/>
        </w:rPr>
        <w:t xml:space="preserve">3. </w:t>
      </w:r>
      <w:r w:rsidR="00250F81" w:rsidRPr="002E29D6">
        <w:rPr>
          <w:rFonts w:cs="Arial"/>
          <w:sz w:val="22"/>
          <w:szCs w:val="22"/>
        </w:rPr>
        <w:t>Censura;</w:t>
      </w:r>
    </w:p>
    <w:p w:rsidR="00250F81" w:rsidRPr="002E29D6" w:rsidRDefault="002E29D6" w:rsidP="00AF4703">
      <w:pPr>
        <w:autoSpaceDE w:val="0"/>
        <w:autoSpaceDN w:val="0"/>
        <w:adjustRightInd w:val="0"/>
        <w:rPr>
          <w:rFonts w:cs="Arial"/>
          <w:sz w:val="22"/>
          <w:szCs w:val="22"/>
        </w:rPr>
      </w:pPr>
      <w:r w:rsidRPr="002E29D6">
        <w:rPr>
          <w:rFonts w:cs="Arial"/>
          <w:sz w:val="22"/>
          <w:szCs w:val="22"/>
        </w:rPr>
        <w:t xml:space="preserve">4. </w:t>
      </w:r>
      <w:r w:rsidR="00250F81" w:rsidRPr="002E29D6">
        <w:rPr>
          <w:rFonts w:cs="Arial"/>
          <w:sz w:val="22"/>
          <w:szCs w:val="22"/>
        </w:rPr>
        <w:t>Pérdida del derecho a uso de la palabra hasta por cinco sesiones</w:t>
      </w:r>
    </w:p>
    <w:p w:rsidR="00250F81" w:rsidRPr="002E29D6" w:rsidRDefault="00250F81" w:rsidP="00AF4703">
      <w:pPr>
        <w:autoSpaceDE w:val="0"/>
        <w:autoSpaceDN w:val="0"/>
        <w:adjustRightInd w:val="0"/>
        <w:rPr>
          <w:rFonts w:cs="Arial"/>
          <w:sz w:val="22"/>
          <w:szCs w:val="22"/>
        </w:rPr>
      </w:pPr>
    </w:p>
    <w:p w:rsidR="00AF4703" w:rsidRPr="002E29D6" w:rsidRDefault="00250F81" w:rsidP="00250F81">
      <w:pPr>
        <w:autoSpaceDE w:val="0"/>
        <w:autoSpaceDN w:val="0"/>
        <w:adjustRightInd w:val="0"/>
        <w:rPr>
          <w:rFonts w:cs="Arial"/>
          <w:sz w:val="22"/>
          <w:szCs w:val="22"/>
        </w:rPr>
      </w:pPr>
      <w:r w:rsidRPr="002E29D6">
        <w:rPr>
          <w:rFonts w:cs="Arial"/>
          <w:sz w:val="22"/>
          <w:szCs w:val="22"/>
        </w:rPr>
        <w:t xml:space="preserve">Cada sanción llevará aparejada una pena de multa de carácter accesorio. </w:t>
      </w:r>
      <w:r w:rsidR="00AF4703" w:rsidRPr="002E29D6">
        <w:rPr>
          <w:rFonts w:cs="Arial"/>
          <w:sz w:val="22"/>
          <w:szCs w:val="22"/>
        </w:rPr>
        <w:t>En el caso del númer</w:t>
      </w:r>
      <w:r w:rsidRPr="002E29D6">
        <w:rPr>
          <w:rFonts w:cs="Arial"/>
          <w:sz w:val="22"/>
          <w:szCs w:val="22"/>
        </w:rPr>
        <w:t>o 1, la multa será de hasta el 5</w:t>
      </w:r>
      <w:r w:rsidR="00AF4703" w:rsidRPr="002E29D6">
        <w:rPr>
          <w:rFonts w:cs="Arial"/>
          <w:sz w:val="22"/>
          <w:szCs w:val="22"/>
        </w:rPr>
        <w:t>% de la dieta parlamentaria; en el caso de</w:t>
      </w:r>
      <w:r w:rsidRPr="002E29D6">
        <w:rPr>
          <w:rFonts w:cs="Arial"/>
          <w:sz w:val="22"/>
          <w:szCs w:val="22"/>
        </w:rPr>
        <w:t>l número 2, será desde más del 5% y hasta el 10</w:t>
      </w:r>
      <w:r w:rsidR="00AF4703" w:rsidRPr="002E29D6">
        <w:rPr>
          <w:rFonts w:cs="Arial"/>
          <w:sz w:val="22"/>
          <w:szCs w:val="22"/>
        </w:rPr>
        <w:t xml:space="preserve">% de la dieta, y en el caso del </w:t>
      </w:r>
      <w:r w:rsidRPr="002E29D6">
        <w:rPr>
          <w:rFonts w:cs="Arial"/>
          <w:sz w:val="22"/>
          <w:szCs w:val="22"/>
        </w:rPr>
        <w:t>número 3, será desde más del 10% y hasta el 30</w:t>
      </w:r>
      <w:r w:rsidR="00AF4703" w:rsidRPr="002E29D6">
        <w:rPr>
          <w:rFonts w:cs="Arial"/>
          <w:sz w:val="22"/>
          <w:szCs w:val="22"/>
        </w:rPr>
        <w:t>% de la dieta.</w:t>
      </w:r>
    </w:p>
    <w:p w:rsidR="00AF4703" w:rsidRPr="002E29D6" w:rsidRDefault="00AF4703" w:rsidP="00AF4703">
      <w:pPr>
        <w:autoSpaceDE w:val="0"/>
        <w:autoSpaceDN w:val="0"/>
        <w:adjustRightInd w:val="0"/>
        <w:rPr>
          <w:rFonts w:cs="Arial"/>
          <w:sz w:val="22"/>
          <w:szCs w:val="22"/>
        </w:rPr>
      </w:pPr>
    </w:p>
    <w:p w:rsidR="00250F81" w:rsidRPr="002E29D6" w:rsidRDefault="00250F81" w:rsidP="00AF4703">
      <w:pPr>
        <w:autoSpaceDE w:val="0"/>
        <w:autoSpaceDN w:val="0"/>
        <w:adjustRightInd w:val="0"/>
        <w:rPr>
          <w:rFonts w:cs="Arial"/>
          <w:sz w:val="22"/>
          <w:szCs w:val="22"/>
        </w:rPr>
      </w:pPr>
      <w:r w:rsidRPr="002E29D6">
        <w:rPr>
          <w:rFonts w:cs="Arial"/>
          <w:sz w:val="22"/>
          <w:szCs w:val="22"/>
        </w:rPr>
        <w:t>Pa</w:t>
      </w:r>
      <w:r w:rsidR="00691AE2" w:rsidRPr="002E29D6">
        <w:rPr>
          <w:rFonts w:cs="Arial"/>
          <w:sz w:val="22"/>
          <w:szCs w:val="22"/>
        </w:rPr>
        <w:t>ra el có</w:t>
      </w:r>
      <w:r w:rsidRPr="002E29D6">
        <w:rPr>
          <w:rFonts w:cs="Arial"/>
          <w:sz w:val="22"/>
          <w:szCs w:val="22"/>
        </w:rPr>
        <w:t xml:space="preserve">mputo de las sesiones a que alude el caso del número 4, se contabilizarán las sesiones de Comisión y Sala a las que asista el parlamentario. </w:t>
      </w:r>
    </w:p>
    <w:p w:rsidR="00250F81" w:rsidRPr="002E29D6" w:rsidRDefault="00250F81" w:rsidP="00AF4703">
      <w:pPr>
        <w:autoSpaceDE w:val="0"/>
        <w:autoSpaceDN w:val="0"/>
        <w:adjustRightInd w:val="0"/>
        <w:rPr>
          <w:rFonts w:cs="Arial"/>
          <w:sz w:val="22"/>
          <w:szCs w:val="22"/>
        </w:rPr>
      </w:pPr>
    </w:p>
    <w:p w:rsidR="00AF4703" w:rsidRPr="002E29D6" w:rsidRDefault="00AF4703" w:rsidP="00AF4703">
      <w:pPr>
        <w:autoSpaceDE w:val="0"/>
        <w:autoSpaceDN w:val="0"/>
        <w:adjustRightInd w:val="0"/>
        <w:rPr>
          <w:rFonts w:cs="Arial"/>
          <w:sz w:val="22"/>
          <w:szCs w:val="22"/>
        </w:rPr>
      </w:pPr>
      <w:r w:rsidRPr="002E29D6">
        <w:rPr>
          <w:rFonts w:cs="Arial"/>
          <w:sz w:val="22"/>
          <w:szCs w:val="22"/>
        </w:rPr>
        <w:t>La Comisión aplicará la sanción atendiendo a la gravedad de la falta cometida y las circunstancias atenuantes o agravantes que arroje el mérito de los antecedentes. Una vez ejecutoriada, será comunicada al órgano interno competente para que se efectúe el correspondiente descuento de la dieta.</w:t>
      </w:r>
    </w:p>
    <w:p w:rsidR="00250F81" w:rsidRPr="002E29D6" w:rsidRDefault="00250F81" w:rsidP="00AF4703">
      <w:pPr>
        <w:autoSpaceDE w:val="0"/>
        <w:autoSpaceDN w:val="0"/>
        <w:adjustRightInd w:val="0"/>
        <w:rPr>
          <w:rFonts w:cs="Arial"/>
          <w:sz w:val="22"/>
          <w:szCs w:val="22"/>
        </w:rPr>
      </w:pPr>
    </w:p>
    <w:p w:rsidR="0069596E" w:rsidRPr="002E29D6" w:rsidRDefault="0069596E" w:rsidP="00686EE8">
      <w:pPr>
        <w:spacing w:line="276" w:lineRule="auto"/>
        <w:rPr>
          <w:rFonts w:cs="Arial"/>
          <w:b/>
          <w:sz w:val="22"/>
          <w:szCs w:val="22"/>
        </w:rPr>
      </w:pPr>
    </w:p>
    <w:p w:rsidR="0069596E" w:rsidRPr="002E29D6" w:rsidRDefault="0069596E" w:rsidP="00686EE8">
      <w:pPr>
        <w:pStyle w:val="Prrafodelista"/>
        <w:numPr>
          <w:ilvl w:val="0"/>
          <w:numId w:val="7"/>
        </w:numPr>
        <w:spacing w:line="276" w:lineRule="auto"/>
        <w:rPr>
          <w:rFonts w:cs="Arial"/>
          <w:sz w:val="22"/>
          <w:szCs w:val="22"/>
        </w:rPr>
      </w:pPr>
      <w:r w:rsidRPr="002E29D6">
        <w:rPr>
          <w:rFonts w:cs="Arial"/>
          <w:sz w:val="22"/>
          <w:szCs w:val="22"/>
        </w:rPr>
        <w:t>Al artículo 5° B</w:t>
      </w:r>
    </w:p>
    <w:p w:rsidR="0069596E" w:rsidRPr="002E29D6" w:rsidRDefault="0069596E" w:rsidP="00686EE8">
      <w:pPr>
        <w:spacing w:line="276" w:lineRule="auto"/>
        <w:rPr>
          <w:rFonts w:cs="Arial"/>
          <w:b/>
          <w:sz w:val="22"/>
          <w:szCs w:val="22"/>
        </w:rPr>
      </w:pPr>
    </w:p>
    <w:p w:rsidR="00250F81" w:rsidRPr="002E29D6" w:rsidRDefault="00562A0A" w:rsidP="00686EE8">
      <w:pPr>
        <w:pStyle w:val="Prrafodelista"/>
        <w:numPr>
          <w:ilvl w:val="0"/>
          <w:numId w:val="4"/>
        </w:numPr>
        <w:spacing w:line="276" w:lineRule="auto"/>
        <w:rPr>
          <w:rFonts w:cs="Arial"/>
          <w:sz w:val="22"/>
          <w:szCs w:val="22"/>
        </w:rPr>
      </w:pPr>
      <w:r w:rsidRPr="002E29D6">
        <w:rPr>
          <w:rFonts w:cs="Arial"/>
          <w:sz w:val="22"/>
          <w:szCs w:val="22"/>
        </w:rPr>
        <w:t>Para incorporar a continuación del “promover” la frase “, intervenir,”</w:t>
      </w:r>
    </w:p>
    <w:p w:rsidR="00562A0A" w:rsidRPr="002E29D6" w:rsidRDefault="00562A0A" w:rsidP="00562A0A">
      <w:pPr>
        <w:pStyle w:val="Prrafodelista"/>
        <w:spacing w:line="276" w:lineRule="auto"/>
        <w:rPr>
          <w:rFonts w:cs="Arial"/>
          <w:sz w:val="22"/>
          <w:szCs w:val="22"/>
        </w:rPr>
      </w:pPr>
    </w:p>
    <w:p w:rsidR="0069596E" w:rsidRDefault="0069596E" w:rsidP="00686EE8">
      <w:pPr>
        <w:pStyle w:val="Prrafodelista"/>
        <w:numPr>
          <w:ilvl w:val="0"/>
          <w:numId w:val="4"/>
        </w:numPr>
        <w:spacing w:line="276" w:lineRule="auto"/>
        <w:rPr>
          <w:rFonts w:cs="Arial"/>
          <w:sz w:val="22"/>
          <w:szCs w:val="22"/>
        </w:rPr>
      </w:pPr>
      <w:r w:rsidRPr="002E29D6">
        <w:rPr>
          <w:rFonts w:cs="Arial"/>
          <w:sz w:val="22"/>
          <w:szCs w:val="22"/>
        </w:rPr>
        <w:t>Para intercalar</w:t>
      </w:r>
      <w:r w:rsidR="00250F81" w:rsidRPr="002E29D6">
        <w:rPr>
          <w:rFonts w:cs="Arial"/>
          <w:sz w:val="22"/>
          <w:szCs w:val="22"/>
        </w:rPr>
        <w:t xml:space="preserve"> en el inciso primero,</w:t>
      </w:r>
      <w:r w:rsidRPr="002E29D6">
        <w:rPr>
          <w:rFonts w:cs="Arial"/>
          <w:sz w:val="22"/>
          <w:szCs w:val="22"/>
        </w:rPr>
        <w:t xml:space="preserve"> a continuación “cónyuge” la frase “o conviviente civil”.</w:t>
      </w:r>
    </w:p>
    <w:p w:rsidR="00A134C5" w:rsidRPr="002E29D6" w:rsidRDefault="00A134C5" w:rsidP="00A134C5">
      <w:pPr>
        <w:pStyle w:val="Prrafodelista"/>
        <w:spacing w:line="276" w:lineRule="auto"/>
        <w:rPr>
          <w:rFonts w:cs="Arial"/>
          <w:sz w:val="22"/>
          <w:szCs w:val="22"/>
        </w:rPr>
      </w:pPr>
    </w:p>
    <w:p w:rsidR="0069596E" w:rsidRPr="002E29D6" w:rsidRDefault="0069596E" w:rsidP="00686EE8">
      <w:pPr>
        <w:pStyle w:val="Prrafodelista"/>
        <w:spacing w:line="276" w:lineRule="auto"/>
        <w:rPr>
          <w:rFonts w:cs="Arial"/>
          <w:sz w:val="22"/>
          <w:szCs w:val="22"/>
        </w:rPr>
      </w:pPr>
    </w:p>
    <w:p w:rsidR="0069596E" w:rsidRPr="002E29D6" w:rsidRDefault="00250F81" w:rsidP="00686EE8">
      <w:pPr>
        <w:pStyle w:val="Prrafodelista"/>
        <w:numPr>
          <w:ilvl w:val="0"/>
          <w:numId w:val="4"/>
        </w:numPr>
        <w:spacing w:line="276" w:lineRule="auto"/>
        <w:rPr>
          <w:rFonts w:cs="Arial"/>
          <w:sz w:val="22"/>
          <w:szCs w:val="22"/>
        </w:rPr>
      </w:pPr>
      <w:r w:rsidRPr="002E29D6">
        <w:rPr>
          <w:rFonts w:cs="Arial"/>
          <w:sz w:val="22"/>
          <w:szCs w:val="22"/>
        </w:rPr>
        <w:lastRenderedPageBreak/>
        <w:t>Para modificar en el</w:t>
      </w:r>
      <w:r w:rsidR="0069596E" w:rsidRPr="002E29D6">
        <w:rPr>
          <w:rFonts w:cs="Arial"/>
          <w:sz w:val="22"/>
          <w:szCs w:val="22"/>
        </w:rPr>
        <w:t xml:space="preserve"> inciso primero la locución “tercer” por “cuarto”. </w:t>
      </w:r>
    </w:p>
    <w:p w:rsidR="00250F81" w:rsidRPr="002E29D6" w:rsidRDefault="00250F81" w:rsidP="00250F81">
      <w:pPr>
        <w:pStyle w:val="Prrafodelista"/>
        <w:rPr>
          <w:rFonts w:cs="Arial"/>
          <w:sz w:val="22"/>
          <w:szCs w:val="22"/>
        </w:rPr>
      </w:pPr>
    </w:p>
    <w:p w:rsidR="0069596E" w:rsidRPr="002E29D6" w:rsidRDefault="0069596E" w:rsidP="00686EE8">
      <w:pPr>
        <w:pStyle w:val="Prrafodelista"/>
        <w:numPr>
          <w:ilvl w:val="0"/>
          <w:numId w:val="4"/>
        </w:numPr>
        <w:spacing w:line="276" w:lineRule="auto"/>
        <w:rPr>
          <w:rFonts w:cs="Arial"/>
          <w:sz w:val="22"/>
          <w:szCs w:val="22"/>
        </w:rPr>
      </w:pPr>
      <w:r w:rsidRPr="002E29D6">
        <w:rPr>
          <w:rFonts w:cs="Arial"/>
          <w:sz w:val="22"/>
          <w:szCs w:val="22"/>
        </w:rPr>
        <w:t>Para incorporar al final del artículo, nuevos incisos 3°, 4°, 5°, 6°, 7°, 8° y 9° del siguiente tenor:</w:t>
      </w:r>
    </w:p>
    <w:p w:rsidR="0069596E" w:rsidRPr="002E29D6" w:rsidRDefault="0069596E" w:rsidP="00686EE8">
      <w:pPr>
        <w:spacing w:line="276" w:lineRule="auto"/>
        <w:ind w:left="360"/>
        <w:rPr>
          <w:rFonts w:cs="Arial"/>
          <w:sz w:val="22"/>
          <w:szCs w:val="22"/>
        </w:rPr>
      </w:pPr>
    </w:p>
    <w:p w:rsidR="0069596E" w:rsidRPr="002E29D6" w:rsidRDefault="0069596E" w:rsidP="00686EE8">
      <w:pPr>
        <w:spacing w:line="276" w:lineRule="auto"/>
        <w:rPr>
          <w:rFonts w:cs="Arial"/>
          <w:sz w:val="22"/>
          <w:szCs w:val="22"/>
        </w:rPr>
      </w:pPr>
      <w:r w:rsidRPr="002E29D6">
        <w:rPr>
          <w:rFonts w:cs="Arial"/>
          <w:sz w:val="22"/>
          <w:szCs w:val="22"/>
        </w:rPr>
        <w:t xml:space="preserve">Se entenderá especialmente que un asunto interesa personalmente al parlamentario o a las personas indicadas en el inciso primero, cuando cotejadas las declaraciones de intereses y patrimonios efectuadas de acuerdo a la ley </w:t>
      </w:r>
      <w:r w:rsidR="00562A0A" w:rsidRPr="002E29D6">
        <w:rPr>
          <w:rFonts w:cs="Arial"/>
          <w:sz w:val="22"/>
          <w:szCs w:val="22"/>
        </w:rPr>
        <w:t xml:space="preserve">N° </w:t>
      </w:r>
      <w:r w:rsidRPr="002E29D6">
        <w:rPr>
          <w:rFonts w:cs="Arial"/>
          <w:sz w:val="22"/>
          <w:szCs w:val="22"/>
        </w:rPr>
        <w:t xml:space="preserve">20.880 sobre probidad en la función pública y prevención de los conflictos de intereses, aparezca que existe la posibilidad razonable de que prevalezca el interés personal por sobre el general en la participación del parlamentario en el asunto de que se trate. </w:t>
      </w:r>
    </w:p>
    <w:p w:rsidR="0069596E" w:rsidRPr="002E29D6" w:rsidRDefault="0069596E" w:rsidP="00686EE8">
      <w:pPr>
        <w:spacing w:line="276" w:lineRule="auto"/>
        <w:rPr>
          <w:rFonts w:cs="Arial"/>
          <w:sz w:val="22"/>
          <w:szCs w:val="22"/>
        </w:rPr>
      </w:pPr>
    </w:p>
    <w:p w:rsidR="0069596E" w:rsidRPr="002E29D6" w:rsidRDefault="0069596E" w:rsidP="00686EE8">
      <w:pPr>
        <w:spacing w:line="276" w:lineRule="auto"/>
        <w:rPr>
          <w:rFonts w:cs="Arial"/>
          <w:sz w:val="22"/>
          <w:szCs w:val="22"/>
        </w:rPr>
      </w:pPr>
      <w:r w:rsidRPr="002E29D6">
        <w:rPr>
          <w:rFonts w:cs="Arial"/>
          <w:sz w:val="22"/>
          <w:szCs w:val="22"/>
        </w:rPr>
        <w:t xml:space="preserve">La inhabilidad deberá ser manifestada, de forma escrita o verbal por el propio parlamentario, ante la comisión respectiva, o ante la Sala de la Corporación, antes del comienzo de la discusión, y en todo caso, antes de la votación. </w:t>
      </w:r>
    </w:p>
    <w:p w:rsidR="0069596E" w:rsidRPr="002E29D6" w:rsidRDefault="0069596E" w:rsidP="00686EE8">
      <w:pPr>
        <w:spacing w:line="276" w:lineRule="auto"/>
        <w:rPr>
          <w:rFonts w:cs="Arial"/>
          <w:sz w:val="22"/>
          <w:szCs w:val="22"/>
        </w:rPr>
      </w:pPr>
    </w:p>
    <w:p w:rsidR="0069596E" w:rsidRPr="002E29D6" w:rsidRDefault="0069596E" w:rsidP="00686EE8">
      <w:pPr>
        <w:spacing w:line="276" w:lineRule="auto"/>
        <w:rPr>
          <w:rFonts w:cs="Arial"/>
          <w:sz w:val="22"/>
          <w:szCs w:val="22"/>
        </w:rPr>
      </w:pPr>
      <w:r w:rsidRPr="002E29D6">
        <w:rPr>
          <w:rFonts w:cs="Arial"/>
          <w:sz w:val="22"/>
          <w:szCs w:val="22"/>
        </w:rPr>
        <w:t>La inhabilidad también podrá ser promovida por otro diputado o senador, según corresponda, ante el Presidente de la Comisión o el de la Sala, desde la citación a la Comisión, hasta antes de la votación. El Presidente de la Comisión o de la Sala, dará la palabra al diputado o senador denunciado para que manifieste sus descargos, y en caso de opone</w:t>
      </w:r>
      <w:r w:rsidR="00562A0A" w:rsidRPr="002E29D6">
        <w:rPr>
          <w:rFonts w:cs="Arial"/>
          <w:sz w:val="22"/>
          <w:szCs w:val="22"/>
        </w:rPr>
        <w:t>rse a la inhabilitación</w:t>
      </w:r>
      <w:r w:rsidRPr="002E29D6">
        <w:rPr>
          <w:rFonts w:cs="Arial"/>
          <w:sz w:val="22"/>
          <w:szCs w:val="22"/>
        </w:rPr>
        <w:t xml:space="preserve">, los antecedentes serán remitidos a la Comisión de Ética y Transparencia para que resuelva en única instancia, por la mayoría de sus miembros, en sesión especial </w:t>
      </w:r>
      <w:r w:rsidR="00562A0A" w:rsidRPr="002E29D6">
        <w:rPr>
          <w:rFonts w:cs="Arial"/>
          <w:sz w:val="22"/>
          <w:szCs w:val="22"/>
        </w:rPr>
        <w:t xml:space="preserve">y única </w:t>
      </w:r>
      <w:r w:rsidRPr="002E29D6">
        <w:rPr>
          <w:rFonts w:cs="Arial"/>
          <w:sz w:val="22"/>
          <w:szCs w:val="22"/>
        </w:rPr>
        <w:t xml:space="preserve">convocada al efecto. </w:t>
      </w:r>
    </w:p>
    <w:p w:rsidR="0069596E" w:rsidRPr="002E29D6" w:rsidRDefault="0069596E" w:rsidP="00686EE8">
      <w:pPr>
        <w:spacing w:line="276" w:lineRule="auto"/>
        <w:rPr>
          <w:rFonts w:cs="Arial"/>
          <w:sz w:val="22"/>
          <w:szCs w:val="22"/>
        </w:rPr>
      </w:pPr>
    </w:p>
    <w:p w:rsidR="0069596E" w:rsidRPr="002E29D6" w:rsidRDefault="0069596E" w:rsidP="00686EE8">
      <w:pPr>
        <w:spacing w:line="276" w:lineRule="auto"/>
        <w:rPr>
          <w:rFonts w:cs="Arial"/>
          <w:sz w:val="22"/>
          <w:szCs w:val="22"/>
        </w:rPr>
      </w:pPr>
      <w:r w:rsidRPr="002E29D6">
        <w:rPr>
          <w:rFonts w:cs="Arial"/>
          <w:sz w:val="22"/>
          <w:szCs w:val="22"/>
        </w:rPr>
        <w:t>En la misma oportunidad señalada en el inciso anterior, cualquier persona interesada, podrá promover una inhabilidad parlamentaria ante la Comisión de Ética y Transparencia respectiva, que la admitirá a tramitación según su mérito y plausibilidad, y siempre que esta venga acompañada de los antecedentes necesarios que den cuenta del conflicto de interés. El parlamentario será emplazado para realizar sus descargos en el lapso de tres días. La Comisión resolverá en única instancia, por la mayoría de sus miembros y comunicará su decisión al Presidente de la Comisión o</w:t>
      </w:r>
      <w:r w:rsidR="000513B5" w:rsidRPr="002E29D6">
        <w:rPr>
          <w:rFonts w:cs="Arial"/>
          <w:sz w:val="22"/>
          <w:szCs w:val="22"/>
        </w:rPr>
        <w:t xml:space="preserve"> de la Sala según sea el caso.</w:t>
      </w:r>
    </w:p>
    <w:p w:rsidR="0069596E" w:rsidRPr="002E29D6" w:rsidRDefault="0069596E" w:rsidP="00686EE8">
      <w:pPr>
        <w:spacing w:line="276" w:lineRule="auto"/>
        <w:rPr>
          <w:rFonts w:cs="Arial"/>
          <w:sz w:val="22"/>
          <w:szCs w:val="22"/>
        </w:rPr>
      </w:pPr>
    </w:p>
    <w:p w:rsidR="0069596E" w:rsidRPr="002E29D6" w:rsidRDefault="0069596E" w:rsidP="00686EE8">
      <w:pPr>
        <w:spacing w:line="276" w:lineRule="auto"/>
        <w:rPr>
          <w:rFonts w:cs="Arial"/>
          <w:sz w:val="22"/>
          <w:szCs w:val="22"/>
        </w:rPr>
      </w:pPr>
      <w:r w:rsidRPr="002E29D6">
        <w:rPr>
          <w:rFonts w:cs="Arial"/>
          <w:sz w:val="22"/>
          <w:szCs w:val="22"/>
          <w:lang w:val="es-ES_tradnl"/>
        </w:rPr>
        <w:t>Los procedimientos indicados en los dos incisos anteriores no suspenderán la tramitación del asunto y el parlamentario no se entenderá inhabilitado mientras no se resuelva la solicitud.</w:t>
      </w:r>
    </w:p>
    <w:p w:rsidR="0069596E" w:rsidRPr="002E29D6" w:rsidRDefault="0069596E" w:rsidP="00686EE8">
      <w:pPr>
        <w:spacing w:line="276" w:lineRule="auto"/>
        <w:rPr>
          <w:rFonts w:cs="Arial"/>
          <w:sz w:val="22"/>
          <w:szCs w:val="22"/>
        </w:rPr>
      </w:pPr>
    </w:p>
    <w:p w:rsidR="0069596E" w:rsidRPr="002E29D6" w:rsidRDefault="0069596E" w:rsidP="00686EE8">
      <w:pPr>
        <w:spacing w:line="276" w:lineRule="auto"/>
        <w:rPr>
          <w:rFonts w:cs="Arial"/>
          <w:sz w:val="22"/>
          <w:szCs w:val="22"/>
        </w:rPr>
      </w:pPr>
      <w:r w:rsidRPr="002E29D6">
        <w:rPr>
          <w:rFonts w:cs="Arial"/>
          <w:sz w:val="22"/>
          <w:szCs w:val="22"/>
        </w:rPr>
        <w:t>Cuando un parlamentario declare un conflicto de interés en la votación de un proyecto de ley en una Comisión, o esta sea declarada por la Comisión de Ética y Transparencia correspondiente, se entenderá que el parlamentario también se encuentra inhabilitado para votar el asunto en la Sala de la Cámara respectiva.</w:t>
      </w:r>
    </w:p>
    <w:p w:rsidR="00A134C5" w:rsidRDefault="00A134C5">
      <w:pPr>
        <w:tabs>
          <w:tab w:val="clear" w:pos="2835"/>
        </w:tabs>
        <w:spacing w:after="200" w:line="276" w:lineRule="auto"/>
        <w:jc w:val="left"/>
        <w:rPr>
          <w:rFonts w:cs="Arial"/>
          <w:sz w:val="22"/>
          <w:szCs w:val="22"/>
        </w:rPr>
      </w:pPr>
      <w:r>
        <w:rPr>
          <w:rFonts w:cs="Arial"/>
          <w:sz w:val="22"/>
          <w:szCs w:val="22"/>
        </w:rPr>
        <w:br w:type="page"/>
      </w:r>
    </w:p>
    <w:p w:rsidR="0069596E" w:rsidRPr="002E29D6" w:rsidRDefault="0069596E" w:rsidP="00686EE8">
      <w:pPr>
        <w:spacing w:line="276" w:lineRule="auto"/>
        <w:rPr>
          <w:rFonts w:cs="Arial"/>
          <w:sz w:val="22"/>
          <w:szCs w:val="22"/>
        </w:rPr>
      </w:pPr>
      <w:r w:rsidRPr="002E29D6">
        <w:rPr>
          <w:rFonts w:cs="Arial"/>
          <w:sz w:val="22"/>
          <w:szCs w:val="22"/>
        </w:rPr>
        <w:lastRenderedPageBreak/>
        <w:t xml:space="preserve">Si luego de la votación de un proyecto de ley, aparece de manifiesto que el parlamentario participó de tal votación con infracción a lo dispuesto en este artículo, será sancionado </w:t>
      </w:r>
      <w:r w:rsidR="00562A0A" w:rsidRPr="002E29D6">
        <w:rPr>
          <w:rFonts w:cs="Arial"/>
          <w:sz w:val="22"/>
          <w:szCs w:val="22"/>
        </w:rPr>
        <w:t>conforme a lo dispuesto en el artículo 5°A de esta ley</w:t>
      </w:r>
      <w:r w:rsidRPr="002E29D6">
        <w:rPr>
          <w:rFonts w:cs="Arial"/>
          <w:sz w:val="22"/>
          <w:szCs w:val="22"/>
        </w:rPr>
        <w:t>.</w:t>
      </w:r>
    </w:p>
    <w:p w:rsidR="0069596E" w:rsidRPr="002E29D6" w:rsidRDefault="0069596E" w:rsidP="00686EE8">
      <w:pPr>
        <w:spacing w:line="276" w:lineRule="auto"/>
        <w:rPr>
          <w:rFonts w:cs="Arial"/>
          <w:sz w:val="22"/>
          <w:szCs w:val="22"/>
        </w:rPr>
      </w:pPr>
    </w:p>
    <w:p w:rsidR="0069596E" w:rsidRPr="002E29D6" w:rsidRDefault="0069596E" w:rsidP="00686EE8">
      <w:pPr>
        <w:pStyle w:val="Prrafodelista"/>
        <w:numPr>
          <w:ilvl w:val="0"/>
          <w:numId w:val="7"/>
        </w:numPr>
        <w:spacing w:line="276" w:lineRule="auto"/>
        <w:rPr>
          <w:rFonts w:cs="Arial"/>
          <w:sz w:val="22"/>
          <w:szCs w:val="22"/>
        </w:rPr>
      </w:pPr>
      <w:r w:rsidRPr="002E29D6">
        <w:rPr>
          <w:rFonts w:cs="Arial"/>
          <w:sz w:val="22"/>
          <w:szCs w:val="22"/>
        </w:rPr>
        <w:t xml:space="preserve"> Para incorporar un nuevo artículo 5° D del siguiente tenor:</w:t>
      </w:r>
    </w:p>
    <w:p w:rsidR="0069596E" w:rsidRPr="002E29D6" w:rsidRDefault="0069596E" w:rsidP="00686EE8">
      <w:pPr>
        <w:spacing w:line="276" w:lineRule="auto"/>
        <w:rPr>
          <w:rFonts w:cs="Arial"/>
          <w:sz w:val="22"/>
          <w:szCs w:val="22"/>
        </w:rPr>
      </w:pPr>
    </w:p>
    <w:p w:rsidR="0069596E" w:rsidRDefault="0069596E" w:rsidP="00686EE8">
      <w:pPr>
        <w:spacing w:line="276" w:lineRule="auto"/>
        <w:rPr>
          <w:rFonts w:cs="Arial"/>
          <w:sz w:val="22"/>
          <w:szCs w:val="22"/>
        </w:rPr>
      </w:pPr>
      <w:r w:rsidRPr="002E29D6">
        <w:rPr>
          <w:rFonts w:cs="Arial"/>
          <w:sz w:val="22"/>
          <w:szCs w:val="22"/>
        </w:rPr>
        <w:t>Sin perjuicio de las normas legales y reglamentarias referida</w:t>
      </w:r>
      <w:r w:rsidR="00691AE2" w:rsidRPr="002E29D6">
        <w:rPr>
          <w:rFonts w:cs="Arial"/>
          <w:sz w:val="22"/>
          <w:szCs w:val="22"/>
        </w:rPr>
        <w:t>s</w:t>
      </w:r>
      <w:r w:rsidRPr="002E29D6">
        <w:rPr>
          <w:rFonts w:cs="Arial"/>
          <w:sz w:val="22"/>
          <w:szCs w:val="22"/>
        </w:rPr>
        <w:t xml:space="preserve"> a la contratación de personal de apoyo y a las asesorías externas, los parlamentarios deberán declarar mensualmente sus asesorías no remuneradas, prestadas por personas naturales o jurídicas, en lo referi</w:t>
      </w:r>
      <w:r w:rsidR="008C0193">
        <w:rPr>
          <w:rFonts w:cs="Arial"/>
          <w:sz w:val="22"/>
          <w:szCs w:val="22"/>
        </w:rPr>
        <w:t>do a iniciativas parlamentarias o</w:t>
      </w:r>
      <w:r w:rsidRPr="002E29D6">
        <w:rPr>
          <w:rFonts w:cs="Arial"/>
          <w:sz w:val="22"/>
          <w:szCs w:val="22"/>
        </w:rPr>
        <w:t xml:space="preserve"> </w:t>
      </w:r>
      <w:proofErr w:type="spellStart"/>
      <w:r w:rsidRPr="002E29D6">
        <w:rPr>
          <w:rFonts w:cs="Arial"/>
          <w:sz w:val="22"/>
          <w:szCs w:val="22"/>
        </w:rPr>
        <w:t>in</w:t>
      </w:r>
      <w:r w:rsidR="008C0193">
        <w:rPr>
          <w:rFonts w:cs="Arial"/>
          <w:sz w:val="22"/>
          <w:szCs w:val="22"/>
        </w:rPr>
        <w:t>dicacione</w:t>
      </w:r>
      <w:proofErr w:type="spellEnd"/>
      <w:r w:rsidR="008C0193">
        <w:rPr>
          <w:rFonts w:cs="Arial"/>
          <w:sz w:val="22"/>
          <w:szCs w:val="22"/>
        </w:rPr>
        <w:t>.</w:t>
      </w:r>
    </w:p>
    <w:p w:rsidR="008C0193" w:rsidRPr="002E29D6" w:rsidRDefault="008C0193" w:rsidP="00686EE8">
      <w:pPr>
        <w:spacing w:line="276" w:lineRule="auto"/>
        <w:rPr>
          <w:rFonts w:cs="Arial"/>
          <w:sz w:val="22"/>
          <w:szCs w:val="22"/>
        </w:rPr>
      </w:pPr>
      <w:r>
        <w:rPr>
          <w:rFonts w:cs="Arial"/>
          <w:sz w:val="22"/>
          <w:szCs w:val="22"/>
        </w:rPr>
        <w:br/>
        <w:t>Se entenderá como asesoría no remunerada, aquella prestada por una persona natural o jurídica</w:t>
      </w:r>
      <w:r w:rsidR="00B05B61">
        <w:rPr>
          <w:rFonts w:cs="Arial"/>
          <w:sz w:val="22"/>
          <w:szCs w:val="22"/>
        </w:rPr>
        <w:t>, sin recibir por ello una contraprestación en dinero, y</w:t>
      </w:r>
      <w:r>
        <w:rPr>
          <w:rFonts w:cs="Arial"/>
          <w:sz w:val="22"/>
          <w:szCs w:val="22"/>
        </w:rPr>
        <w:t xml:space="preserve"> que implique la redacción total o parcial de un proyecto de ley o indicación,</w:t>
      </w:r>
      <w:r w:rsidR="00B05B61">
        <w:rPr>
          <w:rFonts w:cs="Arial"/>
          <w:sz w:val="22"/>
          <w:szCs w:val="22"/>
        </w:rPr>
        <w:t xml:space="preserve"> que el parlamentario efectivamente ha presentado. </w:t>
      </w:r>
    </w:p>
    <w:p w:rsidR="0069596E" w:rsidRPr="002E29D6" w:rsidRDefault="0069596E" w:rsidP="00686EE8">
      <w:pPr>
        <w:autoSpaceDE w:val="0"/>
        <w:autoSpaceDN w:val="0"/>
        <w:adjustRightInd w:val="0"/>
        <w:spacing w:line="276" w:lineRule="auto"/>
        <w:rPr>
          <w:rFonts w:cs="Arial"/>
          <w:bCs/>
          <w:sz w:val="22"/>
          <w:szCs w:val="22"/>
          <w:lang w:val="es-ES_tradnl"/>
        </w:rPr>
      </w:pPr>
    </w:p>
    <w:p w:rsidR="0069596E" w:rsidRPr="002E29D6" w:rsidRDefault="0069596E" w:rsidP="00686EE8">
      <w:pPr>
        <w:autoSpaceDE w:val="0"/>
        <w:autoSpaceDN w:val="0"/>
        <w:adjustRightInd w:val="0"/>
        <w:spacing w:line="276" w:lineRule="auto"/>
        <w:rPr>
          <w:rFonts w:cs="Arial"/>
          <w:bCs/>
          <w:sz w:val="22"/>
          <w:szCs w:val="22"/>
          <w:lang w:val="es-ES_tradnl"/>
        </w:rPr>
      </w:pPr>
      <w:r w:rsidRPr="002E29D6">
        <w:rPr>
          <w:rFonts w:cs="Arial"/>
          <w:bCs/>
          <w:sz w:val="22"/>
          <w:szCs w:val="22"/>
          <w:lang w:val="es-ES_tradnl"/>
        </w:rPr>
        <w:t xml:space="preserve">No regirá este deber en el caso de las asesorías parlamentarias prestadas por funcionarios de la Cámara de Diputados, la Biblioteca Nacional o personal contratado para este efecto por el partido político del parlamentario respectivo. </w:t>
      </w:r>
    </w:p>
    <w:p w:rsidR="0069596E" w:rsidRDefault="0069596E" w:rsidP="00686EE8">
      <w:pPr>
        <w:autoSpaceDE w:val="0"/>
        <w:autoSpaceDN w:val="0"/>
        <w:adjustRightInd w:val="0"/>
        <w:spacing w:line="276" w:lineRule="auto"/>
        <w:rPr>
          <w:rFonts w:cs="Arial"/>
          <w:bCs/>
          <w:sz w:val="22"/>
          <w:szCs w:val="22"/>
          <w:lang w:val="es-ES_tradnl"/>
        </w:rPr>
      </w:pPr>
    </w:p>
    <w:p w:rsidR="0069596E" w:rsidRPr="002E29D6" w:rsidRDefault="0069596E" w:rsidP="00686EE8">
      <w:pPr>
        <w:pStyle w:val="Prrafodelista"/>
        <w:numPr>
          <w:ilvl w:val="0"/>
          <w:numId w:val="6"/>
        </w:numPr>
        <w:autoSpaceDE w:val="0"/>
        <w:autoSpaceDN w:val="0"/>
        <w:adjustRightInd w:val="0"/>
        <w:spacing w:line="276" w:lineRule="auto"/>
        <w:rPr>
          <w:rFonts w:cs="Arial"/>
          <w:sz w:val="22"/>
          <w:szCs w:val="22"/>
        </w:rPr>
      </w:pPr>
      <w:r w:rsidRPr="002E29D6">
        <w:rPr>
          <w:rFonts w:cs="Arial"/>
          <w:b/>
          <w:bCs/>
          <w:sz w:val="22"/>
          <w:szCs w:val="22"/>
        </w:rPr>
        <w:t>Artículo segundo:</w:t>
      </w:r>
      <w:r w:rsidRPr="002E29D6">
        <w:rPr>
          <w:rFonts w:cs="Arial"/>
          <w:bCs/>
          <w:sz w:val="22"/>
          <w:szCs w:val="22"/>
        </w:rPr>
        <w:t xml:space="preserve"> para modificar la ley </w:t>
      </w:r>
      <w:r w:rsidRPr="002E29D6">
        <w:rPr>
          <w:rFonts w:cs="Arial"/>
          <w:sz w:val="22"/>
          <w:szCs w:val="22"/>
        </w:rPr>
        <w:t>N° 20.730, que regula el lobby y las gestiones que representen intereses particulares ante las autoridades y funcionarios, incorpor</w:t>
      </w:r>
      <w:r w:rsidR="00686EE8" w:rsidRPr="002E29D6">
        <w:rPr>
          <w:rFonts w:cs="Arial"/>
          <w:sz w:val="22"/>
          <w:szCs w:val="22"/>
        </w:rPr>
        <w:t>ando,</w:t>
      </w:r>
      <w:r w:rsidRPr="002E29D6">
        <w:rPr>
          <w:rFonts w:cs="Arial"/>
          <w:sz w:val="22"/>
          <w:szCs w:val="22"/>
        </w:rPr>
        <w:t xml:space="preserve"> entre los incisos cuarto y final del artículo 19, un nuevo inciso del siguiente tenor: </w:t>
      </w:r>
    </w:p>
    <w:p w:rsidR="0069596E" w:rsidRPr="002E29D6" w:rsidRDefault="0069596E" w:rsidP="00686EE8">
      <w:pPr>
        <w:autoSpaceDE w:val="0"/>
        <w:autoSpaceDN w:val="0"/>
        <w:adjustRightInd w:val="0"/>
        <w:spacing w:line="276" w:lineRule="auto"/>
        <w:ind w:firstLine="2835"/>
        <w:rPr>
          <w:rFonts w:cs="Arial"/>
          <w:sz w:val="22"/>
          <w:szCs w:val="22"/>
        </w:rPr>
      </w:pPr>
    </w:p>
    <w:p w:rsidR="0069596E" w:rsidRPr="002E29D6" w:rsidRDefault="0069596E" w:rsidP="00686EE8">
      <w:pPr>
        <w:autoSpaceDE w:val="0"/>
        <w:autoSpaceDN w:val="0"/>
        <w:adjustRightInd w:val="0"/>
        <w:spacing w:line="276" w:lineRule="auto"/>
        <w:rPr>
          <w:rFonts w:cs="Arial"/>
          <w:sz w:val="22"/>
          <w:szCs w:val="22"/>
        </w:rPr>
      </w:pPr>
      <w:r w:rsidRPr="002E29D6">
        <w:rPr>
          <w:rFonts w:cs="Arial"/>
          <w:sz w:val="22"/>
          <w:szCs w:val="22"/>
        </w:rPr>
        <w:t xml:space="preserve">"La misma sanción y procedimiento se aplicarán a quien haya desempeñado el cargo de diputado o senador, o haya cumplido funciones directivas en una de las Cámaras o servicios comunes del Congreso Nacional, que realice actividades de lobby o gestión de intereses particulares en cualquiera de esas instituciones dentro de los doce meses siguientes al término de su mandato o cesación de servicios.". </w:t>
      </w:r>
    </w:p>
    <w:p w:rsidR="0069596E" w:rsidRPr="002E29D6" w:rsidRDefault="0069596E" w:rsidP="00686EE8">
      <w:pPr>
        <w:autoSpaceDE w:val="0"/>
        <w:autoSpaceDN w:val="0"/>
        <w:adjustRightInd w:val="0"/>
        <w:spacing w:line="276" w:lineRule="auto"/>
        <w:rPr>
          <w:rFonts w:cs="Arial"/>
          <w:bCs/>
          <w:sz w:val="22"/>
          <w:szCs w:val="22"/>
          <w:lang w:val="es-ES_tradnl"/>
        </w:rPr>
      </w:pPr>
    </w:p>
    <w:p w:rsidR="001A76C9" w:rsidRDefault="0069596E" w:rsidP="00686EE8">
      <w:pPr>
        <w:pStyle w:val="Prrafodelista"/>
        <w:numPr>
          <w:ilvl w:val="0"/>
          <w:numId w:val="6"/>
        </w:numPr>
        <w:autoSpaceDE w:val="0"/>
        <w:autoSpaceDN w:val="0"/>
        <w:adjustRightInd w:val="0"/>
        <w:spacing w:line="276" w:lineRule="auto"/>
        <w:rPr>
          <w:rFonts w:cs="Arial"/>
          <w:bCs/>
          <w:sz w:val="22"/>
          <w:szCs w:val="22"/>
          <w:lang w:val="es-ES_tradnl"/>
        </w:rPr>
      </w:pPr>
      <w:r w:rsidRPr="002E29D6">
        <w:rPr>
          <w:rFonts w:cs="Arial"/>
          <w:b/>
          <w:bCs/>
          <w:sz w:val="22"/>
          <w:szCs w:val="22"/>
          <w:lang w:val="es-ES_tradnl"/>
        </w:rPr>
        <w:t>Artículo tercero:</w:t>
      </w:r>
      <w:r w:rsidRPr="002E29D6">
        <w:rPr>
          <w:rFonts w:cs="Arial"/>
          <w:bCs/>
          <w:sz w:val="22"/>
          <w:szCs w:val="22"/>
          <w:lang w:val="es-ES_tradnl"/>
        </w:rPr>
        <w:t xml:space="preserve"> para modificar la ley N° 20.285 sobre acceso a la información pública, en su artículo sexto inciso tercero, intercalar, a continuación de la palabra “concurran”, la frase, “sus asesorías parlamentarias remuneradas y no remuneradas,”</w:t>
      </w:r>
    </w:p>
    <w:p w:rsidR="008C0193" w:rsidRDefault="008C0193" w:rsidP="008C0193">
      <w:pPr>
        <w:autoSpaceDE w:val="0"/>
        <w:autoSpaceDN w:val="0"/>
        <w:adjustRightInd w:val="0"/>
        <w:spacing w:line="276" w:lineRule="auto"/>
        <w:rPr>
          <w:rFonts w:cs="Arial"/>
          <w:sz w:val="22"/>
          <w:szCs w:val="22"/>
          <w:lang w:val="es-ES_tradnl"/>
        </w:rPr>
      </w:pPr>
    </w:p>
    <w:p w:rsidR="008C0193" w:rsidRDefault="008C0193" w:rsidP="008C0193">
      <w:pPr>
        <w:autoSpaceDE w:val="0"/>
        <w:autoSpaceDN w:val="0"/>
        <w:adjustRightInd w:val="0"/>
        <w:spacing w:line="276" w:lineRule="auto"/>
        <w:rPr>
          <w:rFonts w:cs="Arial"/>
          <w:sz w:val="22"/>
          <w:szCs w:val="22"/>
          <w:lang w:val="es-ES_tradnl"/>
        </w:rPr>
      </w:pPr>
    </w:p>
    <w:p w:rsidR="008C0193" w:rsidRPr="008C0193" w:rsidRDefault="008C0193" w:rsidP="008C0193">
      <w:pPr>
        <w:autoSpaceDE w:val="0"/>
        <w:autoSpaceDN w:val="0"/>
        <w:adjustRightInd w:val="0"/>
        <w:spacing w:line="276" w:lineRule="auto"/>
        <w:jc w:val="center"/>
        <w:rPr>
          <w:rFonts w:cs="Arial"/>
          <w:b/>
          <w:bCs/>
          <w:sz w:val="22"/>
          <w:szCs w:val="22"/>
          <w:lang w:val="es-ES_tradnl"/>
        </w:rPr>
      </w:pPr>
    </w:p>
    <w:sectPr w:rsidR="008C0193" w:rsidRPr="008C0193" w:rsidSect="00A134C5">
      <w:pgSz w:w="12240" w:h="15840"/>
      <w:pgMar w:top="1418" w:right="1701" w:bottom="1021"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5EF263" w15:done="0"/>
  <w15:commentEx w15:paraId="4285B2E8" w15:done="0"/>
  <w15:commentEx w15:paraId="1E2D3A30" w15:done="0"/>
  <w15:commentEx w15:paraId="481DF6FD" w15:done="0"/>
  <w15:commentEx w15:paraId="4099208D" w15:done="0"/>
  <w15:commentEx w15:paraId="4D82967E" w15:done="0"/>
  <w15:commentEx w15:paraId="25D42E60" w15:done="0"/>
  <w15:commentEx w15:paraId="5803E11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EC3" w:rsidRDefault="002A2EC3" w:rsidP="009E6938">
      <w:r>
        <w:separator/>
      </w:r>
    </w:p>
  </w:endnote>
  <w:endnote w:type="continuationSeparator" w:id="0">
    <w:p w:rsidR="002A2EC3" w:rsidRDefault="002A2EC3" w:rsidP="009E69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EC3" w:rsidRDefault="002A2EC3" w:rsidP="009E6938">
      <w:r>
        <w:separator/>
      </w:r>
    </w:p>
  </w:footnote>
  <w:footnote w:type="continuationSeparator" w:id="0">
    <w:p w:rsidR="002A2EC3" w:rsidRDefault="002A2EC3" w:rsidP="009E69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C5A6A"/>
    <w:multiLevelType w:val="hybridMultilevel"/>
    <w:tmpl w:val="A1780B9E"/>
    <w:lvl w:ilvl="0" w:tplc="CCA44092">
      <w:start w:val="1"/>
      <w:numFmt w:val="upperLetter"/>
      <w:lvlText w:val="%1)"/>
      <w:lvlJc w:val="left"/>
      <w:pPr>
        <w:ind w:left="1276" w:hanging="360"/>
      </w:pPr>
      <w:rPr>
        <w:rFonts w:hint="default"/>
      </w:rPr>
    </w:lvl>
    <w:lvl w:ilvl="1" w:tplc="340A0019" w:tentative="1">
      <w:start w:val="1"/>
      <w:numFmt w:val="lowerLetter"/>
      <w:lvlText w:val="%2."/>
      <w:lvlJc w:val="left"/>
      <w:pPr>
        <w:ind w:left="1996" w:hanging="360"/>
      </w:pPr>
    </w:lvl>
    <w:lvl w:ilvl="2" w:tplc="340A001B" w:tentative="1">
      <w:start w:val="1"/>
      <w:numFmt w:val="lowerRoman"/>
      <w:lvlText w:val="%3."/>
      <w:lvlJc w:val="right"/>
      <w:pPr>
        <w:ind w:left="2716" w:hanging="180"/>
      </w:pPr>
    </w:lvl>
    <w:lvl w:ilvl="3" w:tplc="340A000F" w:tentative="1">
      <w:start w:val="1"/>
      <w:numFmt w:val="decimal"/>
      <w:lvlText w:val="%4."/>
      <w:lvlJc w:val="left"/>
      <w:pPr>
        <w:ind w:left="3436" w:hanging="360"/>
      </w:pPr>
    </w:lvl>
    <w:lvl w:ilvl="4" w:tplc="340A0019" w:tentative="1">
      <w:start w:val="1"/>
      <w:numFmt w:val="lowerLetter"/>
      <w:lvlText w:val="%5."/>
      <w:lvlJc w:val="left"/>
      <w:pPr>
        <w:ind w:left="4156" w:hanging="360"/>
      </w:pPr>
    </w:lvl>
    <w:lvl w:ilvl="5" w:tplc="340A001B" w:tentative="1">
      <w:start w:val="1"/>
      <w:numFmt w:val="lowerRoman"/>
      <w:lvlText w:val="%6."/>
      <w:lvlJc w:val="right"/>
      <w:pPr>
        <w:ind w:left="4876" w:hanging="180"/>
      </w:pPr>
    </w:lvl>
    <w:lvl w:ilvl="6" w:tplc="340A000F" w:tentative="1">
      <w:start w:val="1"/>
      <w:numFmt w:val="decimal"/>
      <w:lvlText w:val="%7."/>
      <w:lvlJc w:val="left"/>
      <w:pPr>
        <w:ind w:left="5596" w:hanging="360"/>
      </w:pPr>
    </w:lvl>
    <w:lvl w:ilvl="7" w:tplc="340A0019" w:tentative="1">
      <w:start w:val="1"/>
      <w:numFmt w:val="lowerLetter"/>
      <w:lvlText w:val="%8."/>
      <w:lvlJc w:val="left"/>
      <w:pPr>
        <w:ind w:left="6316" w:hanging="360"/>
      </w:pPr>
    </w:lvl>
    <w:lvl w:ilvl="8" w:tplc="340A001B" w:tentative="1">
      <w:start w:val="1"/>
      <w:numFmt w:val="lowerRoman"/>
      <w:lvlText w:val="%9."/>
      <w:lvlJc w:val="right"/>
      <w:pPr>
        <w:ind w:left="7036" w:hanging="180"/>
      </w:pPr>
    </w:lvl>
  </w:abstractNum>
  <w:abstractNum w:abstractNumId="1">
    <w:nsid w:val="188B3081"/>
    <w:multiLevelType w:val="hybridMultilevel"/>
    <w:tmpl w:val="4802CECE"/>
    <w:lvl w:ilvl="0" w:tplc="3B7462EA">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CFD1106"/>
    <w:multiLevelType w:val="hybridMultilevel"/>
    <w:tmpl w:val="17DE0FE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37BE3718"/>
    <w:multiLevelType w:val="hybridMultilevel"/>
    <w:tmpl w:val="E3F81F1E"/>
    <w:lvl w:ilvl="0" w:tplc="AC0607F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F0D0FAD"/>
    <w:multiLevelType w:val="hybridMultilevel"/>
    <w:tmpl w:val="DA26771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4F9A1E20"/>
    <w:multiLevelType w:val="hybridMultilevel"/>
    <w:tmpl w:val="3F88BC5C"/>
    <w:lvl w:ilvl="0" w:tplc="6CBCDFAA">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55E1646C"/>
    <w:multiLevelType w:val="hybridMultilevel"/>
    <w:tmpl w:val="70305878"/>
    <w:lvl w:ilvl="0" w:tplc="0CAEDC7E">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nsid w:val="61901D28"/>
    <w:multiLevelType w:val="hybridMultilevel"/>
    <w:tmpl w:val="9062704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6FF72305"/>
    <w:multiLevelType w:val="hybridMultilevel"/>
    <w:tmpl w:val="019C0FF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75743479"/>
    <w:multiLevelType w:val="hybridMultilevel"/>
    <w:tmpl w:val="88DAAB16"/>
    <w:lvl w:ilvl="0" w:tplc="61BE35AC">
      <w:start w:val="1"/>
      <w:numFmt w:val="upperRoman"/>
      <w:lvlText w:val="%1."/>
      <w:lvlJc w:val="left"/>
      <w:pPr>
        <w:ind w:left="1080" w:hanging="72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4"/>
  </w:num>
  <w:num w:numId="5">
    <w:abstractNumId w:val="1"/>
  </w:num>
  <w:num w:numId="6">
    <w:abstractNumId w:val="7"/>
  </w:num>
  <w:num w:numId="7">
    <w:abstractNumId w:val="6"/>
  </w:num>
  <w:num w:numId="8">
    <w:abstractNumId w:val="3"/>
  </w:num>
  <w:num w:numId="9">
    <w:abstractNumId w:val="5"/>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dro Glatz">
    <w15:presenceInfo w15:providerId="None" w15:userId="Pedro Glat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32AA8"/>
    <w:rsid w:val="00031129"/>
    <w:rsid w:val="000513B5"/>
    <w:rsid w:val="00093AF5"/>
    <w:rsid w:val="000C72BC"/>
    <w:rsid w:val="000E6197"/>
    <w:rsid w:val="00115FA4"/>
    <w:rsid w:val="00173B91"/>
    <w:rsid w:val="001A76C9"/>
    <w:rsid w:val="001E5DC9"/>
    <w:rsid w:val="00222E31"/>
    <w:rsid w:val="002415C3"/>
    <w:rsid w:val="00250F81"/>
    <w:rsid w:val="00294C7A"/>
    <w:rsid w:val="002A2EC3"/>
    <w:rsid w:val="002A534C"/>
    <w:rsid w:val="002C6067"/>
    <w:rsid w:val="002D395A"/>
    <w:rsid w:val="002E29D6"/>
    <w:rsid w:val="00337A71"/>
    <w:rsid w:val="003A2995"/>
    <w:rsid w:val="00475633"/>
    <w:rsid w:val="00491301"/>
    <w:rsid w:val="004C3744"/>
    <w:rsid w:val="004D2F5E"/>
    <w:rsid w:val="004E2299"/>
    <w:rsid w:val="00504557"/>
    <w:rsid w:val="005056CC"/>
    <w:rsid w:val="00562A0A"/>
    <w:rsid w:val="00564D1A"/>
    <w:rsid w:val="005733BA"/>
    <w:rsid w:val="005771E6"/>
    <w:rsid w:val="00617E3B"/>
    <w:rsid w:val="006274AF"/>
    <w:rsid w:val="006564CC"/>
    <w:rsid w:val="00674020"/>
    <w:rsid w:val="00686EE8"/>
    <w:rsid w:val="00691AE2"/>
    <w:rsid w:val="0069596E"/>
    <w:rsid w:val="006F321A"/>
    <w:rsid w:val="00767F93"/>
    <w:rsid w:val="007A114C"/>
    <w:rsid w:val="00802B38"/>
    <w:rsid w:val="008360EC"/>
    <w:rsid w:val="008C0193"/>
    <w:rsid w:val="008C5F56"/>
    <w:rsid w:val="008E20F9"/>
    <w:rsid w:val="008F7D7A"/>
    <w:rsid w:val="009D0BD7"/>
    <w:rsid w:val="009D39E0"/>
    <w:rsid w:val="009E6938"/>
    <w:rsid w:val="009F38FC"/>
    <w:rsid w:val="00A134C5"/>
    <w:rsid w:val="00A16113"/>
    <w:rsid w:val="00A16E94"/>
    <w:rsid w:val="00A30682"/>
    <w:rsid w:val="00A70E61"/>
    <w:rsid w:val="00AF4703"/>
    <w:rsid w:val="00B05B61"/>
    <w:rsid w:val="00BB2943"/>
    <w:rsid w:val="00BE3937"/>
    <w:rsid w:val="00C23DBE"/>
    <w:rsid w:val="00C95A7E"/>
    <w:rsid w:val="00CA2D90"/>
    <w:rsid w:val="00D61913"/>
    <w:rsid w:val="00D86850"/>
    <w:rsid w:val="00DD2979"/>
    <w:rsid w:val="00DD4DC6"/>
    <w:rsid w:val="00E05DDD"/>
    <w:rsid w:val="00E53E7D"/>
    <w:rsid w:val="00E950F8"/>
    <w:rsid w:val="00EE43C6"/>
    <w:rsid w:val="00EF3ED3"/>
    <w:rsid w:val="00F2768B"/>
    <w:rsid w:val="00F32AA8"/>
    <w:rsid w:val="00FB6FE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AA8"/>
    <w:pPr>
      <w:tabs>
        <w:tab w:val="left" w:pos="2835"/>
      </w:tabs>
      <w:spacing w:after="0" w:line="240" w:lineRule="auto"/>
      <w:jc w:val="both"/>
    </w:pPr>
    <w:rPr>
      <w:rFonts w:ascii="Arial" w:eastAsia="Times New Roman"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5DC9"/>
    <w:pPr>
      <w:ind w:left="720"/>
      <w:contextualSpacing/>
    </w:pPr>
  </w:style>
  <w:style w:type="paragraph" w:styleId="Textosinformato">
    <w:name w:val="Plain Text"/>
    <w:basedOn w:val="Normal"/>
    <w:link w:val="TextosinformatoCar"/>
    <w:uiPriority w:val="99"/>
    <w:unhideWhenUsed/>
    <w:rsid w:val="00173B91"/>
    <w:pPr>
      <w:tabs>
        <w:tab w:val="clear" w:pos="2835"/>
      </w:tabs>
    </w:pPr>
    <w:rPr>
      <w:rFonts w:ascii="Consolas" w:eastAsia="Calibri" w:hAnsi="Consolas"/>
      <w:color w:val="000000"/>
      <w:sz w:val="21"/>
      <w:szCs w:val="21"/>
      <w:lang w:val="es-CL" w:eastAsia="en-US"/>
    </w:rPr>
  </w:style>
  <w:style w:type="character" w:customStyle="1" w:styleId="TextosinformatoCar">
    <w:name w:val="Texto sin formato Car"/>
    <w:basedOn w:val="Fuentedeprrafopredeter"/>
    <w:link w:val="Textosinformato"/>
    <w:uiPriority w:val="99"/>
    <w:rsid w:val="00173B91"/>
    <w:rPr>
      <w:rFonts w:ascii="Consolas" w:eastAsia="Calibri" w:hAnsi="Consolas" w:cs="Times New Roman"/>
      <w:color w:val="000000"/>
      <w:sz w:val="21"/>
      <w:szCs w:val="21"/>
    </w:rPr>
  </w:style>
  <w:style w:type="paragraph" w:styleId="NormalWeb">
    <w:name w:val="Normal (Web)"/>
    <w:basedOn w:val="Normal"/>
    <w:uiPriority w:val="99"/>
    <w:semiHidden/>
    <w:unhideWhenUsed/>
    <w:rsid w:val="006F321A"/>
    <w:pPr>
      <w:tabs>
        <w:tab w:val="clear" w:pos="2835"/>
      </w:tabs>
      <w:spacing w:before="100" w:beforeAutospacing="1" w:after="100" w:afterAutospacing="1"/>
      <w:jc w:val="left"/>
    </w:pPr>
    <w:rPr>
      <w:rFonts w:ascii="Times New Roman" w:hAnsi="Times New Roman"/>
      <w:lang w:val="es-CL" w:eastAsia="es-CL"/>
    </w:rPr>
  </w:style>
  <w:style w:type="paragraph" w:styleId="HTMLconformatoprevio">
    <w:name w:val="HTML Preformatted"/>
    <w:basedOn w:val="Normal"/>
    <w:link w:val="HTMLconformatoprevioCar"/>
    <w:uiPriority w:val="99"/>
    <w:semiHidden/>
    <w:unhideWhenUsed/>
    <w:rsid w:val="001A76C9"/>
    <w:pPr>
      <w:tabs>
        <w:tab w:val="clear" w:pos="28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s-CL" w:eastAsia="es-CL"/>
    </w:rPr>
  </w:style>
  <w:style w:type="character" w:customStyle="1" w:styleId="HTMLconformatoprevioCar">
    <w:name w:val="HTML con formato previo Car"/>
    <w:basedOn w:val="Fuentedeprrafopredeter"/>
    <w:link w:val="HTMLconformatoprevio"/>
    <w:uiPriority w:val="99"/>
    <w:semiHidden/>
    <w:rsid w:val="001A76C9"/>
    <w:rPr>
      <w:rFonts w:ascii="Courier New" w:eastAsia="Times New Roman" w:hAnsi="Courier New" w:cs="Courier New"/>
      <w:sz w:val="20"/>
      <w:szCs w:val="20"/>
      <w:lang w:eastAsia="es-CL"/>
    </w:rPr>
  </w:style>
  <w:style w:type="character" w:customStyle="1" w:styleId="rsskip">
    <w:name w:val="rs_skip"/>
    <w:basedOn w:val="Fuentedeprrafopredeter"/>
    <w:rsid w:val="001A76C9"/>
  </w:style>
  <w:style w:type="character" w:styleId="Hipervnculo">
    <w:name w:val="Hyperlink"/>
    <w:basedOn w:val="Fuentedeprrafopredeter"/>
    <w:uiPriority w:val="99"/>
    <w:semiHidden/>
    <w:unhideWhenUsed/>
    <w:rsid w:val="001A76C9"/>
    <w:rPr>
      <w:color w:val="0000FF"/>
      <w:u w:val="single"/>
    </w:rPr>
  </w:style>
  <w:style w:type="paragraph" w:styleId="Textonotapie">
    <w:name w:val="footnote text"/>
    <w:basedOn w:val="Normal"/>
    <w:link w:val="TextonotapieCar"/>
    <w:uiPriority w:val="99"/>
    <w:semiHidden/>
    <w:unhideWhenUsed/>
    <w:rsid w:val="009E6938"/>
    <w:pPr>
      <w:tabs>
        <w:tab w:val="clear" w:pos="2835"/>
      </w:tabs>
    </w:pPr>
    <w:rPr>
      <w:rFonts w:ascii="Times New Roman" w:eastAsia="Calibri" w:hAnsi="Times New Roman"/>
      <w:color w:val="000000"/>
      <w:sz w:val="20"/>
      <w:szCs w:val="20"/>
      <w:lang w:val="es-CL" w:eastAsia="en-US"/>
    </w:rPr>
  </w:style>
  <w:style w:type="character" w:customStyle="1" w:styleId="TextonotapieCar">
    <w:name w:val="Texto nota pie Car"/>
    <w:basedOn w:val="Fuentedeprrafopredeter"/>
    <w:link w:val="Textonotapie"/>
    <w:uiPriority w:val="99"/>
    <w:semiHidden/>
    <w:rsid w:val="009E6938"/>
    <w:rPr>
      <w:rFonts w:ascii="Times New Roman" w:eastAsia="Calibri" w:hAnsi="Times New Roman" w:cs="Times New Roman"/>
      <w:color w:val="000000"/>
      <w:sz w:val="20"/>
      <w:szCs w:val="20"/>
    </w:rPr>
  </w:style>
  <w:style w:type="character" w:styleId="Refdenotaalpie">
    <w:name w:val="footnote reference"/>
    <w:uiPriority w:val="99"/>
    <w:semiHidden/>
    <w:unhideWhenUsed/>
    <w:rsid w:val="009E6938"/>
    <w:rPr>
      <w:vertAlign w:val="superscript"/>
    </w:rPr>
  </w:style>
  <w:style w:type="character" w:styleId="nfasis">
    <w:name w:val="Emphasis"/>
    <w:basedOn w:val="Fuentedeprrafopredeter"/>
    <w:uiPriority w:val="20"/>
    <w:qFormat/>
    <w:rsid w:val="00767F93"/>
    <w:rPr>
      <w:i/>
      <w:iCs/>
    </w:rPr>
  </w:style>
  <w:style w:type="character" w:styleId="Refdecomentario">
    <w:name w:val="annotation reference"/>
    <w:basedOn w:val="Fuentedeprrafopredeter"/>
    <w:uiPriority w:val="99"/>
    <w:semiHidden/>
    <w:unhideWhenUsed/>
    <w:rsid w:val="00491301"/>
    <w:rPr>
      <w:sz w:val="16"/>
      <w:szCs w:val="16"/>
    </w:rPr>
  </w:style>
  <w:style w:type="paragraph" w:styleId="Textocomentario">
    <w:name w:val="annotation text"/>
    <w:basedOn w:val="Normal"/>
    <w:link w:val="TextocomentarioCar"/>
    <w:uiPriority w:val="99"/>
    <w:semiHidden/>
    <w:unhideWhenUsed/>
    <w:rsid w:val="00491301"/>
    <w:rPr>
      <w:sz w:val="20"/>
      <w:szCs w:val="20"/>
    </w:rPr>
  </w:style>
  <w:style w:type="character" w:customStyle="1" w:styleId="TextocomentarioCar">
    <w:name w:val="Texto comentario Car"/>
    <w:basedOn w:val="Fuentedeprrafopredeter"/>
    <w:link w:val="Textocomentario"/>
    <w:uiPriority w:val="99"/>
    <w:semiHidden/>
    <w:rsid w:val="00491301"/>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91301"/>
    <w:rPr>
      <w:b/>
      <w:bCs/>
    </w:rPr>
  </w:style>
  <w:style w:type="character" w:customStyle="1" w:styleId="AsuntodelcomentarioCar">
    <w:name w:val="Asunto del comentario Car"/>
    <w:basedOn w:val="TextocomentarioCar"/>
    <w:link w:val="Asuntodelcomentario"/>
    <w:uiPriority w:val="99"/>
    <w:semiHidden/>
    <w:rsid w:val="00491301"/>
    <w:rPr>
      <w:rFonts w:ascii="Arial" w:eastAsia="Times New Roman" w:hAnsi="Arial" w:cs="Times New Roman"/>
      <w:b/>
      <w:bCs/>
      <w:sz w:val="20"/>
      <w:szCs w:val="20"/>
      <w:lang w:val="es-ES" w:eastAsia="es-ES"/>
    </w:rPr>
  </w:style>
  <w:style w:type="paragraph" w:styleId="Textodeglobo">
    <w:name w:val="Balloon Text"/>
    <w:basedOn w:val="Normal"/>
    <w:link w:val="TextodegloboCar"/>
    <w:uiPriority w:val="99"/>
    <w:semiHidden/>
    <w:unhideWhenUsed/>
    <w:rsid w:val="004913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1301"/>
    <w:rPr>
      <w:rFonts w:ascii="Segoe UI" w:eastAsia="Times New Roman" w:hAnsi="Segoe UI" w:cs="Segoe UI"/>
      <w:sz w:val="18"/>
      <w:szCs w:val="18"/>
      <w:lang w:val="es-ES" w:eastAsia="es-ES"/>
    </w:rPr>
  </w:style>
</w:styles>
</file>

<file path=word/webSettings.xml><?xml version="1.0" encoding="utf-8"?>
<w:webSettings xmlns:r="http://schemas.openxmlformats.org/officeDocument/2006/relationships" xmlns:w="http://schemas.openxmlformats.org/wordprocessingml/2006/main">
  <w:divs>
    <w:div w:id="187841597">
      <w:bodyDiv w:val="1"/>
      <w:marLeft w:val="0"/>
      <w:marRight w:val="0"/>
      <w:marTop w:val="0"/>
      <w:marBottom w:val="0"/>
      <w:divBdr>
        <w:top w:val="none" w:sz="0" w:space="0" w:color="auto"/>
        <w:left w:val="none" w:sz="0" w:space="0" w:color="auto"/>
        <w:bottom w:val="none" w:sz="0" w:space="0" w:color="auto"/>
        <w:right w:val="none" w:sz="0" w:space="0" w:color="auto"/>
      </w:divBdr>
    </w:div>
    <w:div w:id="461458649">
      <w:bodyDiv w:val="1"/>
      <w:marLeft w:val="0"/>
      <w:marRight w:val="0"/>
      <w:marTop w:val="0"/>
      <w:marBottom w:val="0"/>
      <w:divBdr>
        <w:top w:val="none" w:sz="0" w:space="0" w:color="auto"/>
        <w:left w:val="none" w:sz="0" w:space="0" w:color="auto"/>
        <w:bottom w:val="none" w:sz="0" w:space="0" w:color="auto"/>
        <w:right w:val="none" w:sz="0" w:space="0" w:color="auto"/>
      </w:divBdr>
    </w:div>
    <w:div w:id="573047105">
      <w:bodyDiv w:val="1"/>
      <w:marLeft w:val="0"/>
      <w:marRight w:val="0"/>
      <w:marTop w:val="0"/>
      <w:marBottom w:val="0"/>
      <w:divBdr>
        <w:top w:val="none" w:sz="0" w:space="0" w:color="auto"/>
        <w:left w:val="none" w:sz="0" w:space="0" w:color="auto"/>
        <w:bottom w:val="none" w:sz="0" w:space="0" w:color="auto"/>
        <w:right w:val="none" w:sz="0" w:space="0" w:color="auto"/>
      </w:divBdr>
    </w:div>
    <w:div w:id="1007749049">
      <w:bodyDiv w:val="1"/>
      <w:marLeft w:val="0"/>
      <w:marRight w:val="0"/>
      <w:marTop w:val="0"/>
      <w:marBottom w:val="0"/>
      <w:divBdr>
        <w:top w:val="none" w:sz="0" w:space="0" w:color="auto"/>
        <w:left w:val="none" w:sz="0" w:space="0" w:color="auto"/>
        <w:bottom w:val="none" w:sz="0" w:space="0" w:color="auto"/>
        <w:right w:val="none" w:sz="0" w:space="0" w:color="auto"/>
      </w:divBdr>
    </w:div>
    <w:div w:id="1764496276">
      <w:bodyDiv w:val="1"/>
      <w:marLeft w:val="0"/>
      <w:marRight w:val="0"/>
      <w:marTop w:val="0"/>
      <w:marBottom w:val="0"/>
      <w:divBdr>
        <w:top w:val="none" w:sz="0" w:space="0" w:color="auto"/>
        <w:left w:val="none" w:sz="0" w:space="0" w:color="auto"/>
        <w:bottom w:val="none" w:sz="0" w:space="0" w:color="auto"/>
        <w:right w:val="none" w:sz="0" w:space="0" w:color="auto"/>
      </w:divBdr>
    </w:div>
    <w:div w:id="1801848452">
      <w:bodyDiv w:val="1"/>
      <w:marLeft w:val="0"/>
      <w:marRight w:val="0"/>
      <w:marTop w:val="0"/>
      <w:marBottom w:val="0"/>
      <w:divBdr>
        <w:top w:val="none" w:sz="0" w:space="0" w:color="auto"/>
        <w:left w:val="none" w:sz="0" w:space="0" w:color="auto"/>
        <w:bottom w:val="none" w:sz="0" w:space="0" w:color="auto"/>
        <w:right w:val="none" w:sz="0" w:space="0" w:color="auto"/>
      </w:divBdr>
    </w:div>
    <w:div w:id="180626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69F8C-7171-46D9-8009-998C57DDD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2252</Words>
  <Characters>12386</Characters>
  <Application>Microsoft Office Word</Application>
  <DocSecurity>0</DocSecurity>
  <Lines>103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Llankiray Díaz</dc:creator>
  <cp:lastModifiedBy>Guillermo Diaz Vallejos</cp:lastModifiedBy>
  <cp:revision>7</cp:revision>
  <dcterms:created xsi:type="dcterms:W3CDTF">2019-04-23T17:35:00Z</dcterms:created>
  <dcterms:modified xsi:type="dcterms:W3CDTF">2019-05-02T16:59:00Z</dcterms:modified>
</cp:coreProperties>
</file>