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8A" w:rsidRPr="00703B60" w:rsidRDefault="00703B60" w:rsidP="00703B60">
      <w:pPr>
        <w:spacing w:line="320" w:lineRule="exact"/>
        <w:jc w:val="both"/>
        <w:rPr>
          <w:rFonts w:ascii="Times New Roman" w:hAnsi="Times New Roman" w:cs="Times New Roman"/>
          <w:b/>
        </w:rPr>
      </w:pPr>
      <w:r w:rsidRPr="00703B60">
        <w:rPr>
          <w:rFonts w:ascii="Times New Roman" w:hAnsi="Times New Roman" w:cs="Times New Roman"/>
          <w:b/>
        </w:rPr>
        <w:t>Modifica el Código Civil, el Código Orgánico de Tribunales y el Código de Procedimiento Civil, en materia de competencia para conocer del juicio de partición de la comunidad hereditaria</w:t>
      </w:r>
    </w:p>
    <w:p w:rsidR="00703B60" w:rsidRPr="00703B60" w:rsidRDefault="00703B60" w:rsidP="00703B60">
      <w:pPr>
        <w:spacing w:line="320" w:lineRule="exact"/>
        <w:jc w:val="both"/>
        <w:rPr>
          <w:rFonts w:ascii="Times New Roman" w:hAnsi="Times New Roman" w:cs="Times New Roman"/>
          <w:b/>
        </w:rPr>
      </w:pPr>
    </w:p>
    <w:p w:rsidR="00703B60" w:rsidRPr="00703B60" w:rsidRDefault="00703B60" w:rsidP="00703B60">
      <w:pPr>
        <w:spacing w:line="320" w:lineRule="exact"/>
        <w:jc w:val="center"/>
        <w:rPr>
          <w:rFonts w:ascii="Times New Roman" w:hAnsi="Times New Roman" w:cs="Times New Roman"/>
          <w:b/>
        </w:rPr>
      </w:pPr>
      <w:r w:rsidRPr="00703B60">
        <w:rPr>
          <w:rFonts w:ascii="Times New Roman" w:hAnsi="Times New Roman" w:cs="Times New Roman"/>
          <w:b/>
        </w:rPr>
        <w:t>Boletín N° 12689-07</w:t>
      </w:r>
    </w:p>
    <w:p w:rsidR="00703B60" w:rsidRDefault="00703B60" w:rsidP="00703B60">
      <w:pPr>
        <w:spacing w:line="360" w:lineRule="auto"/>
        <w:jc w:val="both"/>
        <w:rPr>
          <w:rFonts w:ascii="Times New Roman" w:hAnsi="Times New Roman" w:cs="Times New Roman"/>
        </w:rPr>
      </w:pPr>
    </w:p>
    <w:p w:rsidR="0063018A" w:rsidRPr="00A23D10" w:rsidRDefault="0058032A" w:rsidP="008B0978">
      <w:pPr>
        <w:jc w:val="both"/>
        <w:rPr>
          <w:rFonts w:ascii="Times New Roman" w:hAnsi="Times New Roman" w:cs="Times New Roman"/>
          <w:b/>
          <w:sz w:val="22"/>
        </w:rPr>
      </w:pPr>
      <w:r w:rsidRPr="00A23D10">
        <w:rPr>
          <w:rFonts w:ascii="Times New Roman" w:hAnsi="Times New Roman" w:cs="Times New Roman"/>
          <w:b/>
          <w:sz w:val="22"/>
        </w:rPr>
        <w:t xml:space="preserve">I. </w:t>
      </w:r>
      <w:r w:rsidR="00A23D10" w:rsidRPr="00A23D10">
        <w:rPr>
          <w:rFonts w:ascii="Times New Roman" w:hAnsi="Times New Roman" w:cs="Times New Roman"/>
          <w:b/>
          <w:sz w:val="22"/>
        </w:rPr>
        <w:t>FUNDAMENTOS DEL PROYECTO:</w:t>
      </w:r>
    </w:p>
    <w:p w:rsidR="0063018A" w:rsidRPr="008B0978" w:rsidRDefault="0063018A" w:rsidP="008B0978">
      <w:pPr>
        <w:jc w:val="both"/>
        <w:rPr>
          <w:rFonts w:ascii="Times New Roman" w:hAnsi="Times New Roman" w:cs="Times New Roman"/>
        </w:rPr>
      </w:pPr>
    </w:p>
    <w:p w:rsidR="0063018A" w:rsidRDefault="00A2208F" w:rsidP="00F73A2C">
      <w:pPr>
        <w:spacing w:line="360" w:lineRule="auto"/>
        <w:jc w:val="both"/>
        <w:rPr>
          <w:rFonts w:ascii="Times New Roman" w:hAnsi="Times New Roman" w:cs="Times New Roman"/>
        </w:rPr>
      </w:pPr>
      <w:r w:rsidRPr="008B0978">
        <w:rPr>
          <w:rFonts w:ascii="Times New Roman" w:hAnsi="Times New Roman" w:cs="Times New Roman"/>
        </w:rPr>
        <w:t>Es muy frecuente en nuestro país que exista</w:t>
      </w:r>
      <w:r w:rsidR="0037288E">
        <w:rPr>
          <w:rFonts w:ascii="Times New Roman" w:hAnsi="Times New Roman" w:cs="Times New Roman"/>
        </w:rPr>
        <w:t>n comunidades hereditarias en</w:t>
      </w:r>
      <w:r w:rsidRPr="008B0978">
        <w:rPr>
          <w:rFonts w:ascii="Times New Roman" w:hAnsi="Times New Roman" w:cs="Times New Roman"/>
        </w:rPr>
        <w:t xml:space="preserve"> las cuales no se han adjudicado bienes singulares para los herederos. Esto se da con mayor frecuencia en aquellos casos en que la comunidad hereditaria en su conjunto no cuenta con los recursos necesarios para </w:t>
      </w:r>
      <w:r w:rsidR="002D2699" w:rsidRPr="008B0978">
        <w:rPr>
          <w:rFonts w:ascii="Times New Roman" w:hAnsi="Times New Roman" w:cs="Times New Roman"/>
        </w:rPr>
        <w:t xml:space="preserve">solventar un juicio de partición. </w:t>
      </w:r>
    </w:p>
    <w:p w:rsidR="003109AF" w:rsidRDefault="003109AF" w:rsidP="00F73A2C">
      <w:pPr>
        <w:spacing w:line="360" w:lineRule="auto"/>
        <w:jc w:val="both"/>
        <w:rPr>
          <w:rFonts w:ascii="Times New Roman" w:hAnsi="Times New Roman" w:cs="Times New Roman"/>
        </w:rPr>
      </w:pPr>
    </w:p>
    <w:p w:rsidR="003109AF" w:rsidRDefault="00A1738D" w:rsidP="00F73A2C">
      <w:pPr>
        <w:spacing w:line="360" w:lineRule="auto"/>
        <w:jc w:val="both"/>
        <w:rPr>
          <w:rFonts w:ascii="Times New Roman" w:hAnsi="Times New Roman" w:cs="Times New Roman"/>
        </w:rPr>
      </w:pPr>
      <w:r>
        <w:rPr>
          <w:rFonts w:ascii="Times New Roman" w:hAnsi="Times New Roman" w:cs="Times New Roman"/>
        </w:rPr>
        <w:t xml:space="preserve">Esto debido </w:t>
      </w:r>
      <w:r w:rsidR="0037288E">
        <w:rPr>
          <w:rFonts w:ascii="Times New Roman" w:hAnsi="Times New Roman" w:cs="Times New Roman"/>
        </w:rPr>
        <w:t>principalmente a que e</w:t>
      </w:r>
      <w:r w:rsidR="003109AF">
        <w:rPr>
          <w:rFonts w:ascii="Times New Roman" w:hAnsi="Times New Roman" w:cs="Times New Roman"/>
        </w:rPr>
        <w:t xml:space="preserve">l artículo 227 del Código Orgánico de Tribunales dispone como uno de los casos de arbitraje forzoso la partición de bienes. Al efecto, la ley dispone que la única forma a través de la cual sea posible determinar la división de la </w:t>
      </w:r>
      <w:proofErr w:type="gramStart"/>
      <w:r w:rsidR="003109AF">
        <w:rPr>
          <w:rFonts w:ascii="Times New Roman" w:hAnsi="Times New Roman" w:cs="Times New Roman"/>
        </w:rPr>
        <w:t>comunidad</w:t>
      </w:r>
      <w:proofErr w:type="gramEnd"/>
      <w:r w:rsidR="003109AF">
        <w:rPr>
          <w:rFonts w:ascii="Times New Roman" w:hAnsi="Times New Roman" w:cs="Times New Roman"/>
        </w:rPr>
        <w:t xml:space="preserve"> hereditaria sea mediante </w:t>
      </w:r>
      <w:proofErr w:type="spellStart"/>
      <w:r w:rsidR="003109AF">
        <w:rPr>
          <w:rFonts w:ascii="Times New Roman" w:hAnsi="Times New Roman" w:cs="Times New Roman"/>
        </w:rPr>
        <w:t>a</w:t>
      </w:r>
      <w:proofErr w:type="spellEnd"/>
      <w:r w:rsidR="003109AF">
        <w:rPr>
          <w:rFonts w:ascii="Times New Roman" w:hAnsi="Times New Roman" w:cs="Times New Roman"/>
        </w:rPr>
        <w:t xml:space="preserve"> intervención de un juez árbitro, sustrayendo –en principio- la intervención de un juez civil ordinario en dicho proceso. </w:t>
      </w:r>
    </w:p>
    <w:p w:rsidR="003109AF" w:rsidRDefault="003109AF" w:rsidP="00F73A2C">
      <w:pPr>
        <w:spacing w:line="360" w:lineRule="auto"/>
        <w:jc w:val="both"/>
        <w:rPr>
          <w:rFonts w:ascii="Times New Roman" w:hAnsi="Times New Roman" w:cs="Times New Roman"/>
        </w:rPr>
      </w:pPr>
    </w:p>
    <w:p w:rsidR="003109AF" w:rsidRDefault="003109AF" w:rsidP="00F73A2C">
      <w:pPr>
        <w:spacing w:line="360" w:lineRule="auto"/>
        <w:jc w:val="both"/>
        <w:rPr>
          <w:rFonts w:ascii="Times New Roman" w:hAnsi="Times New Roman" w:cs="Times New Roman"/>
        </w:rPr>
      </w:pPr>
      <w:r>
        <w:rPr>
          <w:rFonts w:ascii="Times New Roman" w:hAnsi="Times New Roman" w:cs="Times New Roman"/>
        </w:rPr>
        <w:t xml:space="preserve">Esta disposición legal es criticable desde variados puntos de vista. Desde un punto de vista </w:t>
      </w:r>
      <w:r w:rsidR="0037288E">
        <w:rPr>
          <w:rFonts w:ascii="Times New Roman" w:hAnsi="Times New Roman" w:cs="Times New Roman"/>
        </w:rPr>
        <w:t xml:space="preserve">exclusivamente </w:t>
      </w:r>
      <w:r>
        <w:rPr>
          <w:rFonts w:ascii="Times New Roman" w:hAnsi="Times New Roman" w:cs="Times New Roman"/>
        </w:rPr>
        <w:t xml:space="preserve">jurídico, el mantenimiento de una norma de este tipo, a la luz de </w:t>
      </w:r>
      <w:proofErr w:type="gramStart"/>
      <w:r>
        <w:rPr>
          <w:rFonts w:ascii="Times New Roman" w:hAnsi="Times New Roman" w:cs="Times New Roman"/>
        </w:rPr>
        <w:t>las</w:t>
      </w:r>
      <w:proofErr w:type="gramEnd"/>
      <w:r>
        <w:rPr>
          <w:rFonts w:ascii="Times New Roman" w:hAnsi="Times New Roman" w:cs="Times New Roman"/>
        </w:rPr>
        <w:t xml:space="preserve"> preceptos constitucionales que regulan el </w:t>
      </w:r>
      <w:r w:rsidR="00D10A8B">
        <w:rPr>
          <w:rFonts w:ascii="Times New Roman" w:hAnsi="Times New Roman" w:cs="Times New Roman"/>
        </w:rPr>
        <w:t xml:space="preserve">derecho de </w:t>
      </w:r>
      <w:r>
        <w:rPr>
          <w:rFonts w:ascii="Times New Roman" w:hAnsi="Times New Roman" w:cs="Times New Roman"/>
        </w:rPr>
        <w:t>acceso a la justicia, pareciese tener ribetes de inconstitucionalidad. Esto en cuanto a que re</w:t>
      </w:r>
      <w:r w:rsidR="00AC5C5C">
        <w:rPr>
          <w:rFonts w:ascii="Times New Roman" w:hAnsi="Times New Roman" w:cs="Times New Roman"/>
        </w:rPr>
        <w:t xml:space="preserve">stringe el acceso a la justicia, </w:t>
      </w:r>
      <w:r w:rsidR="0037288E">
        <w:rPr>
          <w:rFonts w:ascii="Times New Roman" w:hAnsi="Times New Roman" w:cs="Times New Roman"/>
        </w:rPr>
        <w:t>condicionando</w:t>
      </w:r>
      <w:r w:rsidR="00AC5C5C">
        <w:rPr>
          <w:rFonts w:ascii="Times New Roman" w:hAnsi="Times New Roman" w:cs="Times New Roman"/>
        </w:rPr>
        <w:t xml:space="preserve"> la resolución de un conflicto de relevancia jurídica a la intervención de un juez privado cuyos gastos deben</w:t>
      </w:r>
      <w:r w:rsidR="0037288E">
        <w:rPr>
          <w:rFonts w:ascii="Times New Roman" w:hAnsi="Times New Roman" w:cs="Times New Roman"/>
        </w:rPr>
        <w:t xml:space="preserve"> ser solventados po</w:t>
      </w:r>
      <w:r w:rsidR="00D10A8B">
        <w:rPr>
          <w:rFonts w:ascii="Times New Roman" w:hAnsi="Times New Roman" w:cs="Times New Roman"/>
        </w:rPr>
        <w:t xml:space="preserve">r las partes de manera directa, sin ningún tipo de ayuda estatal. </w:t>
      </w:r>
    </w:p>
    <w:p w:rsidR="00AC5C5C" w:rsidRPr="006A02BE" w:rsidRDefault="00AC5C5C" w:rsidP="00F73A2C">
      <w:pPr>
        <w:pStyle w:val="Textosinformato"/>
        <w:spacing w:line="360" w:lineRule="auto"/>
        <w:rPr>
          <w:rFonts w:ascii="Times New Roman" w:hAnsi="Times New Roman" w:cs="Times New Roman"/>
          <w:sz w:val="24"/>
          <w:szCs w:val="24"/>
        </w:rPr>
      </w:pPr>
    </w:p>
    <w:p w:rsidR="00C755CB" w:rsidRDefault="00C755CB" w:rsidP="00F73A2C">
      <w:pPr>
        <w:pStyle w:val="Textosinformato"/>
        <w:spacing w:line="360" w:lineRule="auto"/>
        <w:rPr>
          <w:rFonts w:ascii="Times New Roman" w:hAnsi="Times New Roman" w:cs="Times New Roman"/>
          <w:sz w:val="24"/>
          <w:szCs w:val="24"/>
        </w:rPr>
      </w:pPr>
      <w:r>
        <w:rPr>
          <w:rFonts w:ascii="Times New Roman" w:hAnsi="Times New Roman" w:cs="Times New Roman"/>
          <w:sz w:val="24"/>
          <w:szCs w:val="24"/>
        </w:rPr>
        <w:t>Por otro lado, l</w:t>
      </w:r>
      <w:r w:rsidR="0037288E">
        <w:rPr>
          <w:rFonts w:ascii="Times New Roman" w:hAnsi="Times New Roman" w:cs="Times New Roman"/>
          <w:sz w:val="24"/>
          <w:szCs w:val="24"/>
        </w:rPr>
        <w:t xml:space="preserve">a </w:t>
      </w:r>
      <w:r w:rsidR="00AC5C5C">
        <w:rPr>
          <w:rFonts w:ascii="Times New Roman" w:hAnsi="Times New Roman" w:cs="Times New Roman"/>
          <w:sz w:val="24"/>
          <w:szCs w:val="24"/>
        </w:rPr>
        <w:t>imposición del arbitraje desconoce la naturaleza y la función de la institución</w:t>
      </w:r>
      <w:r w:rsidR="00D10A8B">
        <w:rPr>
          <w:rFonts w:ascii="Times New Roman" w:hAnsi="Times New Roman" w:cs="Times New Roman"/>
          <w:sz w:val="24"/>
          <w:szCs w:val="24"/>
        </w:rPr>
        <w:t xml:space="preserve"> dentro del sis</w:t>
      </w:r>
      <w:r>
        <w:rPr>
          <w:rFonts w:ascii="Times New Roman" w:hAnsi="Times New Roman" w:cs="Times New Roman"/>
          <w:sz w:val="24"/>
          <w:szCs w:val="24"/>
        </w:rPr>
        <w:t>tema jurídico nacional</w:t>
      </w:r>
      <w:r w:rsidR="00AC5C5C">
        <w:rPr>
          <w:rFonts w:ascii="Times New Roman" w:hAnsi="Times New Roman" w:cs="Times New Roman"/>
          <w:sz w:val="24"/>
          <w:szCs w:val="24"/>
        </w:rPr>
        <w:t xml:space="preserve">. Ella se basa en la autonomía de la voluntad de las partes en cuanto que puedan decidir si sustraer </w:t>
      </w:r>
      <w:r>
        <w:rPr>
          <w:rFonts w:ascii="Times New Roman" w:hAnsi="Times New Roman" w:cs="Times New Roman"/>
          <w:sz w:val="24"/>
          <w:szCs w:val="24"/>
        </w:rPr>
        <w:t xml:space="preserve">o no </w:t>
      </w:r>
      <w:r w:rsidR="00AC5C5C">
        <w:rPr>
          <w:rFonts w:ascii="Times New Roman" w:hAnsi="Times New Roman" w:cs="Times New Roman"/>
          <w:sz w:val="24"/>
          <w:szCs w:val="24"/>
        </w:rPr>
        <w:t>un determinado conflicto del conocimiento de la justicia estatal, renunciando a su intervención, pero a su vez asumiendo los costos de un juez privado, entendiendo que su intervención será más eficiente desde el punto de vista de los costos procesales.</w:t>
      </w:r>
      <w:r>
        <w:rPr>
          <w:rFonts w:ascii="Times New Roman" w:hAnsi="Times New Roman" w:cs="Times New Roman"/>
          <w:sz w:val="24"/>
          <w:szCs w:val="24"/>
        </w:rPr>
        <w:t xml:space="preserve"> Las ventajas del arbitraje que consideran las partes para que un conflicto sea sometido a él pueden ir desde la rapidez de la resolución, el </w:t>
      </w:r>
      <w:r>
        <w:rPr>
          <w:rFonts w:ascii="Times New Roman" w:hAnsi="Times New Roman" w:cs="Times New Roman"/>
          <w:sz w:val="24"/>
          <w:szCs w:val="24"/>
        </w:rPr>
        <w:lastRenderedPageBreak/>
        <w:t>específico conocimiento que el juez árbitro tenga sobre la materia, como también la intención de las partes de que el conflicto se resuelva en base a reglas procesales distintas a las ordinarias.</w:t>
      </w:r>
      <w:r w:rsidR="00AC5C5C">
        <w:rPr>
          <w:rFonts w:ascii="Times New Roman" w:hAnsi="Times New Roman" w:cs="Times New Roman"/>
          <w:sz w:val="24"/>
          <w:szCs w:val="24"/>
        </w:rPr>
        <w:t xml:space="preserve"> </w:t>
      </w:r>
    </w:p>
    <w:p w:rsidR="00C755CB" w:rsidRDefault="00C755CB" w:rsidP="00F73A2C">
      <w:pPr>
        <w:pStyle w:val="Textosinformato"/>
        <w:spacing w:line="360" w:lineRule="auto"/>
        <w:rPr>
          <w:rFonts w:ascii="Times New Roman" w:hAnsi="Times New Roman" w:cs="Times New Roman"/>
          <w:sz w:val="24"/>
          <w:szCs w:val="24"/>
        </w:rPr>
      </w:pPr>
    </w:p>
    <w:p w:rsidR="00C755CB" w:rsidRDefault="00355D19" w:rsidP="00F73A2C">
      <w:pPr>
        <w:pStyle w:val="Textosinformato"/>
        <w:spacing w:line="360" w:lineRule="auto"/>
        <w:rPr>
          <w:rFonts w:ascii="Times New Roman" w:hAnsi="Times New Roman" w:cs="Times New Roman"/>
          <w:sz w:val="24"/>
          <w:szCs w:val="24"/>
        </w:rPr>
      </w:pPr>
      <w:r>
        <w:rPr>
          <w:rFonts w:ascii="Times New Roman" w:hAnsi="Times New Roman" w:cs="Times New Roman"/>
          <w:sz w:val="24"/>
          <w:szCs w:val="24"/>
        </w:rPr>
        <w:t xml:space="preserve">Por lo anterior, resulta </w:t>
      </w:r>
      <w:r w:rsidR="00C755CB">
        <w:rPr>
          <w:rFonts w:ascii="Times New Roman" w:hAnsi="Times New Roman" w:cs="Times New Roman"/>
          <w:sz w:val="24"/>
          <w:szCs w:val="24"/>
        </w:rPr>
        <w:t>criticable la subsistencia del</w:t>
      </w:r>
      <w:r>
        <w:rPr>
          <w:rFonts w:ascii="Times New Roman" w:hAnsi="Times New Roman" w:cs="Times New Roman"/>
          <w:sz w:val="24"/>
          <w:szCs w:val="24"/>
        </w:rPr>
        <w:t xml:space="preserve"> arbitraje forzoso</w:t>
      </w:r>
      <w:r w:rsidR="00C755CB">
        <w:rPr>
          <w:rFonts w:ascii="Times New Roman" w:hAnsi="Times New Roman" w:cs="Times New Roman"/>
          <w:sz w:val="24"/>
          <w:szCs w:val="24"/>
        </w:rPr>
        <w:t xml:space="preserve"> relacionado a específicas materias como la partición de bienes,</w:t>
      </w:r>
      <w:r>
        <w:rPr>
          <w:rFonts w:ascii="Times New Roman" w:hAnsi="Times New Roman" w:cs="Times New Roman"/>
          <w:sz w:val="24"/>
          <w:szCs w:val="24"/>
        </w:rPr>
        <w:t xml:space="preserve"> en vista a las exigencias actuales de un Estado de Derecho. </w:t>
      </w:r>
      <w:r w:rsidR="00C755CB">
        <w:rPr>
          <w:rFonts w:ascii="Times New Roman" w:hAnsi="Times New Roman" w:cs="Times New Roman"/>
          <w:sz w:val="24"/>
          <w:szCs w:val="24"/>
        </w:rPr>
        <w:t xml:space="preserve">Esto en cuanto a la inexistencia de fundamentos </w:t>
      </w:r>
      <w:r w:rsidR="0003361F">
        <w:rPr>
          <w:rFonts w:ascii="Times New Roman" w:hAnsi="Times New Roman" w:cs="Times New Roman"/>
          <w:sz w:val="24"/>
          <w:szCs w:val="24"/>
        </w:rPr>
        <w:t xml:space="preserve">que justifiquen que se obligue a las partes a recurrir a un determinado mecanismo de resolución de conflictos y obligarles a solventar dicho procedimiento aun cuando no tengan lo recursos necesarios para ello. Esto representa una evidente limitación del ejercicio del derecho de acción consagrado en nuestro orden constitucional, derecho que todo ciudadano tiene por ser tal y que le asegura el respeto y reconocimiento de sus derechos por parte de los órganos jurisdiccionales estatales de manera efectiva. </w:t>
      </w:r>
    </w:p>
    <w:p w:rsidR="00355D19" w:rsidRDefault="00355D19" w:rsidP="00F73A2C">
      <w:pPr>
        <w:pStyle w:val="Textosinformato"/>
        <w:spacing w:line="360" w:lineRule="auto"/>
        <w:rPr>
          <w:rFonts w:ascii="Times New Roman" w:hAnsi="Times New Roman" w:cs="Times New Roman"/>
          <w:sz w:val="24"/>
          <w:szCs w:val="24"/>
        </w:rPr>
      </w:pPr>
    </w:p>
    <w:p w:rsidR="00355D19" w:rsidRDefault="00355D19" w:rsidP="00F73A2C">
      <w:pPr>
        <w:pStyle w:val="Textosinformato"/>
        <w:spacing w:line="360" w:lineRule="auto"/>
        <w:rPr>
          <w:rFonts w:ascii="Times New Roman" w:hAnsi="Times New Roman" w:cs="Times New Roman"/>
          <w:sz w:val="24"/>
          <w:szCs w:val="24"/>
        </w:rPr>
      </w:pPr>
      <w:r>
        <w:rPr>
          <w:rFonts w:ascii="Times New Roman" w:hAnsi="Times New Roman" w:cs="Times New Roman"/>
          <w:sz w:val="24"/>
          <w:szCs w:val="24"/>
        </w:rPr>
        <w:t xml:space="preserve">Como ya se ha indicado, también existen motivos prácticos por los cuales es posible criticar el arbitraje forzoso en materia de partición de bienes, particularmente en aquellas situaciones en la cuales la cuantía de la masa </w:t>
      </w:r>
      <w:r w:rsidR="00A1738D">
        <w:rPr>
          <w:rFonts w:ascii="Times New Roman" w:hAnsi="Times New Roman" w:cs="Times New Roman"/>
          <w:sz w:val="24"/>
          <w:szCs w:val="24"/>
        </w:rPr>
        <w:t xml:space="preserve">hereditaria partible es baja y </w:t>
      </w:r>
      <w:r>
        <w:rPr>
          <w:rFonts w:ascii="Times New Roman" w:hAnsi="Times New Roman" w:cs="Times New Roman"/>
          <w:sz w:val="24"/>
          <w:szCs w:val="24"/>
        </w:rPr>
        <w:t>que, en comparación con los costos del arbitraje, resulta bastante oneroso para los herederos proseguir mediante el juicio de partición. Esto produce que en la práctica la comunidad hereditaria permanezca indefinidamente en la indivisión, produciendo no sólo conflictos de orden familiar, económico y jurídico, sino también congela</w:t>
      </w:r>
      <w:r w:rsidR="0003361F">
        <w:rPr>
          <w:rFonts w:ascii="Times New Roman" w:hAnsi="Times New Roman" w:cs="Times New Roman"/>
          <w:sz w:val="24"/>
          <w:szCs w:val="24"/>
        </w:rPr>
        <w:t>ndo</w:t>
      </w:r>
      <w:r>
        <w:rPr>
          <w:rFonts w:ascii="Times New Roman" w:hAnsi="Times New Roman" w:cs="Times New Roman"/>
          <w:sz w:val="24"/>
          <w:szCs w:val="24"/>
        </w:rPr>
        <w:t xml:space="preserve"> la libre circulación de los bienes y la posibilidad de que los herederos puedan hacer efectivos los derechos que forman parte de su patrimonio, como el derecho real de herencia. En este sentido, las partes en un juicio de partición deberán solventar, entre </w:t>
      </w:r>
      <w:r w:rsidR="00514D2E">
        <w:rPr>
          <w:rFonts w:ascii="Times New Roman" w:hAnsi="Times New Roman" w:cs="Times New Roman"/>
          <w:sz w:val="24"/>
          <w:szCs w:val="24"/>
        </w:rPr>
        <w:t xml:space="preserve">otros aspectos, los </w:t>
      </w:r>
      <w:r>
        <w:rPr>
          <w:rFonts w:ascii="Times New Roman" w:hAnsi="Times New Roman" w:cs="Times New Roman"/>
          <w:sz w:val="24"/>
          <w:szCs w:val="24"/>
        </w:rPr>
        <w:t>h</w:t>
      </w:r>
      <w:r w:rsidRPr="006A02BE">
        <w:rPr>
          <w:rFonts w:ascii="Times New Roman" w:hAnsi="Times New Roman" w:cs="Times New Roman"/>
          <w:sz w:val="24"/>
          <w:szCs w:val="24"/>
        </w:rPr>
        <w:t>onorario</w:t>
      </w:r>
      <w:r>
        <w:rPr>
          <w:rFonts w:ascii="Times New Roman" w:hAnsi="Times New Roman" w:cs="Times New Roman"/>
          <w:sz w:val="24"/>
          <w:szCs w:val="24"/>
        </w:rPr>
        <w:t xml:space="preserve">s del abogado solicitante, del receptor judicial, </w:t>
      </w:r>
      <w:r w:rsidRPr="006A02BE">
        <w:rPr>
          <w:rFonts w:ascii="Times New Roman" w:hAnsi="Times New Roman" w:cs="Times New Roman"/>
          <w:sz w:val="24"/>
          <w:szCs w:val="24"/>
        </w:rPr>
        <w:t>del juez árbitro</w:t>
      </w:r>
      <w:r>
        <w:rPr>
          <w:rFonts w:ascii="Times New Roman" w:hAnsi="Times New Roman" w:cs="Times New Roman"/>
          <w:sz w:val="24"/>
          <w:szCs w:val="24"/>
        </w:rPr>
        <w:t xml:space="preserve">, </w:t>
      </w:r>
      <w:r w:rsidRPr="006A02BE">
        <w:rPr>
          <w:rFonts w:ascii="Times New Roman" w:hAnsi="Times New Roman" w:cs="Times New Roman"/>
          <w:sz w:val="24"/>
          <w:szCs w:val="24"/>
        </w:rPr>
        <w:t>del ministr</w:t>
      </w:r>
      <w:r>
        <w:rPr>
          <w:rFonts w:ascii="Times New Roman" w:hAnsi="Times New Roman" w:cs="Times New Roman"/>
          <w:sz w:val="24"/>
          <w:szCs w:val="24"/>
        </w:rPr>
        <w:t xml:space="preserve">o de fe del tribunal arbitral, entre otros. </w:t>
      </w:r>
    </w:p>
    <w:p w:rsidR="00B42D3F" w:rsidRDefault="00B42D3F" w:rsidP="00862380">
      <w:pPr>
        <w:pStyle w:val="Textosinformato"/>
        <w:spacing w:line="360" w:lineRule="auto"/>
        <w:rPr>
          <w:rFonts w:ascii="Times New Roman" w:hAnsi="Times New Roman" w:cs="Times New Roman"/>
          <w:sz w:val="24"/>
          <w:szCs w:val="24"/>
        </w:rPr>
      </w:pPr>
    </w:p>
    <w:p w:rsidR="00862380" w:rsidRDefault="00B42D3F" w:rsidP="00862380">
      <w:pPr>
        <w:pStyle w:val="Textosinformato"/>
        <w:spacing w:line="360" w:lineRule="auto"/>
        <w:rPr>
          <w:rFonts w:ascii="Times New Roman" w:hAnsi="Times New Roman" w:cs="Times New Roman"/>
          <w:sz w:val="24"/>
          <w:szCs w:val="24"/>
        </w:rPr>
      </w:pPr>
      <w:r>
        <w:rPr>
          <w:rFonts w:ascii="Times New Roman" w:hAnsi="Times New Roman" w:cs="Times New Roman"/>
          <w:sz w:val="24"/>
          <w:szCs w:val="24"/>
        </w:rPr>
        <w:t>Ante la imposibilidad de solventar con normalidad los costos de un juicio de partición</w:t>
      </w:r>
      <w:r w:rsidR="00F14610">
        <w:rPr>
          <w:rFonts w:ascii="Times New Roman" w:hAnsi="Times New Roman" w:cs="Times New Roman"/>
          <w:sz w:val="24"/>
          <w:szCs w:val="24"/>
        </w:rPr>
        <w:t xml:space="preserve"> estos se detienen y se mantienen en el tiempo sin llegar a partir la masa hereditaria. Por otra parte, </w:t>
      </w:r>
      <w:r>
        <w:rPr>
          <w:rFonts w:ascii="Times New Roman" w:hAnsi="Times New Roman" w:cs="Times New Roman"/>
          <w:sz w:val="24"/>
          <w:szCs w:val="24"/>
        </w:rPr>
        <w:t>con frecuencia los herederos mal emplean el Decreto Ley Nº</w:t>
      </w:r>
      <w:r w:rsidR="00051DF5">
        <w:rPr>
          <w:rFonts w:ascii="Times New Roman" w:hAnsi="Times New Roman" w:cs="Times New Roman"/>
          <w:sz w:val="24"/>
          <w:szCs w:val="24"/>
        </w:rPr>
        <w:t xml:space="preserve"> </w:t>
      </w:r>
      <w:r>
        <w:rPr>
          <w:rFonts w:ascii="Times New Roman" w:hAnsi="Times New Roman" w:cs="Times New Roman"/>
          <w:sz w:val="24"/>
          <w:szCs w:val="24"/>
        </w:rPr>
        <w:t xml:space="preserve">2.695 </w:t>
      </w:r>
      <w:r w:rsidR="0003361F">
        <w:rPr>
          <w:rFonts w:ascii="Times New Roman" w:hAnsi="Times New Roman" w:cs="Times New Roman"/>
          <w:sz w:val="24"/>
          <w:szCs w:val="24"/>
        </w:rPr>
        <w:t>que f</w:t>
      </w:r>
      <w:r w:rsidR="00F14610">
        <w:rPr>
          <w:rFonts w:ascii="Times New Roman" w:hAnsi="Times New Roman" w:cs="Times New Roman"/>
          <w:sz w:val="24"/>
          <w:szCs w:val="24"/>
        </w:rPr>
        <w:t>i</w:t>
      </w:r>
      <w:r w:rsidR="0003361F">
        <w:rPr>
          <w:rFonts w:ascii="Times New Roman" w:hAnsi="Times New Roman" w:cs="Times New Roman"/>
          <w:sz w:val="24"/>
          <w:szCs w:val="24"/>
        </w:rPr>
        <w:t>ja normas para regularizar la posesión de la pequeña propiedad raíz y para la cons</w:t>
      </w:r>
      <w:r w:rsidR="00051DF5">
        <w:rPr>
          <w:rFonts w:ascii="Times New Roman" w:hAnsi="Times New Roman" w:cs="Times New Roman"/>
          <w:sz w:val="24"/>
          <w:szCs w:val="24"/>
        </w:rPr>
        <w:t xml:space="preserve">titución del dominio sobre ella. Su aplicación permite realizar </w:t>
      </w:r>
      <w:r>
        <w:rPr>
          <w:rFonts w:ascii="Times New Roman" w:hAnsi="Times New Roman" w:cs="Times New Roman"/>
          <w:sz w:val="24"/>
          <w:szCs w:val="24"/>
        </w:rPr>
        <w:t xml:space="preserve">la partición de bienes de manera administrativa, la </w:t>
      </w:r>
      <w:r>
        <w:rPr>
          <w:rFonts w:ascii="Times New Roman" w:hAnsi="Times New Roman" w:cs="Times New Roman"/>
          <w:sz w:val="24"/>
          <w:szCs w:val="24"/>
        </w:rPr>
        <w:lastRenderedPageBreak/>
        <w:t xml:space="preserve">cual no siempre termina beneficiando a todos los herederos que tienen derechos sobre el inmueble regularizado. En este sentido, </w:t>
      </w:r>
      <w:r w:rsidR="00862380">
        <w:rPr>
          <w:rFonts w:ascii="Times New Roman" w:hAnsi="Times New Roman" w:cs="Times New Roman"/>
          <w:sz w:val="24"/>
          <w:szCs w:val="24"/>
        </w:rPr>
        <w:t>la mala utilización del decreto ley mencionado ha representado una afectación de los legítimos derechos que algunos herederos tiene respecto de la masa hereditaria, excluyéndolos del uso y goce del inmueble, sin poder haberse opuesto a dich</w:t>
      </w:r>
      <w:r w:rsidR="00A1738D">
        <w:rPr>
          <w:rFonts w:ascii="Times New Roman" w:hAnsi="Times New Roman" w:cs="Times New Roman"/>
          <w:sz w:val="24"/>
          <w:szCs w:val="24"/>
        </w:rPr>
        <w:t xml:space="preserve">o procedimiento administrativo, particularmente porque se adjudica la posesión –y posteriormente el dominio- de un determinado bien a un solo heredero, imposibilitando que los restantes puedan ejercer sus derechos con posterioridad. </w:t>
      </w:r>
    </w:p>
    <w:p w:rsidR="00C755CB" w:rsidRDefault="00C755CB" w:rsidP="00862380">
      <w:pPr>
        <w:pStyle w:val="Textosinformato"/>
        <w:spacing w:line="360" w:lineRule="auto"/>
        <w:rPr>
          <w:rFonts w:ascii="Times New Roman" w:hAnsi="Times New Roman" w:cs="Times New Roman"/>
          <w:sz w:val="24"/>
          <w:szCs w:val="24"/>
        </w:rPr>
      </w:pPr>
    </w:p>
    <w:p w:rsidR="00862380" w:rsidRDefault="00862380" w:rsidP="00862380">
      <w:pPr>
        <w:pStyle w:val="Textosinformato"/>
        <w:spacing w:line="360" w:lineRule="auto"/>
        <w:rPr>
          <w:rFonts w:ascii="Times New Roman" w:hAnsi="Times New Roman" w:cs="Times New Roman"/>
          <w:sz w:val="24"/>
          <w:szCs w:val="24"/>
        </w:rPr>
      </w:pPr>
      <w:r>
        <w:rPr>
          <w:rFonts w:ascii="Times New Roman" w:hAnsi="Times New Roman" w:cs="Times New Roman"/>
          <w:sz w:val="24"/>
          <w:szCs w:val="24"/>
        </w:rPr>
        <w:t>Por otra parte, aun cuando la partición s</w:t>
      </w:r>
      <w:r w:rsidR="00051DF5">
        <w:rPr>
          <w:rFonts w:ascii="Times New Roman" w:hAnsi="Times New Roman" w:cs="Times New Roman"/>
          <w:sz w:val="24"/>
          <w:szCs w:val="24"/>
        </w:rPr>
        <w:t>ea conocida por un juez árbitro</w:t>
      </w:r>
      <w:r>
        <w:rPr>
          <w:rFonts w:ascii="Times New Roman" w:hAnsi="Times New Roman" w:cs="Times New Roman"/>
          <w:sz w:val="24"/>
          <w:szCs w:val="24"/>
        </w:rPr>
        <w:t>, muchas veces las partes recurren de apelación o casación, por lo cual aspectos de la partición igualmente terminan siendo resueltos por los tribunales ordinarios de justicia,</w:t>
      </w:r>
      <w:r w:rsidR="00A1738D">
        <w:rPr>
          <w:rFonts w:ascii="Times New Roman" w:hAnsi="Times New Roman" w:cs="Times New Roman"/>
          <w:sz w:val="24"/>
          <w:szCs w:val="24"/>
        </w:rPr>
        <w:t xml:space="preserve"> con las ventajas y desventajas del funcionamiento de dichos tribunales,</w:t>
      </w:r>
      <w:bookmarkStart w:id="0" w:name="_GoBack"/>
      <w:bookmarkEnd w:id="0"/>
      <w:r>
        <w:rPr>
          <w:rFonts w:ascii="Times New Roman" w:hAnsi="Times New Roman" w:cs="Times New Roman"/>
          <w:sz w:val="24"/>
          <w:szCs w:val="24"/>
        </w:rPr>
        <w:t xml:space="preserve"> e igualmente deben ser cubiertos los honorarios de los intervinientes en el juicio de partición previo. </w:t>
      </w:r>
    </w:p>
    <w:p w:rsidR="00862380" w:rsidRDefault="00862380" w:rsidP="00862380">
      <w:pPr>
        <w:pStyle w:val="Textosinformato"/>
        <w:spacing w:line="360" w:lineRule="auto"/>
        <w:rPr>
          <w:rFonts w:ascii="Times New Roman" w:hAnsi="Times New Roman" w:cs="Times New Roman"/>
          <w:sz w:val="24"/>
          <w:szCs w:val="24"/>
        </w:rPr>
      </w:pPr>
    </w:p>
    <w:p w:rsidR="00355D19" w:rsidRDefault="00A23D10" w:rsidP="00A23D10">
      <w:pPr>
        <w:pStyle w:val="Textosinformato"/>
        <w:spacing w:line="360" w:lineRule="auto"/>
        <w:rPr>
          <w:rFonts w:ascii="Times New Roman" w:hAnsi="Times New Roman" w:cs="Times New Roman"/>
          <w:sz w:val="24"/>
          <w:szCs w:val="24"/>
        </w:rPr>
      </w:pPr>
      <w:r>
        <w:rPr>
          <w:rFonts w:ascii="Times New Roman" w:hAnsi="Times New Roman" w:cs="Times New Roman"/>
          <w:sz w:val="24"/>
          <w:szCs w:val="24"/>
        </w:rPr>
        <w:t>Como se ha expuesto, las sucesiones intestadas que se encuentran actualmente pendientes de partición es una problemática social cuyos efectos no se traducen exclusivamente a la generación de un conflicto jurídico, sino que muchas veces familiar y económico. En este sentid</w:t>
      </w:r>
      <w:r w:rsidR="00514D2E">
        <w:rPr>
          <w:rFonts w:ascii="Times New Roman" w:hAnsi="Times New Roman" w:cs="Times New Roman"/>
          <w:sz w:val="24"/>
          <w:szCs w:val="24"/>
        </w:rPr>
        <w:t xml:space="preserve">o, corresponde al legislador proponer </w:t>
      </w:r>
      <w:r>
        <w:rPr>
          <w:rFonts w:ascii="Times New Roman" w:hAnsi="Times New Roman" w:cs="Times New Roman"/>
          <w:sz w:val="24"/>
          <w:szCs w:val="24"/>
        </w:rPr>
        <w:t>mecanismo</w:t>
      </w:r>
      <w:r w:rsidR="00514D2E">
        <w:rPr>
          <w:rFonts w:ascii="Times New Roman" w:hAnsi="Times New Roman" w:cs="Times New Roman"/>
          <w:sz w:val="24"/>
          <w:szCs w:val="24"/>
        </w:rPr>
        <w:t>s</w:t>
      </w:r>
      <w:r>
        <w:rPr>
          <w:rFonts w:ascii="Times New Roman" w:hAnsi="Times New Roman" w:cs="Times New Roman"/>
          <w:sz w:val="24"/>
          <w:szCs w:val="24"/>
        </w:rPr>
        <w:t xml:space="preserve"> más eficaces para la resolución de estos conflictos, teniendo en vista que la legislación procesal civil no puede establecer mecanismos de resolución discrimina</w:t>
      </w:r>
      <w:r w:rsidR="00514D2E">
        <w:rPr>
          <w:rFonts w:ascii="Times New Roman" w:hAnsi="Times New Roman" w:cs="Times New Roman"/>
          <w:sz w:val="24"/>
          <w:szCs w:val="24"/>
        </w:rPr>
        <w:t>torios respecto de</w:t>
      </w:r>
      <w:r>
        <w:rPr>
          <w:rFonts w:ascii="Times New Roman" w:hAnsi="Times New Roman" w:cs="Times New Roman"/>
          <w:sz w:val="24"/>
          <w:szCs w:val="24"/>
        </w:rPr>
        <w:t xml:space="preserve"> determinados sectores de la sociedad que no tienen los recursos para acceder a un juicio de partición. </w:t>
      </w:r>
    </w:p>
    <w:p w:rsidR="00A23D10" w:rsidRDefault="00A23D10" w:rsidP="00A23D10">
      <w:pPr>
        <w:pStyle w:val="Textosinformato"/>
        <w:spacing w:line="360" w:lineRule="auto"/>
        <w:rPr>
          <w:rFonts w:ascii="Times New Roman" w:hAnsi="Times New Roman" w:cs="Times New Roman"/>
          <w:sz w:val="24"/>
          <w:szCs w:val="24"/>
        </w:rPr>
      </w:pPr>
    </w:p>
    <w:p w:rsidR="0058032A" w:rsidRDefault="0058032A" w:rsidP="0058032A">
      <w:pPr>
        <w:pStyle w:val="Textosinformato"/>
        <w:spacing w:line="276" w:lineRule="auto"/>
        <w:rPr>
          <w:rFonts w:ascii="Times New Roman" w:hAnsi="Times New Roman" w:cs="Times New Roman"/>
          <w:sz w:val="24"/>
          <w:szCs w:val="24"/>
        </w:rPr>
      </w:pPr>
    </w:p>
    <w:p w:rsidR="0058032A" w:rsidRPr="00A23D10" w:rsidRDefault="00A23D10" w:rsidP="0058032A">
      <w:pPr>
        <w:pStyle w:val="Textosinformato"/>
        <w:spacing w:line="276" w:lineRule="auto"/>
        <w:rPr>
          <w:rFonts w:ascii="Times New Roman" w:hAnsi="Times New Roman" w:cs="Times New Roman"/>
          <w:b/>
          <w:sz w:val="22"/>
          <w:szCs w:val="24"/>
        </w:rPr>
      </w:pPr>
      <w:r w:rsidRPr="00A23D10">
        <w:rPr>
          <w:rFonts w:ascii="Times New Roman" w:hAnsi="Times New Roman" w:cs="Times New Roman"/>
          <w:b/>
          <w:sz w:val="22"/>
          <w:szCs w:val="24"/>
        </w:rPr>
        <w:t>II</w:t>
      </w:r>
      <w:r w:rsidR="0058032A" w:rsidRPr="00A23D10">
        <w:rPr>
          <w:rFonts w:ascii="Times New Roman" w:hAnsi="Times New Roman" w:cs="Times New Roman"/>
          <w:b/>
          <w:sz w:val="22"/>
          <w:szCs w:val="24"/>
        </w:rPr>
        <w:t xml:space="preserve">. </w:t>
      </w:r>
      <w:r w:rsidRPr="00A23D10">
        <w:rPr>
          <w:rFonts w:ascii="Times New Roman" w:hAnsi="Times New Roman" w:cs="Times New Roman"/>
          <w:b/>
          <w:sz w:val="22"/>
          <w:szCs w:val="24"/>
        </w:rPr>
        <w:t>CONTENIDO DEL PROYECTO</w:t>
      </w:r>
    </w:p>
    <w:p w:rsidR="0058032A" w:rsidRPr="006A02BE" w:rsidRDefault="0058032A" w:rsidP="0058032A">
      <w:pPr>
        <w:pStyle w:val="Textosinformato"/>
        <w:spacing w:line="276" w:lineRule="auto"/>
        <w:rPr>
          <w:rFonts w:ascii="Times New Roman" w:hAnsi="Times New Roman" w:cs="Times New Roman"/>
          <w:sz w:val="24"/>
          <w:szCs w:val="24"/>
        </w:rPr>
      </w:pPr>
    </w:p>
    <w:p w:rsidR="0058032A" w:rsidRDefault="00862380" w:rsidP="00A23D10">
      <w:pPr>
        <w:pStyle w:val="Textosinformato"/>
        <w:spacing w:line="360" w:lineRule="auto"/>
        <w:rPr>
          <w:rFonts w:ascii="Times New Roman" w:hAnsi="Times New Roman" w:cs="Times New Roman"/>
          <w:sz w:val="24"/>
          <w:szCs w:val="24"/>
        </w:rPr>
      </w:pPr>
      <w:r>
        <w:rPr>
          <w:rFonts w:ascii="Times New Roman" w:hAnsi="Times New Roman" w:cs="Times New Roman"/>
          <w:sz w:val="24"/>
          <w:szCs w:val="24"/>
        </w:rPr>
        <w:t xml:space="preserve">El presente </w:t>
      </w:r>
      <w:proofErr w:type="spellStart"/>
      <w:r>
        <w:rPr>
          <w:rFonts w:ascii="Times New Roman" w:hAnsi="Times New Roman" w:cs="Times New Roman"/>
          <w:sz w:val="24"/>
          <w:szCs w:val="24"/>
        </w:rPr>
        <w:t>proyeto</w:t>
      </w:r>
      <w:proofErr w:type="spellEnd"/>
      <w:r>
        <w:rPr>
          <w:rFonts w:ascii="Times New Roman" w:hAnsi="Times New Roman" w:cs="Times New Roman"/>
          <w:sz w:val="24"/>
          <w:szCs w:val="24"/>
        </w:rPr>
        <w:t xml:space="preserve"> de ley propone</w:t>
      </w:r>
      <w:r w:rsidR="0058032A" w:rsidRPr="006A02BE">
        <w:rPr>
          <w:rFonts w:ascii="Times New Roman" w:hAnsi="Times New Roman" w:cs="Times New Roman"/>
          <w:sz w:val="24"/>
          <w:szCs w:val="24"/>
        </w:rPr>
        <w:t xml:space="preserve"> modificaciones al Código Civil, Código Orgánico de Tribunales y Cód</w:t>
      </w:r>
      <w:r>
        <w:rPr>
          <w:rFonts w:ascii="Times New Roman" w:hAnsi="Times New Roman" w:cs="Times New Roman"/>
          <w:sz w:val="24"/>
          <w:szCs w:val="24"/>
        </w:rPr>
        <w:t xml:space="preserve">igo de Procedimiento Civil en lo relativo a la partición de bienes de las comunidades hereditarias. </w:t>
      </w:r>
    </w:p>
    <w:p w:rsidR="00862380" w:rsidRPr="006A02BE" w:rsidRDefault="00862380" w:rsidP="00A23D10">
      <w:pPr>
        <w:pStyle w:val="Textosinformato"/>
        <w:spacing w:line="360" w:lineRule="auto"/>
        <w:rPr>
          <w:rFonts w:ascii="Times New Roman" w:hAnsi="Times New Roman" w:cs="Times New Roman"/>
          <w:sz w:val="24"/>
          <w:szCs w:val="24"/>
        </w:rPr>
      </w:pPr>
    </w:p>
    <w:p w:rsidR="00862380" w:rsidRPr="006A02BE" w:rsidRDefault="00862380" w:rsidP="00A23D10">
      <w:pPr>
        <w:pStyle w:val="Textosinformato"/>
        <w:spacing w:line="360" w:lineRule="auto"/>
        <w:rPr>
          <w:rFonts w:ascii="Times New Roman" w:hAnsi="Times New Roman" w:cs="Times New Roman"/>
          <w:sz w:val="24"/>
          <w:szCs w:val="24"/>
        </w:rPr>
      </w:pPr>
      <w:r>
        <w:rPr>
          <w:rFonts w:ascii="Times New Roman" w:hAnsi="Times New Roman" w:cs="Times New Roman"/>
          <w:sz w:val="24"/>
          <w:szCs w:val="24"/>
        </w:rPr>
        <w:t xml:space="preserve">En primer lugar, se incorpora un </w:t>
      </w:r>
      <w:proofErr w:type="spellStart"/>
      <w:r w:rsidR="0058032A" w:rsidRPr="006A02BE">
        <w:rPr>
          <w:rFonts w:ascii="Times New Roman" w:hAnsi="Times New Roman" w:cs="Times New Roman"/>
          <w:sz w:val="24"/>
          <w:szCs w:val="24"/>
        </w:rPr>
        <w:t>un</w:t>
      </w:r>
      <w:proofErr w:type="spellEnd"/>
      <w:r w:rsidR="0058032A" w:rsidRPr="006A02BE">
        <w:rPr>
          <w:rFonts w:ascii="Times New Roman" w:hAnsi="Times New Roman" w:cs="Times New Roman"/>
          <w:sz w:val="24"/>
          <w:szCs w:val="24"/>
        </w:rPr>
        <w:t xml:space="preserve"> inciso final al artículo 1325 del Código Civil, </w:t>
      </w:r>
      <w:r w:rsidR="0058032A">
        <w:rPr>
          <w:rFonts w:ascii="Times New Roman" w:hAnsi="Times New Roman" w:cs="Times New Roman"/>
          <w:sz w:val="24"/>
          <w:szCs w:val="24"/>
        </w:rPr>
        <w:t xml:space="preserve">                  </w:t>
      </w:r>
      <w:r>
        <w:rPr>
          <w:rFonts w:ascii="Times New Roman" w:hAnsi="Times New Roman" w:cs="Times New Roman"/>
          <w:sz w:val="24"/>
          <w:szCs w:val="24"/>
        </w:rPr>
        <w:t>permitiendo</w:t>
      </w:r>
      <w:r w:rsidR="0058032A" w:rsidRPr="006A02BE">
        <w:rPr>
          <w:rFonts w:ascii="Times New Roman" w:hAnsi="Times New Roman" w:cs="Times New Roman"/>
          <w:sz w:val="24"/>
          <w:szCs w:val="24"/>
        </w:rPr>
        <w:t xml:space="preserve"> que los herederos o causahabientes puedan efectuar la partición ante </w:t>
      </w:r>
      <w:r w:rsidR="0058032A">
        <w:rPr>
          <w:rFonts w:ascii="Times New Roman" w:hAnsi="Times New Roman" w:cs="Times New Roman"/>
          <w:sz w:val="24"/>
          <w:szCs w:val="24"/>
        </w:rPr>
        <w:t xml:space="preserve">                  </w:t>
      </w:r>
      <w:r w:rsidR="0058032A" w:rsidRPr="006A02BE">
        <w:rPr>
          <w:rFonts w:ascii="Times New Roman" w:hAnsi="Times New Roman" w:cs="Times New Roman"/>
          <w:sz w:val="24"/>
          <w:szCs w:val="24"/>
        </w:rPr>
        <w:t>el</w:t>
      </w:r>
      <w:r w:rsidR="0058032A">
        <w:rPr>
          <w:rFonts w:ascii="Times New Roman" w:hAnsi="Times New Roman" w:cs="Times New Roman"/>
          <w:sz w:val="24"/>
          <w:szCs w:val="24"/>
        </w:rPr>
        <w:t xml:space="preserve">  </w:t>
      </w:r>
      <w:r w:rsidR="0058032A" w:rsidRPr="006A02BE">
        <w:rPr>
          <w:rFonts w:ascii="Times New Roman" w:hAnsi="Times New Roman" w:cs="Times New Roman"/>
          <w:sz w:val="24"/>
          <w:szCs w:val="24"/>
        </w:rPr>
        <w:t>juez</w:t>
      </w:r>
      <w:r w:rsidR="0058032A">
        <w:rPr>
          <w:rFonts w:ascii="Times New Roman" w:hAnsi="Times New Roman" w:cs="Times New Roman"/>
          <w:sz w:val="24"/>
          <w:szCs w:val="24"/>
        </w:rPr>
        <w:t xml:space="preserve"> </w:t>
      </w:r>
      <w:r>
        <w:rPr>
          <w:rFonts w:ascii="Times New Roman" w:hAnsi="Times New Roman" w:cs="Times New Roman"/>
          <w:sz w:val="24"/>
          <w:szCs w:val="24"/>
        </w:rPr>
        <w:t xml:space="preserve"> civil</w:t>
      </w:r>
      <w:r w:rsidR="0058032A" w:rsidRPr="006A02BE">
        <w:rPr>
          <w:rFonts w:ascii="Times New Roman" w:hAnsi="Times New Roman" w:cs="Times New Roman"/>
          <w:sz w:val="24"/>
          <w:szCs w:val="24"/>
        </w:rPr>
        <w:t xml:space="preserve"> </w:t>
      </w:r>
      <w:r w:rsidR="0058032A">
        <w:rPr>
          <w:rFonts w:ascii="Times New Roman" w:hAnsi="Times New Roman" w:cs="Times New Roman"/>
          <w:sz w:val="24"/>
          <w:szCs w:val="24"/>
        </w:rPr>
        <w:t xml:space="preserve"> </w:t>
      </w:r>
      <w:r w:rsidR="0058032A" w:rsidRPr="006A02BE">
        <w:rPr>
          <w:rFonts w:ascii="Times New Roman" w:hAnsi="Times New Roman" w:cs="Times New Roman"/>
          <w:sz w:val="24"/>
          <w:szCs w:val="24"/>
        </w:rPr>
        <w:t>del último domicilio del causante, en el caso de que la masa a partir no</w:t>
      </w:r>
      <w:r w:rsidR="00A1738D">
        <w:rPr>
          <w:rFonts w:ascii="Times New Roman" w:hAnsi="Times New Roman" w:cs="Times New Roman"/>
          <w:sz w:val="24"/>
          <w:szCs w:val="24"/>
        </w:rPr>
        <w:t xml:space="preserve"> </w:t>
      </w:r>
      <w:r w:rsidR="0058032A" w:rsidRPr="006A02BE">
        <w:rPr>
          <w:rFonts w:ascii="Times New Roman" w:hAnsi="Times New Roman" w:cs="Times New Roman"/>
          <w:sz w:val="24"/>
          <w:szCs w:val="24"/>
        </w:rPr>
        <w:t>exceda de las 600 Unidades Tributarias Mensuales</w:t>
      </w:r>
      <w:r w:rsidR="00A1738D">
        <w:rPr>
          <w:rFonts w:ascii="Times New Roman" w:hAnsi="Times New Roman" w:cs="Times New Roman"/>
          <w:sz w:val="24"/>
          <w:szCs w:val="24"/>
        </w:rPr>
        <w:t>,</w:t>
      </w:r>
      <w:r>
        <w:rPr>
          <w:rFonts w:ascii="Times New Roman" w:hAnsi="Times New Roman" w:cs="Times New Roman"/>
          <w:sz w:val="24"/>
          <w:szCs w:val="24"/>
        </w:rPr>
        <w:t xml:space="preserve"> o bien, en caso de que la masa </w:t>
      </w:r>
      <w:r>
        <w:rPr>
          <w:rFonts w:ascii="Times New Roman" w:hAnsi="Times New Roman" w:cs="Times New Roman"/>
          <w:sz w:val="24"/>
          <w:szCs w:val="24"/>
        </w:rPr>
        <w:lastRenderedPageBreak/>
        <w:t>hereditaria solo conste de un bien</w:t>
      </w:r>
      <w:r w:rsidR="00A1738D">
        <w:rPr>
          <w:rFonts w:ascii="Times New Roman" w:hAnsi="Times New Roman" w:cs="Times New Roman"/>
          <w:sz w:val="24"/>
          <w:szCs w:val="24"/>
        </w:rPr>
        <w:t xml:space="preserve"> inmueble siempre y cuando avalúo de este inmueble </w:t>
      </w:r>
      <w:r>
        <w:rPr>
          <w:rFonts w:ascii="Times New Roman" w:hAnsi="Times New Roman" w:cs="Times New Roman"/>
          <w:sz w:val="24"/>
          <w:szCs w:val="24"/>
        </w:rPr>
        <w:t>no supere las 1200 Unidades Tributarias Mensuales</w:t>
      </w:r>
      <w:r w:rsidR="0058032A">
        <w:rPr>
          <w:rFonts w:ascii="Times New Roman" w:hAnsi="Times New Roman" w:cs="Times New Roman"/>
          <w:sz w:val="24"/>
          <w:szCs w:val="24"/>
        </w:rPr>
        <w:t>.</w:t>
      </w:r>
      <w:r w:rsidR="0058032A" w:rsidRPr="006A02BE">
        <w:rPr>
          <w:rFonts w:ascii="Times New Roman" w:hAnsi="Times New Roman" w:cs="Times New Roman"/>
          <w:sz w:val="24"/>
          <w:szCs w:val="24"/>
        </w:rPr>
        <w:t xml:space="preserve"> </w:t>
      </w:r>
    </w:p>
    <w:p w:rsidR="00514D2E" w:rsidRDefault="00514D2E" w:rsidP="00514D2E">
      <w:pPr>
        <w:pStyle w:val="Textosinformato"/>
        <w:spacing w:line="360" w:lineRule="auto"/>
        <w:rPr>
          <w:rFonts w:ascii="Times New Roman" w:hAnsi="Times New Roman" w:cs="Times New Roman"/>
          <w:sz w:val="24"/>
          <w:szCs w:val="24"/>
        </w:rPr>
      </w:pPr>
      <w:r>
        <w:rPr>
          <w:rFonts w:ascii="Times New Roman" w:hAnsi="Times New Roman" w:cs="Times New Roman"/>
          <w:sz w:val="24"/>
          <w:szCs w:val="24"/>
        </w:rPr>
        <w:t xml:space="preserve">En el Código Orgánico de Tribunales </w:t>
      </w:r>
      <w:r w:rsidRPr="006A02BE">
        <w:rPr>
          <w:rFonts w:ascii="Times New Roman" w:hAnsi="Times New Roman" w:cs="Times New Roman"/>
          <w:sz w:val="24"/>
          <w:szCs w:val="24"/>
        </w:rPr>
        <w:t xml:space="preserve">se agrega una frase al numeral segundo del artículo 227 que establece la obligatoriedad del arbitraje en el caso de la partición de bienes, permitiendo </w:t>
      </w:r>
      <w:r>
        <w:rPr>
          <w:rFonts w:ascii="Times New Roman" w:hAnsi="Times New Roman" w:cs="Times New Roman"/>
          <w:sz w:val="24"/>
          <w:szCs w:val="24"/>
        </w:rPr>
        <w:t>que la justicia civil ordinaria pueda intervenir en los casos señalados</w:t>
      </w:r>
      <w:r w:rsidRPr="006A02BE">
        <w:rPr>
          <w:rFonts w:ascii="Times New Roman" w:hAnsi="Times New Roman" w:cs="Times New Roman"/>
          <w:sz w:val="24"/>
          <w:szCs w:val="24"/>
        </w:rPr>
        <w:t xml:space="preserve"> en el inciso final nuevo del artículo 1325 del Código Civil.</w:t>
      </w:r>
    </w:p>
    <w:p w:rsidR="00514D2E" w:rsidRDefault="00514D2E" w:rsidP="00A23D10">
      <w:pPr>
        <w:pStyle w:val="Textosinformato"/>
        <w:spacing w:line="360" w:lineRule="auto"/>
        <w:rPr>
          <w:rFonts w:ascii="Times New Roman" w:hAnsi="Times New Roman" w:cs="Times New Roman"/>
          <w:sz w:val="24"/>
          <w:szCs w:val="24"/>
        </w:rPr>
      </w:pPr>
    </w:p>
    <w:p w:rsidR="0058032A" w:rsidRDefault="00862380" w:rsidP="00A23D10">
      <w:pPr>
        <w:pStyle w:val="Textosinformato"/>
        <w:spacing w:line="360" w:lineRule="auto"/>
        <w:rPr>
          <w:rFonts w:ascii="Times New Roman" w:hAnsi="Times New Roman" w:cs="Times New Roman"/>
          <w:sz w:val="24"/>
          <w:szCs w:val="24"/>
        </w:rPr>
      </w:pPr>
      <w:r>
        <w:rPr>
          <w:rFonts w:ascii="Times New Roman" w:hAnsi="Times New Roman" w:cs="Times New Roman"/>
          <w:sz w:val="24"/>
          <w:szCs w:val="24"/>
        </w:rPr>
        <w:t>En lo que respecta a</w:t>
      </w:r>
      <w:r w:rsidR="0058032A" w:rsidRPr="006A02BE">
        <w:rPr>
          <w:rFonts w:ascii="Times New Roman" w:hAnsi="Times New Roman" w:cs="Times New Roman"/>
          <w:sz w:val="24"/>
          <w:szCs w:val="24"/>
        </w:rPr>
        <w:t>l Código de Procedimiento Civil</w:t>
      </w:r>
      <w:r>
        <w:rPr>
          <w:rFonts w:ascii="Times New Roman" w:hAnsi="Times New Roman" w:cs="Times New Roman"/>
          <w:sz w:val="24"/>
          <w:szCs w:val="24"/>
        </w:rPr>
        <w:t>,</w:t>
      </w:r>
      <w:r w:rsidR="0058032A" w:rsidRPr="006A02BE">
        <w:rPr>
          <w:rFonts w:ascii="Times New Roman" w:hAnsi="Times New Roman" w:cs="Times New Roman"/>
          <w:sz w:val="24"/>
          <w:szCs w:val="24"/>
        </w:rPr>
        <w:t xml:space="preserve"> s</w:t>
      </w:r>
      <w:r w:rsidR="0037288E">
        <w:rPr>
          <w:rFonts w:ascii="Times New Roman" w:hAnsi="Times New Roman" w:cs="Times New Roman"/>
          <w:sz w:val="24"/>
          <w:szCs w:val="24"/>
        </w:rPr>
        <w:t>e</w:t>
      </w:r>
      <w:r w:rsidR="0058032A" w:rsidRPr="006A02BE">
        <w:rPr>
          <w:rFonts w:ascii="Times New Roman" w:hAnsi="Times New Roman" w:cs="Times New Roman"/>
          <w:sz w:val="24"/>
          <w:szCs w:val="24"/>
        </w:rPr>
        <w:t xml:space="preserve"> incorporan modificaciones </w:t>
      </w:r>
      <w:r>
        <w:rPr>
          <w:rFonts w:ascii="Times New Roman" w:hAnsi="Times New Roman" w:cs="Times New Roman"/>
          <w:sz w:val="24"/>
          <w:szCs w:val="24"/>
        </w:rPr>
        <w:t xml:space="preserve">a fin de establecer </w:t>
      </w:r>
      <w:r w:rsidR="0058032A" w:rsidRPr="006A02BE">
        <w:rPr>
          <w:rFonts w:ascii="Times New Roman" w:hAnsi="Times New Roman" w:cs="Times New Roman"/>
          <w:sz w:val="24"/>
          <w:szCs w:val="24"/>
        </w:rPr>
        <w:t xml:space="preserve">un procedimiento </w:t>
      </w:r>
      <w:r w:rsidR="0037288E">
        <w:rPr>
          <w:rFonts w:ascii="Times New Roman" w:hAnsi="Times New Roman" w:cs="Times New Roman"/>
          <w:sz w:val="24"/>
          <w:szCs w:val="24"/>
        </w:rPr>
        <w:t xml:space="preserve">breve y concentrado, con la finalidad de que el juez pueda contar con todos los antecedentes </w:t>
      </w:r>
      <w:r>
        <w:rPr>
          <w:rFonts w:ascii="Times New Roman" w:hAnsi="Times New Roman" w:cs="Times New Roman"/>
          <w:sz w:val="24"/>
          <w:szCs w:val="24"/>
        </w:rPr>
        <w:t>necesarios para determina</w:t>
      </w:r>
      <w:r w:rsidR="0037288E">
        <w:rPr>
          <w:rFonts w:ascii="Times New Roman" w:hAnsi="Times New Roman" w:cs="Times New Roman"/>
          <w:sz w:val="24"/>
          <w:szCs w:val="24"/>
        </w:rPr>
        <w:t>r</w:t>
      </w:r>
      <w:r>
        <w:rPr>
          <w:rFonts w:ascii="Times New Roman" w:hAnsi="Times New Roman" w:cs="Times New Roman"/>
          <w:sz w:val="24"/>
          <w:szCs w:val="24"/>
        </w:rPr>
        <w:t xml:space="preserve"> la masa hereditaria</w:t>
      </w:r>
      <w:r w:rsidR="0037288E">
        <w:rPr>
          <w:rFonts w:ascii="Times New Roman" w:hAnsi="Times New Roman" w:cs="Times New Roman"/>
          <w:sz w:val="24"/>
          <w:szCs w:val="24"/>
        </w:rPr>
        <w:t xml:space="preserve"> en cuestión</w:t>
      </w:r>
      <w:r>
        <w:rPr>
          <w:rFonts w:ascii="Times New Roman" w:hAnsi="Times New Roman" w:cs="Times New Roman"/>
          <w:sz w:val="24"/>
          <w:szCs w:val="24"/>
        </w:rPr>
        <w:t xml:space="preserve"> y proceder en su partición. </w:t>
      </w:r>
      <w:r w:rsidR="004D4C48">
        <w:rPr>
          <w:rFonts w:ascii="Times New Roman" w:hAnsi="Times New Roman" w:cs="Times New Roman"/>
          <w:sz w:val="24"/>
          <w:szCs w:val="24"/>
        </w:rPr>
        <w:t xml:space="preserve">El juez podrá valorar la prueba acorde </w:t>
      </w:r>
      <w:r w:rsidR="0058032A" w:rsidRPr="0037288E">
        <w:rPr>
          <w:rFonts w:ascii="Times New Roman" w:hAnsi="Times New Roman" w:cs="Times New Roman"/>
          <w:sz w:val="24"/>
          <w:szCs w:val="24"/>
        </w:rPr>
        <w:t xml:space="preserve">a las reglas de la sana crítica, la sentencia será impugnable de acuerdo a las reglas generales y se permite expresamente la intervención de terceros interesados, </w:t>
      </w:r>
      <w:r w:rsidR="0037288E" w:rsidRPr="0037288E">
        <w:rPr>
          <w:rFonts w:ascii="Times New Roman" w:hAnsi="Times New Roman" w:cs="Times New Roman"/>
          <w:sz w:val="24"/>
          <w:szCs w:val="24"/>
        </w:rPr>
        <w:t xml:space="preserve">resguardando sus derechos dentro del proceso. </w:t>
      </w:r>
    </w:p>
    <w:p w:rsidR="0037288E" w:rsidRPr="006A02BE" w:rsidRDefault="0037288E" w:rsidP="00A23D10">
      <w:pPr>
        <w:pStyle w:val="Textosinformato"/>
        <w:spacing w:line="360" w:lineRule="auto"/>
        <w:rPr>
          <w:rFonts w:ascii="Times New Roman" w:hAnsi="Times New Roman" w:cs="Times New Roman"/>
          <w:sz w:val="24"/>
          <w:szCs w:val="24"/>
        </w:rPr>
      </w:pPr>
    </w:p>
    <w:p w:rsidR="00862380" w:rsidRDefault="0037288E" w:rsidP="00A23D10">
      <w:pPr>
        <w:pStyle w:val="Textosinformato"/>
        <w:spacing w:line="360" w:lineRule="auto"/>
        <w:rPr>
          <w:rFonts w:ascii="Times New Roman" w:hAnsi="Times New Roman" w:cs="Times New Roman"/>
          <w:sz w:val="24"/>
          <w:szCs w:val="24"/>
        </w:rPr>
      </w:pPr>
      <w:r>
        <w:rPr>
          <w:rFonts w:ascii="Times New Roman" w:hAnsi="Times New Roman" w:cs="Times New Roman"/>
          <w:sz w:val="24"/>
          <w:szCs w:val="24"/>
        </w:rPr>
        <w:t>S</w:t>
      </w:r>
      <w:r w:rsidR="0058032A" w:rsidRPr="006A02BE">
        <w:rPr>
          <w:rFonts w:ascii="Times New Roman" w:hAnsi="Times New Roman" w:cs="Times New Roman"/>
          <w:sz w:val="24"/>
          <w:szCs w:val="24"/>
        </w:rPr>
        <w:t xml:space="preserve">e </w:t>
      </w:r>
      <w:r w:rsidR="00862380">
        <w:rPr>
          <w:rFonts w:ascii="Times New Roman" w:hAnsi="Times New Roman" w:cs="Times New Roman"/>
          <w:sz w:val="24"/>
          <w:szCs w:val="24"/>
        </w:rPr>
        <w:t>consagra un plazo de caducidad de la solicitud de partición,</w:t>
      </w:r>
      <w:r w:rsidR="00A23D10">
        <w:rPr>
          <w:rFonts w:ascii="Times New Roman" w:hAnsi="Times New Roman" w:cs="Times New Roman"/>
          <w:sz w:val="24"/>
          <w:szCs w:val="24"/>
        </w:rPr>
        <w:t xml:space="preserve"> </w:t>
      </w:r>
      <w:r w:rsidR="00862380">
        <w:rPr>
          <w:rFonts w:ascii="Times New Roman" w:hAnsi="Times New Roman" w:cs="Times New Roman"/>
          <w:sz w:val="24"/>
          <w:szCs w:val="24"/>
        </w:rPr>
        <w:t>la cual sólo podrá presentarse an</w:t>
      </w:r>
      <w:r w:rsidR="00A23D10">
        <w:rPr>
          <w:rFonts w:ascii="Times New Roman" w:hAnsi="Times New Roman" w:cs="Times New Roman"/>
          <w:sz w:val="24"/>
          <w:szCs w:val="24"/>
        </w:rPr>
        <w:t>te el juez civil dentro del plazo</w:t>
      </w:r>
      <w:r w:rsidR="00862380">
        <w:rPr>
          <w:rFonts w:ascii="Times New Roman" w:hAnsi="Times New Roman" w:cs="Times New Roman"/>
          <w:sz w:val="24"/>
          <w:szCs w:val="24"/>
        </w:rPr>
        <w:t xml:space="preserve"> de dos años contados desde la fecha del decreto de posesión efectiva. Por otra parte, </w:t>
      </w:r>
      <w:r w:rsidR="00A23D10">
        <w:rPr>
          <w:rFonts w:ascii="Times New Roman" w:hAnsi="Times New Roman" w:cs="Times New Roman"/>
          <w:sz w:val="24"/>
          <w:szCs w:val="24"/>
        </w:rPr>
        <w:t xml:space="preserve">en atención a las </w:t>
      </w:r>
      <w:r w:rsidR="00514D2E">
        <w:rPr>
          <w:rFonts w:ascii="Times New Roman" w:hAnsi="Times New Roman" w:cs="Times New Roman"/>
          <w:sz w:val="24"/>
          <w:szCs w:val="24"/>
        </w:rPr>
        <w:t>sucesiones intestadas que requier</w:t>
      </w:r>
      <w:r w:rsidR="00862380">
        <w:rPr>
          <w:rFonts w:ascii="Times New Roman" w:hAnsi="Times New Roman" w:cs="Times New Roman"/>
          <w:sz w:val="24"/>
          <w:szCs w:val="24"/>
        </w:rPr>
        <w:t>an partición y que se hayan abierto con anterioridad a la entrada en vigencia de esta ley, se contempla un plazo de cinco años</w:t>
      </w:r>
      <w:r w:rsidR="00514D2E">
        <w:rPr>
          <w:rFonts w:ascii="Times New Roman" w:hAnsi="Times New Roman" w:cs="Times New Roman"/>
          <w:sz w:val="24"/>
          <w:szCs w:val="24"/>
        </w:rPr>
        <w:t xml:space="preserve"> contados desde la fecha de entrada en vigencia de la ley</w:t>
      </w:r>
      <w:r w:rsidR="00862380">
        <w:rPr>
          <w:rFonts w:ascii="Times New Roman" w:hAnsi="Times New Roman" w:cs="Times New Roman"/>
          <w:sz w:val="24"/>
          <w:szCs w:val="24"/>
        </w:rPr>
        <w:t>.</w:t>
      </w:r>
    </w:p>
    <w:p w:rsidR="0058032A" w:rsidRDefault="0058032A" w:rsidP="0058032A">
      <w:pPr>
        <w:pStyle w:val="Textosinformato"/>
        <w:spacing w:line="276" w:lineRule="auto"/>
        <w:rPr>
          <w:rFonts w:ascii="Times New Roman" w:hAnsi="Times New Roman" w:cs="Times New Roman"/>
          <w:sz w:val="24"/>
          <w:szCs w:val="24"/>
        </w:rPr>
      </w:pPr>
    </w:p>
    <w:p w:rsidR="0058032A" w:rsidRDefault="0058032A" w:rsidP="0058032A">
      <w:pPr>
        <w:pStyle w:val="Textosinformato"/>
        <w:spacing w:line="276" w:lineRule="auto"/>
        <w:rPr>
          <w:rFonts w:ascii="Times New Roman" w:hAnsi="Times New Roman" w:cs="Times New Roman"/>
          <w:sz w:val="24"/>
          <w:szCs w:val="24"/>
        </w:rPr>
      </w:pPr>
    </w:p>
    <w:p w:rsidR="0058032A" w:rsidRPr="00A23D10" w:rsidRDefault="00B42D3F" w:rsidP="00051DF5">
      <w:pPr>
        <w:pStyle w:val="Textosinformato"/>
        <w:spacing w:line="360" w:lineRule="auto"/>
        <w:rPr>
          <w:rFonts w:ascii="Times New Roman" w:hAnsi="Times New Roman" w:cs="Times New Roman"/>
          <w:b/>
          <w:sz w:val="22"/>
          <w:szCs w:val="24"/>
        </w:rPr>
      </w:pPr>
      <w:r w:rsidRPr="00A23D10">
        <w:rPr>
          <w:rFonts w:ascii="Times New Roman" w:hAnsi="Times New Roman" w:cs="Times New Roman"/>
          <w:b/>
          <w:sz w:val="22"/>
          <w:szCs w:val="24"/>
        </w:rPr>
        <w:t xml:space="preserve">III. </w:t>
      </w:r>
      <w:r w:rsidR="00A23D10" w:rsidRPr="00A23D10">
        <w:rPr>
          <w:rFonts w:ascii="Times New Roman" w:hAnsi="Times New Roman" w:cs="Times New Roman"/>
          <w:b/>
          <w:sz w:val="22"/>
          <w:szCs w:val="24"/>
        </w:rPr>
        <w:t>PROYECTO DE LEY</w:t>
      </w:r>
    </w:p>
    <w:p w:rsidR="0058032A" w:rsidRPr="006A02BE" w:rsidRDefault="0058032A" w:rsidP="00051DF5">
      <w:pPr>
        <w:pStyle w:val="Textosinformato"/>
        <w:spacing w:line="360" w:lineRule="auto"/>
        <w:rPr>
          <w:rFonts w:ascii="Times New Roman" w:hAnsi="Times New Roman" w:cs="Times New Roman"/>
          <w:sz w:val="24"/>
          <w:szCs w:val="24"/>
        </w:rPr>
      </w:pPr>
    </w:p>
    <w:p w:rsidR="0058032A" w:rsidRDefault="002B52F5" w:rsidP="00051DF5">
      <w:pPr>
        <w:pStyle w:val="Textosinformato"/>
        <w:spacing w:line="360" w:lineRule="auto"/>
        <w:rPr>
          <w:rFonts w:ascii="Times New Roman" w:hAnsi="Times New Roman" w:cs="Times New Roman"/>
          <w:sz w:val="24"/>
          <w:szCs w:val="24"/>
        </w:rPr>
      </w:pPr>
      <w:r w:rsidRPr="002B52F5">
        <w:rPr>
          <w:rFonts w:ascii="Times New Roman" w:hAnsi="Times New Roman" w:cs="Times New Roman"/>
          <w:b/>
          <w:sz w:val="24"/>
          <w:szCs w:val="24"/>
        </w:rPr>
        <w:t>ARTÍCULO PRIMERO:</w:t>
      </w:r>
      <w:r w:rsidRPr="006A02BE">
        <w:rPr>
          <w:rFonts w:ascii="Times New Roman" w:hAnsi="Times New Roman" w:cs="Times New Roman"/>
          <w:sz w:val="24"/>
          <w:szCs w:val="24"/>
        </w:rPr>
        <w:t xml:space="preserve"> </w:t>
      </w:r>
      <w:r>
        <w:rPr>
          <w:rFonts w:ascii="Times New Roman" w:hAnsi="Times New Roman" w:cs="Times New Roman"/>
          <w:sz w:val="24"/>
          <w:szCs w:val="24"/>
        </w:rPr>
        <w:t>A</w:t>
      </w:r>
      <w:r w:rsidR="0058032A" w:rsidRPr="006A02BE">
        <w:rPr>
          <w:rFonts w:ascii="Times New Roman" w:hAnsi="Times New Roman" w:cs="Times New Roman"/>
          <w:sz w:val="24"/>
          <w:szCs w:val="24"/>
        </w:rPr>
        <w:t>gréguese el siguiente inciso final al artículo 1325 del Código Civil:</w:t>
      </w:r>
    </w:p>
    <w:p w:rsidR="0058032A" w:rsidRPr="006A02BE" w:rsidRDefault="0058032A" w:rsidP="00051DF5">
      <w:pPr>
        <w:pStyle w:val="Textosinformato"/>
        <w:spacing w:line="360" w:lineRule="auto"/>
        <w:rPr>
          <w:rFonts w:ascii="Times New Roman" w:hAnsi="Times New Roman" w:cs="Times New Roman"/>
          <w:sz w:val="24"/>
          <w:szCs w:val="24"/>
        </w:rPr>
      </w:pPr>
    </w:p>
    <w:p w:rsidR="0058032A" w:rsidRPr="002B52F5" w:rsidRDefault="0058032A" w:rsidP="00051DF5">
      <w:pPr>
        <w:pStyle w:val="Textosinformato"/>
        <w:spacing w:line="360" w:lineRule="auto"/>
        <w:rPr>
          <w:rFonts w:ascii="Times New Roman" w:hAnsi="Times New Roman" w:cs="Times New Roman"/>
          <w:i/>
          <w:sz w:val="24"/>
          <w:szCs w:val="24"/>
        </w:rPr>
      </w:pPr>
      <w:r w:rsidRPr="002B52F5">
        <w:rPr>
          <w:rFonts w:ascii="Times New Roman" w:hAnsi="Times New Roman" w:cs="Times New Roman"/>
          <w:i/>
          <w:sz w:val="24"/>
          <w:szCs w:val="24"/>
        </w:rPr>
        <w:t>"Con todo, en el ca</w:t>
      </w:r>
      <w:r w:rsidR="000C4D21" w:rsidRPr="002B52F5">
        <w:rPr>
          <w:rFonts w:ascii="Times New Roman" w:hAnsi="Times New Roman" w:cs="Times New Roman"/>
          <w:i/>
          <w:sz w:val="24"/>
          <w:szCs w:val="24"/>
        </w:rPr>
        <w:t xml:space="preserve">so de sucesiones intestadas en las cuales el avalúo de la masa hereditaria </w:t>
      </w:r>
      <w:r w:rsidRPr="002B52F5">
        <w:rPr>
          <w:rFonts w:ascii="Times New Roman" w:hAnsi="Times New Roman" w:cs="Times New Roman"/>
          <w:i/>
          <w:sz w:val="24"/>
          <w:szCs w:val="24"/>
        </w:rPr>
        <w:t xml:space="preserve">no supere las 600 Unidades Tributarias Mensuales, </w:t>
      </w:r>
      <w:r w:rsidR="004D4C48">
        <w:rPr>
          <w:rFonts w:ascii="Times New Roman" w:hAnsi="Times New Roman" w:cs="Times New Roman"/>
          <w:i/>
          <w:sz w:val="24"/>
          <w:szCs w:val="24"/>
        </w:rPr>
        <w:t>o bie</w:t>
      </w:r>
      <w:r w:rsidR="000C4D21" w:rsidRPr="002B52F5">
        <w:rPr>
          <w:rFonts w:ascii="Times New Roman" w:hAnsi="Times New Roman" w:cs="Times New Roman"/>
          <w:i/>
          <w:sz w:val="24"/>
          <w:szCs w:val="24"/>
        </w:rPr>
        <w:t>n</w:t>
      </w:r>
      <w:r w:rsidR="004D4C48">
        <w:rPr>
          <w:rFonts w:ascii="Times New Roman" w:hAnsi="Times New Roman" w:cs="Times New Roman"/>
          <w:i/>
          <w:sz w:val="24"/>
          <w:szCs w:val="24"/>
        </w:rPr>
        <w:t xml:space="preserve"> en las</w:t>
      </w:r>
      <w:r w:rsidR="000C4D21" w:rsidRPr="002B52F5">
        <w:rPr>
          <w:rFonts w:ascii="Times New Roman" w:hAnsi="Times New Roman" w:cs="Times New Roman"/>
          <w:i/>
          <w:sz w:val="24"/>
          <w:szCs w:val="24"/>
        </w:rPr>
        <w:t xml:space="preserve"> que se componga</w:t>
      </w:r>
      <w:r w:rsidR="004D4C48">
        <w:rPr>
          <w:rFonts w:ascii="Times New Roman" w:hAnsi="Times New Roman" w:cs="Times New Roman"/>
          <w:i/>
          <w:sz w:val="24"/>
          <w:szCs w:val="24"/>
        </w:rPr>
        <w:t>n</w:t>
      </w:r>
      <w:r w:rsidR="000C4D21" w:rsidRPr="002B52F5">
        <w:rPr>
          <w:rFonts w:ascii="Times New Roman" w:hAnsi="Times New Roman" w:cs="Times New Roman"/>
          <w:i/>
          <w:sz w:val="24"/>
          <w:szCs w:val="24"/>
        </w:rPr>
        <w:t xml:space="preserve"> de un solo bien inmueble cuyo avalúo no supere las 1200 Unidades Tributarias </w:t>
      </w:r>
      <w:r w:rsidR="000C4D21" w:rsidRPr="002B52F5">
        <w:rPr>
          <w:rFonts w:ascii="Times New Roman" w:hAnsi="Times New Roman" w:cs="Times New Roman"/>
          <w:i/>
          <w:sz w:val="24"/>
          <w:szCs w:val="24"/>
        </w:rPr>
        <w:lastRenderedPageBreak/>
        <w:t xml:space="preserve">Mensuales, </w:t>
      </w:r>
      <w:r w:rsidRPr="002B52F5">
        <w:rPr>
          <w:rFonts w:ascii="Times New Roman" w:hAnsi="Times New Roman" w:cs="Times New Roman"/>
          <w:i/>
          <w:sz w:val="24"/>
          <w:szCs w:val="24"/>
        </w:rPr>
        <w:t xml:space="preserve">la partición podrá efectuarla el </w:t>
      </w:r>
      <w:r w:rsidR="004D4C48">
        <w:rPr>
          <w:rFonts w:ascii="Times New Roman" w:hAnsi="Times New Roman" w:cs="Times New Roman"/>
          <w:i/>
          <w:sz w:val="24"/>
          <w:szCs w:val="24"/>
        </w:rPr>
        <w:t xml:space="preserve">respectivo </w:t>
      </w:r>
      <w:r w:rsidRPr="002B52F5">
        <w:rPr>
          <w:rFonts w:ascii="Times New Roman" w:hAnsi="Times New Roman" w:cs="Times New Roman"/>
          <w:i/>
          <w:sz w:val="24"/>
          <w:szCs w:val="24"/>
        </w:rPr>
        <w:t>tribu</w:t>
      </w:r>
      <w:r w:rsidR="004D4C48">
        <w:rPr>
          <w:rFonts w:ascii="Times New Roman" w:hAnsi="Times New Roman" w:cs="Times New Roman"/>
          <w:i/>
          <w:sz w:val="24"/>
          <w:szCs w:val="24"/>
        </w:rPr>
        <w:t>nal con competencia en lo civil</w:t>
      </w:r>
      <w:r w:rsidRPr="002B52F5">
        <w:rPr>
          <w:rFonts w:ascii="Times New Roman" w:hAnsi="Times New Roman" w:cs="Times New Roman"/>
          <w:i/>
          <w:sz w:val="24"/>
          <w:szCs w:val="24"/>
        </w:rPr>
        <w:t>".</w:t>
      </w:r>
    </w:p>
    <w:p w:rsidR="0058032A" w:rsidRPr="006A02BE" w:rsidRDefault="0058032A" w:rsidP="00051DF5">
      <w:pPr>
        <w:pStyle w:val="Textosinformato"/>
        <w:spacing w:line="360" w:lineRule="auto"/>
        <w:rPr>
          <w:rFonts w:ascii="Times New Roman" w:hAnsi="Times New Roman" w:cs="Times New Roman"/>
          <w:sz w:val="24"/>
          <w:szCs w:val="24"/>
        </w:rPr>
      </w:pPr>
    </w:p>
    <w:p w:rsidR="0058032A" w:rsidRDefault="002B52F5" w:rsidP="00051DF5">
      <w:pPr>
        <w:pStyle w:val="Textosinformato"/>
        <w:spacing w:line="360" w:lineRule="auto"/>
        <w:rPr>
          <w:rFonts w:ascii="Times New Roman" w:hAnsi="Times New Roman" w:cs="Times New Roman"/>
          <w:sz w:val="24"/>
          <w:szCs w:val="24"/>
        </w:rPr>
      </w:pPr>
      <w:r w:rsidRPr="002B52F5">
        <w:rPr>
          <w:rFonts w:ascii="Times New Roman" w:hAnsi="Times New Roman" w:cs="Times New Roman"/>
          <w:b/>
          <w:sz w:val="24"/>
          <w:szCs w:val="24"/>
        </w:rPr>
        <w:t>ARTÍCULO SEGUNDO:</w:t>
      </w:r>
      <w:r w:rsidRPr="006A02BE">
        <w:rPr>
          <w:rFonts w:ascii="Times New Roman" w:hAnsi="Times New Roman" w:cs="Times New Roman"/>
          <w:sz w:val="24"/>
          <w:szCs w:val="24"/>
        </w:rPr>
        <w:t xml:space="preserve"> </w:t>
      </w:r>
      <w:r>
        <w:rPr>
          <w:rFonts w:ascii="Times New Roman" w:hAnsi="Times New Roman" w:cs="Times New Roman"/>
          <w:sz w:val="24"/>
          <w:szCs w:val="24"/>
        </w:rPr>
        <w:t>M</w:t>
      </w:r>
      <w:r w:rsidR="0058032A" w:rsidRPr="006A02BE">
        <w:rPr>
          <w:rFonts w:ascii="Times New Roman" w:hAnsi="Times New Roman" w:cs="Times New Roman"/>
          <w:sz w:val="24"/>
          <w:szCs w:val="24"/>
        </w:rPr>
        <w:t>odifíquese el numeral 2) del inciso 1</w:t>
      </w:r>
      <w:r w:rsidR="0058032A">
        <w:rPr>
          <w:rFonts w:ascii="Times New Roman" w:hAnsi="Times New Roman" w:cs="Times New Roman"/>
          <w:sz w:val="24"/>
          <w:szCs w:val="24"/>
        </w:rPr>
        <w:t>°</w:t>
      </w:r>
      <w:r w:rsidR="0058032A" w:rsidRPr="006A02BE">
        <w:rPr>
          <w:rFonts w:ascii="Times New Roman" w:hAnsi="Times New Roman" w:cs="Times New Roman"/>
          <w:sz w:val="24"/>
          <w:szCs w:val="24"/>
        </w:rPr>
        <w:t xml:space="preserve"> del artículo 227 del Código Orgánico de Tribunales en el siguiente sentido:</w:t>
      </w:r>
    </w:p>
    <w:p w:rsidR="0058032A" w:rsidRPr="006A02BE" w:rsidRDefault="0058032A" w:rsidP="00051DF5">
      <w:pPr>
        <w:pStyle w:val="Textosinformato"/>
        <w:spacing w:line="360" w:lineRule="auto"/>
        <w:rPr>
          <w:rFonts w:ascii="Times New Roman" w:hAnsi="Times New Roman" w:cs="Times New Roman"/>
          <w:sz w:val="24"/>
          <w:szCs w:val="24"/>
        </w:rPr>
      </w:pPr>
    </w:p>
    <w:p w:rsidR="0058032A" w:rsidRDefault="0058032A" w:rsidP="00051DF5">
      <w:pPr>
        <w:pStyle w:val="Textosinformato"/>
        <w:spacing w:line="360" w:lineRule="auto"/>
        <w:rPr>
          <w:rFonts w:ascii="Times New Roman" w:hAnsi="Times New Roman" w:cs="Times New Roman"/>
          <w:sz w:val="24"/>
          <w:szCs w:val="24"/>
        </w:rPr>
      </w:pPr>
      <w:r w:rsidRPr="006A02BE">
        <w:rPr>
          <w:rFonts w:ascii="Times New Roman" w:hAnsi="Times New Roman" w:cs="Times New Roman"/>
          <w:sz w:val="24"/>
          <w:szCs w:val="24"/>
        </w:rPr>
        <w:t>Reemplácese ";" por "," y agréguese la siguiente frase: "sin perjuicio de lo dispuesto en el inciso final del artículo 1325 del Código Civil."</w:t>
      </w:r>
    </w:p>
    <w:p w:rsidR="0058032A" w:rsidRPr="006A02BE" w:rsidRDefault="0058032A" w:rsidP="00051DF5">
      <w:pPr>
        <w:pStyle w:val="Textosinformato"/>
        <w:spacing w:line="360" w:lineRule="auto"/>
        <w:rPr>
          <w:rFonts w:ascii="Times New Roman" w:hAnsi="Times New Roman" w:cs="Times New Roman"/>
          <w:sz w:val="24"/>
          <w:szCs w:val="24"/>
        </w:rPr>
      </w:pPr>
    </w:p>
    <w:p w:rsidR="0058032A" w:rsidRDefault="002B52F5" w:rsidP="00051DF5">
      <w:pPr>
        <w:pStyle w:val="Textosinformato"/>
        <w:spacing w:line="360" w:lineRule="auto"/>
        <w:rPr>
          <w:rFonts w:ascii="Times New Roman" w:hAnsi="Times New Roman" w:cs="Times New Roman"/>
          <w:sz w:val="24"/>
          <w:szCs w:val="24"/>
        </w:rPr>
      </w:pPr>
      <w:r w:rsidRPr="002B52F5">
        <w:rPr>
          <w:rFonts w:ascii="Times New Roman" w:hAnsi="Times New Roman" w:cs="Times New Roman"/>
          <w:b/>
          <w:sz w:val="24"/>
          <w:szCs w:val="24"/>
        </w:rPr>
        <w:t>ARTÍCULO TERCERO:</w:t>
      </w:r>
      <w:r w:rsidRPr="006A02BE">
        <w:rPr>
          <w:rFonts w:ascii="Times New Roman" w:hAnsi="Times New Roman" w:cs="Times New Roman"/>
          <w:sz w:val="24"/>
          <w:szCs w:val="24"/>
        </w:rPr>
        <w:t xml:space="preserve"> </w:t>
      </w:r>
      <w:r>
        <w:rPr>
          <w:rFonts w:ascii="Times New Roman" w:hAnsi="Times New Roman" w:cs="Times New Roman"/>
          <w:sz w:val="24"/>
          <w:szCs w:val="24"/>
        </w:rPr>
        <w:t>I</w:t>
      </w:r>
      <w:r w:rsidR="0058032A" w:rsidRPr="006A02BE">
        <w:rPr>
          <w:rFonts w:ascii="Times New Roman" w:hAnsi="Times New Roman" w:cs="Times New Roman"/>
          <w:sz w:val="24"/>
          <w:szCs w:val="24"/>
        </w:rPr>
        <w:t>ntrodúzcanse los siguientes artículos nuevos al Código de Procedimiento Civil:</w:t>
      </w:r>
    </w:p>
    <w:p w:rsidR="0058032A" w:rsidRPr="006A02BE" w:rsidRDefault="0058032A" w:rsidP="00051DF5">
      <w:pPr>
        <w:pStyle w:val="Textosinformato"/>
        <w:spacing w:line="360" w:lineRule="auto"/>
        <w:rPr>
          <w:rFonts w:ascii="Times New Roman" w:hAnsi="Times New Roman" w:cs="Times New Roman"/>
          <w:sz w:val="24"/>
          <w:szCs w:val="24"/>
        </w:rPr>
      </w:pPr>
    </w:p>
    <w:p w:rsidR="00F24BFD" w:rsidRPr="002B52F5" w:rsidRDefault="002B52F5" w:rsidP="00051DF5">
      <w:pPr>
        <w:pStyle w:val="Textosinformato"/>
        <w:spacing w:line="360" w:lineRule="auto"/>
        <w:rPr>
          <w:rFonts w:ascii="Times New Roman" w:hAnsi="Times New Roman" w:cs="Times New Roman"/>
          <w:i/>
          <w:sz w:val="24"/>
          <w:szCs w:val="24"/>
        </w:rPr>
      </w:pPr>
      <w:r w:rsidRPr="002B52F5">
        <w:rPr>
          <w:rFonts w:ascii="Times New Roman" w:hAnsi="Times New Roman" w:cs="Times New Roman"/>
          <w:b/>
          <w:sz w:val="24"/>
          <w:szCs w:val="24"/>
        </w:rPr>
        <w:t>1.</w:t>
      </w:r>
      <w:r>
        <w:rPr>
          <w:rFonts w:ascii="Times New Roman" w:hAnsi="Times New Roman" w:cs="Times New Roman"/>
          <w:sz w:val="24"/>
          <w:szCs w:val="24"/>
        </w:rPr>
        <w:t xml:space="preserve"> </w:t>
      </w:r>
      <w:r w:rsidR="0058032A" w:rsidRPr="002B52F5">
        <w:rPr>
          <w:rFonts w:ascii="Times New Roman" w:hAnsi="Times New Roman" w:cs="Times New Roman"/>
          <w:i/>
          <w:sz w:val="24"/>
          <w:szCs w:val="24"/>
        </w:rPr>
        <w:t xml:space="preserve">"Art. 645.- En los casos en que la partición de bienes sea de competencia del juez civil, </w:t>
      </w:r>
      <w:r w:rsidR="00F24BFD" w:rsidRPr="002B52F5">
        <w:rPr>
          <w:rFonts w:ascii="Times New Roman" w:hAnsi="Times New Roman" w:cs="Times New Roman"/>
          <w:i/>
          <w:sz w:val="24"/>
          <w:szCs w:val="24"/>
        </w:rPr>
        <w:t xml:space="preserve">podrá ser solicitada por cualquier heredero o causahabiente dentro del plazo de dos años contados desde la fecha de la resolución que decreta la posesión </w:t>
      </w:r>
      <w:proofErr w:type="spellStart"/>
      <w:r w:rsidR="00F24BFD" w:rsidRPr="002B52F5">
        <w:rPr>
          <w:rFonts w:ascii="Times New Roman" w:hAnsi="Times New Roman" w:cs="Times New Roman"/>
          <w:i/>
          <w:sz w:val="24"/>
          <w:szCs w:val="24"/>
        </w:rPr>
        <w:t>efectia</w:t>
      </w:r>
      <w:proofErr w:type="spellEnd"/>
      <w:r w:rsidR="00F24BFD" w:rsidRPr="002B52F5">
        <w:rPr>
          <w:rFonts w:ascii="Times New Roman" w:hAnsi="Times New Roman" w:cs="Times New Roman"/>
          <w:i/>
          <w:sz w:val="24"/>
          <w:szCs w:val="24"/>
        </w:rPr>
        <w:t xml:space="preserve"> intestada. Será competente para conocer de dicha solicitud el tribunal con competencia sobre el último domicilio del causante.</w:t>
      </w:r>
    </w:p>
    <w:p w:rsidR="00F24BFD" w:rsidRPr="002B52F5" w:rsidRDefault="00F24BFD" w:rsidP="00051DF5">
      <w:pPr>
        <w:pStyle w:val="Textosinformato"/>
        <w:spacing w:line="360" w:lineRule="auto"/>
        <w:rPr>
          <w:rFonts w:ascii="Times New Roman" w:hAnsi="Times New Roman" w:cs="Times New Roman"/>
          <w:i/>
          <w:sz w:val="24"/>
          <w:szCs w:val="24"/>
        </w:rPr>
      </w:pPr>
    </w:p>
    <w:p w:rsidR="0058032A" w:rsidRPr="002B52F5" w:rsidRDefault="00F24BFD" w:rsidP="00051DF5">
      <w:pPr>
        <w:pStyle w:val="Textosinformato"/>
        <w:spacing w:line="360" w:lineRule="auto"/>
        <w:rPr>
          <w:rFonts w:ascii="Times New Roman" w:hAnsi="Times New Roman" w:cs="Times New Roman"/>
          <w:i/>
          <w:sz w:val="24"/>
          <w:szCs w:val="24"/>
        </w:rPr>
      </w:pPr>
      <w:r w:rsidRPr="002B52F5">
        <w:rPr>
          <w:rFonts w:ascii="Times New Roman" w:hAnsi="Times New Roman" w:cs="Times New Roman"/>
          <w:i/>
          <w:sz w:val="24"/>
          <w:szCs w:val="24"/>
        </w:rPr>
        <w:t xml:space="preserve">El heredero o causahabiente solicitante deberá en la solicitud individualizar el nombre, domicilio y profesión u oficio de todos los miembros de la comunidad, además de acompañar </w:t>
      </w:r>
      <w:r w:rsidR="0058032A" w:rsidRPr="002B52F5">
        <w:rPr>
          <w:rFonts w:ascii="Times New Roman" w:hAnsi="Times New Roman" w:cs="Times New Roman"/>
          <w:i/>
          <w:sz w:val="24"/>
          <w:szCs w:val="24"/>
        </w:rPr>
        <w:t>copia de la resolución</w:t>
      </w:r>
      <w:r w:rsidRPr="002B52F5">
        <w:rPr>
          <w:rFonts w:ascii="Times New Roman" w:hAnsi="Times New Roman" w:cs="Times New Roman"/>
          <w:i/>
          <w:sz w:val="24"/>
          <w:szCs w:val="24"/>
        </w:rPr>
        <w:t xml:space="preserve"> de posesión efectiva intestada, </w:t>
      </w:r>
      <w:r w:rsidR="0058032A" w:rsidRPr="002B52F5">
        <w:rPr>
          <w:rFonts w:ascii="Times New Roman" w:hAnsi="Times New Roman" w:cs="Times New Roman"/>
          <w:i/>
          <w:sz w:val="24"/>
          <w:szCs w:val="24"/>
        </w:rPr>
        <w:t>copia del formulario de declaración y pa</w:t>
      </w:r>
      <w:r w:rsidRPr="002B52F5">
        <w:rPr>
          <w:rFonts w:ascii="Times New Roman" w:hAnsi="Times New Roman" w:cs="Times New Roman"/>
          <w:i/>
          <w:sz w:val="24"/>
          <w:szCs w:val="24"/>
        </w:rPr>
        <w:t xml:space="preserve">go del impuesto a las herencias, </w:t>
      </w:r>
      <w:r w:rsidR="0058032A" w:rsidRPr="002B52F5">
        <w:rPr>
          <w:rFonts w:ascii="Times New Roman" w:hAnsi="Times New Roman" w:cs="Times New Roman"/>
          <w:i/>
          <w:sz w:val="24"/>
          <w:szCs w:val="24"/>
        </w:rPr>
        <w:t xml:space="preserve">un inventario simple de los bienes </w:t>
      </w:r>
      <w:r w:rsidRPr="002B52F5">
        <w:rPr>
          <w:rFonts w:ascii="Times New Roman" w:hAnsi="Times New Roman" w:cs="Times New Roman"/>
          <w:i/>
          <w:sz w:val="24"/>
          <w:szCs w:val="24"/>
        </w:rPr>
        <w:t>que conforman la masa hereditaria, e indicar la existencia de</w:t>
      </w:r>
      <w:r w:rsidR="0058032A" w:rsidRPr="002B52F5">
        <w:rPr>
          <w:rFonts w:ascii="Times New Roman" w:hAnsi="Times New Roman" w:cs="Times New Roman"/>
          <w:i/>
          <w:sz w:val="24"/>
          <w:szCs w:val="24"/>
        </w:rPr>
        <w:t xml:space="preserve"> litigios pendientes </w:t>
      </w:r>
      <w:r w:rsidRPr="002B52F5">
        <w:rPr>
          <w:rFonts w:ascii="Times New Roman" w:hAnsi="Times New Roman" w:cs="Times New Roman"/>
          <w:i/>
          <w:sz w:val="24"/>
          <w:szCs w:val="24"/>
        </w:rPr>
        <w:t>que afecten l</w:t>
      </w:r>
      <w:r w:rsidR="004D4C48">
        <w:rPr>
          <w:rFonts w:ascii="Times New Roman" w:hAnsi="Times New Roman" w:cs="Times New Roman"/>
          <w:i/>
          <w:sz w:val="24"/>
          <w:szCs w:val="24"/>
        </w:rPr>
        <w:t>a masa hereditaria individualizá</w:t>
      </w:r>
      <w:r w:rsidRPr="002B52F5">
        <w:rPr>
          <w:rFonts w:ascii="Times New Roman" w:hAnsi="Times New Roman" w:cs="Times New Roman"/>
          <w:i/>
          <w:sz w:val="24"/>
          <w:szCs w:val="24"/>
        </w:rPr>
        <w:t>ndolos en la misma.</w:t>
      </w:r>
    </w:p>
    <w:p w:rsidR="0058032A" w:rsidRPr="002B52F5" w:rsidRDefault="0058032A" w:rsidP="00051DF5">
      <w:pPr>
        <w:pStyle w:val="Textosinformato"/>
        <w:spacing w:line="360" w:lineRule="auto"/>
        <w:rPr>
          <w:rFonts w:ascii="Times New Roman" w:hAnsi="Times New Roman" w:cs="Times New Roman"/>
          <w:i/>
          <w:sz w:val="24"/>
          <w:szCs w:val="24"/>
        </w:rPr>
      </w:pPr>
    </w:p>
    <w:p w:rsidR="0058032A" w:rsidRPr="002B52F5" w:rsidRDefault="0037288E" w:rsidP="00051DF5">
      <w:pPr>
        <w:pStyle w:val="Textosinformato"/>
        <w:spacing w:line="360" w:lineRule="auto"/>
        <w:rPr>
          <w:rFonts w:ascii="Times New Roman" w:hAnsi="Times New Roman" w:cs="Times New Roman"/>
          <w:i/>
          <w:sz w:val="24"/>
          <w:szCs w:val="24"/>
        </w:rPr>
      </w:pPr>
      <w:r>
        <w:rPr>
          <w:rFonts w:ascii="Times New Roman" w:hAnsi="Times New Roman" w:cs="Times New Roman"/>
          <w:i/>
          <w:sz w:val="24"/>
          <w:szCs w:val="24"/>
        </w:rPr>
        <w:t>Cumplido</w:t>
      </w:r>
      <w:r w:rsidR="0058032A" w:rsidRPr="002B52F5">
        <w:rPr>
          <w:rFonts w:ascii="Times New Roman" w:hAnsi="Times New Roman" w:cs="Times New Roman"/>
          <w:i/>
          <w:sz w:val="24"/>
          <w:szCs w:val="24"/>
        </w:rPr>
        <w:t xml:space="preserve">s </w:t>
      </w:r>
      <w:r w:rsidR="00F24BFD" w:rsidRPr="002B52F5">
        <w:rPr>
          <w:rFonts w:ascii="Times New Roman" w:hAnsi="Times New Roman" w:cs="Times New Roman"/>
          <w:i/>
          <w:sz w:val="24"/>
          <w:szCs w:val="24"/>
        </w:rPr>
        <w:t>los requisitos mencionados</w:t>
      </w:r>
      <w:r w:rsidR="0058032A" w:rsidRPr="002B52F5">
        <w:rPr>
          <w:rFonts w:ascii="Times New Roman" w:hAnsi="Times New Roman" w:cs="Times New Roman"/>
          <w:i/>
          <w:sz w:val="24"/>
          <w:szCs w:val="24"/>
        </w:rPr>
        <w:t>, el juez declarará admisible la solicitud y citará a todos los interesados a una audiencia para el quinto día de practicada la última notificación. El plazo anterior se aumentará conforme al artículo 259."</w:t>
      </w:r>
    </w:p>
    <w:p w:rsidR="0058032A" w:rsidRPr="002B52F5" w:rsidRDefault="0058032A" w:rsidP="00051DF5">
      <w:pPr>
        <w:pStyle w:val="Textosinformato"/>
        <w:spacing w:line="360" w:lineRule="auto"/>
        <w:rPr>
          <w:rFonts w:ascii="Times New Roman" w:hAnsi="Times New Roman" w:cs="Times New Roman"/>
          <w:i/>
          <w:sz w:val="24"/>
          <w:szCs w:val="24"/>
        </w:rPr>
      </w:pPr>
    </w:p>
    <w:p w:rsidR="0058032A" w:rsidRPr="002B52F5" w:rsidRDefault="0058032A" w:rsidP="00051DF5">
      <w:pPr>
        <w:pStyle w:val="Textosinformato"/>
        <w:spacing w:line="360" w:lineRule="auto"/>
        <w:rPr>
          <w:rFonts w:ascii="Times New Roman" w:hAnsi="Times New Roman" w:cs="Times New Roman"/>
          <w:i/>
          <w:sz w:val="24"/>
          <w:szCs w:val="24"/>
        </w:rPr>
      </w:pPr>
      <w:r w:rsidRPr="002B52F5">
        <w:rPr>
          <w:rFonts w:ascii="Times New Roman" w:hAnsi="Times New Roman" w:cs="Times New Roman"/>
          <w:i/>
          <w:sz w:val="24"/>
          <w:szCs w:val="24"/>
        </w:rPr>
        <w:t>"Art. 645 bis.- En el caso del artículo anterior, la audiencia se celebrará con las partes que asistan y en ella se deberán promover todas las cuestiones previas e incidentales. Asimismo, las partes podrán recomendar al juez la forma</w:t>
      </w:r>
      <w:r w:rsidR="004511A3">
        <w:rPr>
          <w:rFonts w:ascii="Times New Roman" w:hAnsi="Times New Roman" w:cs="Times New Roman"/>
          <w:i/>
          <w:sz w:val="24"/>
          <w:szCs w:val="24"/>
        </w:rPr>
        <w:t xml:space="preserve"> y plazo</w:t>
      </w:r>
      <w:r w:rsidRPr="002B52F5">
        <w:rPr>
          <w:rFonts w:ascii="Times New Roman" w:hAnsi="Times New Roman" w:cs="Times New Roman"/>
          <w:i/>
          <w:sz w:val="24"/>
          <w:szCs w:val="24"/>
        </w:rPr>
        <w:t xml:space="preserve"> en que sea practicada la </w:t>
      </w:r>
      <w:r w:rsidRPr="002B52F5">
        <w:rPr>
          <w:rFonts w:ascii="Times New Roman" w:hAnsi="Times New Roman" w:cs="Times New Roman"/>
          <w:i/>
          <w:sz w:val="24"/>
          <w:szCs w:val="24"/>
        </w:rPr>
        <w:lastRenderedPageBreak/>
        <w:t xml:space="preserve">partición. </w:t>
      </w:r>
      <w:r w:rsidR="004511A3">
        <w:rPr>
          <w:rFonts w:ascii="Times New Roman" w:hAnsi="Times New Roman" w:cs="Times New Roman"/>
          <w:i/>
          <w:sz w:val="24"/>
          <w:szCs w:val="24"/>
        </w:rPr>
        <w:t>Dentro de los diez días siguientes a la realización de la audiencia</w:t>
      </w:r>
      <w:r w:rsidRPr="002B52F5">
        <w:rPr>
          <w:rFonts w:ascii="Times New Roman" w:hAnsi="Times New Roman" w:cs="Times New Roman"/>
          <w:i/>
          <w:sz w:val="24"/>
          <w:szCs w:val="24"/>
        </w:rPr>
        <w:t xml:space="preserve">, el juez citará </w:t>
      </w:r>
      <w:r w:rsidR="004511A3">
        <w:rPr>
          <w:rFonts w:ascii="Times New Roman" w:hAnsi="Times New Roman" w:cs="Times New Roman"/>
          <w:i/>
          <w:sz w:val="24"/>
          <w:szCs w:val="24"/>
        </w:rPr>
        <w:t xml:space="preserve"> a </w:t>
      </w:r>
      <w:r w:rsidRPr="002B52F5">
        <w:rPr>
          <w:rFonts w:ascii="Times New Roman" w:hAnsi="Times New Roman" w:cs="Times New Roman"/>
          <w:i/>
          <w:sz w:val="24"/>
          <w:szCs w:val="24"/>
        </w:rPr>
        <w:t>las partes a oír sentencia o recibirá la causa a prueba. En el ca</w:t>
      </w:r>
      <w:r w:rsidR="0037288E">
        <w:rPr>
          <w:rFonts w:ascii="Times New Roman" w:hAnsi="Times New Roman" w:cs="Times New Roman"/>
          <w:i/>
          <w:sz w:val="24"/>
          <w:szCs w:val="24"/>
        </w:rPr>
        <w:t>so de recibir la causa a</w:t>
      </w:r>
      <w:r w:rsidR="004511A3">
        <w:rPr>
          <w:rFonts w:ascii="Times New Roman" w:hAnsi="Times New Roman" w:cs="Times New Roman"/>
          <w:i/>
          <w:sz w:val="24"/>
          <w:szCs w:val="24"/>
        </w:rPr>
        <w:t xml:space="preserve"> prueba, ésta </w:t>
      </w:r>
      <w:r w:rsidRPr="002B52F5">
        <w:rPr>
          <w:rFonts w:ascii="Times New Roman" w:hAnsi="Times New Roman" w:cs="Times New Roman"/>
          <w:i/>
          <w:sz w:val="24"/>
          <w:szCs w:val="24"/>
        </w:rPr>
        <w:t>se rendirá conforme a las reglas</w:t>
      </w:r>
      <w:r w:rsidR="0037288E">
        <w:rPr>
          <w:rFonts w:ascii="Times New Roman" w:hAnsi="Times New Roman" w:cs="Times New Roman"/>
          <w:i/>
          <w:sz w:val="24"/>
          <w:szCs w:val="24"/>
        </w:rPr>
        <w:t xml:space="preserve"> generales</w:t>
      </w:r>
      <w:r w:rsidRPr="002B52F5">
        <w:rPr>
          <w:rFonts w:ascii="Times New Roman" w:hAnsi="Times New Roman" w:cs="Times New Roman"/>
          <w:i/>
          <w:sz w:val="24"/>
          <w:szCs w:val="24"/>
        </w:rPr>
        <w:t xml:space="preserve"> de los incidentes y se valorará de acuerdo a las reglas de la sana crítica.</w:t>
      </w:r>
      <w:r w:rsidR="004D4C48">
        <w:rPr>
          <w:rFonts w:ascii="Times New Roman" w:hAnsi="Times New Roman" w:cs="Times New Roman"/>
          <w:i/>
          <w:sz w:val="24"/>
          <w:szCs w:val="24"/>
        </w:rPr>
        <w:t xml:space="preserve"> E</w:t>
      </w:r>
      <w:r w:rsidRPr="002B52F5">
        <w:rPr>
          <w:rFonts w:ascii="Times New Roman" w:hAnsi="Times New Roman" w:cs="Times New Roman"/>
          <w:i/>
          <w:sz w:val="24"/>
          <w:szCs w:val="24"/>
        </w:rPr>
        <w:t>l juez podrá decretar de oficio las diligencias informativas o probatorias que estime convenientes.</w:t>
      </w:r>
    </w:p>
    <w:p w:rsidR="0058032A" w:rsidRPr="002B52F5" w:rsidRDefault="0058032A" w:rsidP="00051DF5">
      <w:pPr>
        <w:pStyle w:val="Textosinformato"/>
        <w:spacing w:line="360" w:lineRule="auto"/>
        <w:rPr>
          <w:rFonts w:ascii="Times New Roman" w:hAnsi="Times New Roman" w:cs="Times New Roman"/>
          <w:i/>
          <w:sz w:val="24"/>
          <w:szCs w:val="24"/>
        </w:rPr>
      </w:pPr>
    </w:p>
    <w:p w:rsidR="0058032A" w:rsidRPr="002B52F5" w:rsidRDefault="0058032A" w:rsidP="00051DF5">
      <w:pPr>
        <w:pStyle w:val="Textosinformato"/>
        <w:spacing w:line="360" w:lineRule="auto"/>
        <w:rPr>
          <w:rFonts w:ascii="Times New Roman" w:hAnsi="Times New Roman" w:cs="Times New Roman"/>
          <w:i/>
          <w:sz w:val="24"/>
          <w:szCs w:val="24"/>
        </w:rPr>
      </w:pPr>
      <w:r w:rsidRPr="002B52F5">
        <w:rPr>
          <w:rFonts w:ascii="Times New Roman" w:hAnsi="Times New Roman" w:cs="Times New Roman"/>
          <w:i/>
          <w:sz w:val="24"/>
          <w:szCs w:val="24"/>
        </w:rPr>
        <w:t xml:space="preserve">Citadas las partes a oír sentencia, procederá el juez a practicar la partición en un plazo máximo de sesenta días, teniendo en especial consideración </w:t>
      </w:r>
      <w:r w:rsidR="0037288E">
        <w:rPr>
          <w:rFonts w:ascii="Times New Roman" w:hAnsi="Times New Roman" w:cs="Times New Roman"/>
          <w:i/>
          <w:sz w:val="24"/>
          <w:szCs w:val="24"/>
        </w:rPr>
        <w:t>lo expuesto por los</w:t>
      </w:r>
      <w:r w:rsidRPr="002B52F5">
        <w:rPr>
          <w:rFonts w:ascii="Times New Roman" w:hAnsi="Times New Roman" w:cs="Times New Roman"/>
          <w:i/>
          <w:sz w:val="24"/>
          <w:szCs w:val="24"/>
        </w:rPr>
        <w:t xml:space="preserve"> herederos y causahabientes que hubieren concurrido a la audiencia de rigor, sin perjuicio de lo dispuesto en los artículos 1337 y siguientes del Código Civil.</w:t>
      </w:r>
    </w:p>
    <w:p w:rsidR="0058032A" w:rsidRPr="002B52F5" w:rsidRDefault="0058032A" w:rsidP="00051DF5">
      <w:pPr>
        <w:pStyle w:val="Textosinformato"/>
        <w:spacing w:line="360" w:lineRule="auto"/>
        <w:rPr>
          <w:rFonts w:ascii="Times New Roman" w:hAnsi="Times New Roman" w:cs="Times New Roman"/>
          <w:i/>
          <w:sz w:val="24"/>
          <w:szCs w:val="24"/>
        </w:rPr>
      </w:pPr>
    </w:p>
    <w:p w:rsidR="0058032A" w:rsidRPr="002B52F5" w:rsidRDefault="0058032A" w:rsidP="00051DF5">
      <w:pPr>
        <w:pStyle w:val="Textosinformato"/>
        <w:spacing w:line="360" w:lineRule="auto"/>
        <w:rPr>
          <w:rFonts w:ascii="Times New Roman" w:hAnsi="Times New Roman" w:cs="Times New Roman"/>
          <w:i/>
          <w:sz w:val="24"/>
          <w:szCs w:val="24"/>
        </w:rPr>
      </w:pPr>
      <w:r w:rsidRPr="002B52F5">
        <w:rPr>
          <w:rFonts w:ascii="Times New Roman" w:hAnsi="Times New Roman" w:cs="Times New Roman"/>
          <w:i/>
          <w:sz w:val="24"/>
          <w:szCs w:val="24"/>
        </w:rPr>
        <w:t xml:space="preserve">La sentencia </w:t>
      </w:r>
      <w:r w:rsidR="0037288E">
        <w:rPr>
          <w:rFonts w:ascii="Times New Roman" w:hAnsi="Times New Roman" w:cs="Times New Roman"/>
          <w:i/>
          <w:sz w:val="24"/>
          <w:szCs w:val="24"/>
        </w:rPr>
        <w:t>será recurrible mediante</w:t>
      </w:r>
      <w:r w:rsidRPr="002B52F5">
        <w:rPr>
          <w:rFonts w:ascii="Times New Roman" w:hAnsi="Times New Roman" w:cs="Times New Roman"/>
          <w:i/>
          <w:sz w:val="24"/>
          <w:szCs w:val="24"/>
        </w:rPr>
        <w:t xml:space="preserve"> recurso de apelación y casación, conforme a las reglas generales. Para la vista y fallo del recurso de apelación será aplicable lo dispuesto en el artículo 692."</w:t>
      </w:r>
    </w:p>
    <w:p w:rsidR="0058032A" w:rsidRPr="002B52F5" w:rsidRDefault="0058032A" w:rsidP="00051DF5">
      <w:pPr>
        <w:pStyle w:val="Textosinformato"/>
        <w:spacing w:line="360" w:lineRule="auto"/>
        <w:rPr>
          <w:rFonts w:ascii="Times New Roman" w:hAnsi="Times New Roman" w:cs="Times New Roman"/>
          <w:i/>
          <w:sz w:val="24"/>
          <w:szCs w:val="24"/>
        </w:rPr>
      </w:pPr>
    </w:p>
    <w:p w:rsidR="0058032A" w:rsidRPr="002B52F5" w:rsidRDefault="0058032A" w:rsidP="00051DF5">
      <w:pPr>
        <w:pStyle w:val="Textosinformato"/>
        <w:spacing w:line="360" w:lineRule="auto"/>
        <w:rPr>
          <w:rFonts w:ascii="Times New Roman" w:hAnsi="Times New Roman" w:cs="Times New Roman"/>
          <w:i/>
          <w:sz w:val="24"/>
          <w:szCs w:val="24"/>
        </w:rPr>
      </w:pPr>
      <w:r w:rsidRPr="002B52F5">
        <w:rPr>
          <w:rFonts w:ascii="Times New Roman" w:hAnsi="Times New Roman" w:cs="Times New Roman"/>
          <w:i/>
          <w:sz w:val="24"/>
          <w:szCs w:val="24"/>
        </w:rPr>
        <w:t>"Art. 645 ter.- Los terceros podrán efectuar reclamación u oposición ante el juez civil, hasta antes de la citación a oír sentencia. Toda intervención de tercero se substanciará en</w:t>
      </w:r>
      <w:r w:rsidR="004511A3">
        <w:rPr>
          <w:rFonts w:ascii="Times New Roman" w:hAnsi="Times New Roman" w:cs="Times New Roman"/>
          <w:i/>
          <w:sz w:val="24"/>
          <w:szCs w:val="24"/>
        </w:rPr>
        <w:t xml:space="preserve"> cuaderno</w:t>
      </w:r>
      <w:r w:rsidRPr="002B52F5">
        <w:rPr>
          <w:rFonts w:ascii="Times New Roman" w:hAnsi="Times New Roman" w:cs="Times New Roman"/>
          <w:i/>
          <w:sz w:val="24"/>
          <w:szCs w:val="24"/>
        </w:rPr>
        <w:t xml:space="preserve"> separado y no suspenderá la causa principal.</w:t>
      </w:r>
    </w:p>
    <w:p w:rsidR="0058032A" w:rsidRPr="002B52F5" w:rsidRDefault="0058032A" w:rsidP="00051DF5">
      <w:pPr>
        <w:pStyle w:val="Textosinformato"/>
        <w:spacing w:line="360" w:lineRule="auto"/>
        <w:rPr>
          <w:rFonts w:ascii="Times New Roman" w:hAnsi="Times New Roman" w:cs="Times New Roman"/>
          <w:i/>
          <w:sz w:val="24"/>
          <w:szCs w:val="24"/>
        </w:rPr>
      </w:pPr>
    </w:p>
    <w:p w:rsidR="0058032A" w:rsidRPr="004511A3" w:rsidRDefault="0058032A" w:rsidP="00051DF5">
      <w:pPr>
        <w:pStyle w:val="Textosinformato"/>
        <w:spacing w:line="360" w:lineRule="auto"/>
        <w:rPr>
          <w:rFonts w:ascii="Times New Roman" w:hAnsi="Times New Roman" w:cs="Times New Roman"/>
          <w:i/>
          <w:sz w:val="24"/>
          <w:szCs w:val="24"/>
        </w:rPr>
      </w:pPr>
      <w:r w:rsidRPr="002B52F5">
        <w:rPr>
          <w:rFonts w:ascii="Times New Roman" w:hAnsi="Times New Roman" w:cs="Times New Roman"/>
          <w:i/>
          <w:sz w:val="24"/>
          <w:szCs w:val="24"/>
        </w:rPr>
        <w:t>Si la reclamación u oposición se hace por quie</w:t>
      </w:r>
      <w:r w:rsidR="0037288E">
        <w:rPr>
          <w:rFonts w:ascii="Times New Roman" w:hAnsi="Times New Roman" w:cs="Times New Roman"/>
          <w:i/>
          <w:sz w:val="24"/>
          <w:szCs w:val="24"/>
        </w:rPr>
        <w:t>n no tiene derecho, el tribunal,</w:t>
      </w:r>
      <w:r w:rsidRPr="002B52F5">
        <w:rPr>
          <w:rFonts w:ascii="Times New Roman" w:hAnsi="Times New Roman" w:cs="Times New Roman"/>
          <w:i/>
          <w:sz w:val="24"/>
          <w:szCs w:val="24"/>
        </w:rPr>
        <w:t xml:space="preserve"> desestimándola de plano, dictará resolución sobre el </w:t>
      </w:r>
      <w:r w:rsidR="004511A3">
        <w:rPr>
          <w:rFonts w:ascii="Times New Roman" w:hAnsi="Times New Roman" w:cs="Times New Roman"/>
          <w:i/>
          <w:sz w:val="24"/>
          <w:szCs w:val="24"/>
        </w:rPr>
        <w:t>asunto</w:t>
      </w:r>
      <w:r w:rsidRPr="002B52F5">
        <w:rPr>
          <w:rFonts w:ascii="Times New Roman" w:hAnsi="Times New Roman" w:cs="Times New Roman"/>
          <w:i/>
          <w:sz w:val="24"/>
          <w:szCs w:val="24"/>
        </w:rPr>
        <w:t xml:space="preserve"> principal y lo condenará en costas".</w:t>
      </w:r>
    </w:p>
    <w:p w:rsidR="0058032A" w:rsidRPr="00703B60" w:rsidRDefault="0058032A" w:rsidP="00051DF5">
      <w:pPr>
        <w:pStyle w:val="Textosinformato"/>
        <w:spacing w:line="360" w:lineRule="auto"/>
        <w:rPr>
          <w:rFonts w:ascii="Times New Roman" w:hAnsi="Times New Roman" w:cs="Times New Roman"/>
          <w:sz w:val="24"/>
          <w:szCs w:val="24"/>
          <w:lang w:val="es-ES"/>
        </w:rPr>
      </w:pPr>
    </w:p>
    <w:p w:rsidR="0058032A" w:rsidRPr="002B52F5" w:rsidRDefault="002B52F5" w:rsidP="00051DF5">
      <w:pPr>
        <w:pStyle w:val="Textosinformato"/>
        <w:spacing w:line="360" w:lineRule="auto"/>
        <w:rPr>
          <w:rFonts w:ascii="Times New Roman" w:hAnsi="Times New Roman" w:cs="Times New Roman"/>
          <w:i/>
          <w:sz w:val="24"/>
          <w:szCs w:val="24"/>
        </w:rPr>
      </w:pPr>
      <w:r w:rsidRPr="002B52F5">
        <w:rPr>
          <w:rFonts w:ascii="Times New Roman" w:hAnsi="Times New Roman" w:cs="Times New Roman"/>
          <w:b/>
          <w:sz w:val="24"/>
          <w:szCs w:val="24"/>
          <w:lang w:val="es-ES"/>
        </w:rPr>
        <w:t>2.</w:t>
      </w:r>
      <w:r w:rsidR="0058032A" w:rsidRPr="002B52F5">
        <w:rPr>
          <w:rFonts w:ascii="Times New Roman" w:hAnsi="Times New Roman" w:cs="Times New Roman"/>
          <w:i/>
          <w:sz w:val="24"/>
          <w:szCs w:val="24"/>
          <w:lang w:val="es-ES"/>
        </w:rPr>
        <w:t xml:space="preserve">"Art. 645 </w:t>
      </w:r>
      <w:proofErr w:type="spellStart"/>
      <w:r w:rsidR="0058032A" w:rsidRPr="002B52F5">
        <w:rPr>
          <w:rFonts w:ascii="Times New Roman" w:hAnsi="Times New Roman" w:cs="Times New Roman"/>
          <w:i/>
          <w:sz w:val="24"/>
          <w:szCs w:val="24"/>
          <w:lang w:val="es-ES"/>
        </w:rPr>
        <w:t>quater</w:t>
      </w:r>
      <w:proofErr w:type="spellEnd"/>
      <w:r w:rsidR="0058032A" w:rsidRPr="002B52F5">
        <w:rPr>
          <w:rFonts w:ascii="Times New Roman" w:hAnsi="Times New Roman" w:cs="Times New Roman"/>
          <w:i/>
          <w:sz w:val="24"/>
          <w:szCs w:val="24"/>
          <w:lang w:val="es-ES"/>
        </w:rPr>
        <w:t xml:space="preserve">.-  </w:t>
      </w:r>
      <w:r w:rsidR="0058032A" w:rsidRPr="002B52F5">
        <w:rPr>
          <w:rFonts w:ascii="Times New Roman" w:hAnsi="Times New Roman" w:cs="Times New Roman"/>
          <w:i/>
          <w:sz w:val="24"/>
          <w:szCs w:val="24"/>
        </w:rPr>
        <w:t>El juez civil denegará la partición en los siguientes casos:</w:t>
      </w:r>
    </w:p>
    <w:p w:rsidR="0058032A" w:rsidRPr="002B52F5" w:rsidRDefault="0058032A" w:rsidP="00051DF5">
      <w:pPr>
        <w:pStyle w:val="Textosinformato"/>
        <w:spacing w:line="360" w:lineRule="auto"/>
        <w:rPr>
          <w:rFonts w:ascii="Times New Roman" w:hAnsi="Times New Roman" w:cs="Times New Roman"/>
          <w:i/>
          <w:sz w:val="24"/>
          <w:szCs w:val="24"/>
        </w:rPr>
      </w:pPr>
    </w:p>
    <w:p w:rsidR="0058032A" w:rsidRPr="002B52F5" w:rsidRDefault="0058032A" w:rsidP="00051DF5">
      <w:pPr>
        <w:pStyle w:val="Textosinformato"/>
        <w:spacing w:line="360" w:lineRule="auto"/>
        <w:rPr>
          <w:rFonts w:ascii="Times New Roman" w:hAnsi="Times New Roman" w:cs="Times New Roman"/>
          <w:i/>
          <w:sz w:val="24"/>
          <w:szCs w:val="24"/>
        </w:rPr>
      </w:pPr>
      <w:r w:rsidRPr="002B52F5">
        <w:rPr>
          <w:rFonts w:ascii="Times New Roman" w:hAnsi="Times New Roman" w:cs="Times New Roman"/>
          <w:i/>
          <w:sz w:val="24"/>
          <w:szCs w:val="24"/>
        </w:rPr>
        <w:t xml:space="preserve">1. Cuando el </w:t>
      </w:r>
      <w:r w:rsidR="0037288E">
        <w:rPr>
          <w:rFonts w:ascii="Times New Roman" w:hAnsi="Times New Roman" w:cs="Times New Roman"/>
          <w:i/>
          <w:sz w:val="24"/>
          <w:szCs w:val="24"/>
        </w:rPr>
        <w:t xml:space="preserve">simple </w:t>
      </w:r>
      <w:r w:rsidRPr="002B52F5">
        <w:rPr>
          <w:rFonts w:ascii="Times New Roman" w:hAnsi="Times New Roman" w:cs="Times New Roman"/>
          <w:i/>
          <w:sz w:val="24"/>
          <w:szCs w:val="24"/>
        </w:rPr>
        <w:t xml:space="preserve">inventario de bienes </w:t>
      </w:r>
      <w:r w:rsidR="0037288E">
        <w:rPr>
          <w:rFonts w:ascii="Times New Roman" w:hAnsi="Times New Roman" w:cs="Times New Roman"/>
          <w:i/>
          <w:sz w:val="24"/>
          <w:szCs w:val="24"/>
        </w:rPr>
        <w:t xml:space="preserve">que haya acompañado el solicitante </w:t>
      </w:r>
      <w:r w:rsidRPr="002B52F5">
        <w:rPr>
          <w:rFonts w:ascii="Times New Roman" w:hAnsi="Times New Roman" w:cs="Times New Roman"/>
          <w:i/>
          <w:sz w:val="24"/>
          <w:szCs w:val="24"/>
        </w:rPr>
        <w:t>sea diferente al declarado ante el Servicio de Impuestos Internos, para efectos del pago del impuesto a las herencias;</w:t>
      </w:r>
    </w:p>
    <w:p w:rsidR="0058032A" w:rsidRDefault="0058032A" w:rsidP="00051DF5">
      <w:pPr>
        <w:pStyle w:val="Textosinformato"/>
        <w:spacing w:line="360" w:lineRule="auto"/>
        <w:rPr>
          <w:rFonts w:ascii="Times New Roman" w:hAnsi="Times New Roman" w:cs="Times New Roman"/>
          <w:i/>
          <w:sz w:val="24"/>
          <w:szCs w:val="24"/>
        </w:rPr>
      </w:pPr>
    </w:p>
    <w:p w:rsidR="00703B60" w:rsidRPr="002B52F5" w:rsidRDefault="00703B60" w:rsidP="00051DF5">
      <w:pPr>
        <w:pStyle w:val="Textosinformato"/>
        <w:spacing w:line="360" w:lineRule="auto"/>
        <w:rPr>
          <w:rFonts w:ascii="Times New Roman" w:hAnsi="Times New Roman" w:cs="Times New Roman"/>
          <w:i/>
          <w:sz w:val="24"/>
          <w:szCs w:val="24"/>
        </w:rPr>
      </w:pPr>
    </w:p>
    <w:p w:rsidR="00B42D3F" w:rsidRDefault="0058032A" w:rsidP="00051DF5">
      <w:pPr>
        <w:pStyle w:val="Textosinformato"/>
        <w:spacing w:line="360" w:lineRule="auto"/>
        <w:rPr>
          <w:rFonts w:ascii="Times New Roman" w:hAnsi="Times New Roman" w:cs="Times New Roman"/>
          <w:i/>
          <w:sz w:val="24"/>
          <w:szCs w:val="24"/>
        </w:rPr>
      </w:pPr>
      <w:r w:rsidRPr="002B52F5">
        <w:rPr>
          <w:rFonts w:ascii="Times New Roman" w:hAnsi="Times New Roman" w:cs="Times New Roman"/>
          <w:i/>
          <w:sz w:val="24"/>
          <w:szCs w:val="24"/>
        </w:rPr>
        <w:lastRenderedPageBreak/>
        <w:t>2. Cuando el monto bruto</w:t>
      </w:r>
      <w:r w:rsidR="002B52F5">
        <w:rPr>
          <w:rFonts w:ascii="Times New Roman" w:hAnsi="Times New Roman" w:cs="Times New Roman"/>
          <w:i/>
          <w:sz w:val="24"/>
          <w:szCs w:val="24"/>
        </w:rPr>
        <w:t xml:space="preserve"> de la masa hereditaria e</w:t>
      </w:r>
      <w:r w:rsidRPr="002B52F5">
        <w:rPr>
          <w:rFonts w:ascii="Times New Roman" w:hAnsi="Times New Roman" w:cs="Times New Roman"/>
          <w:i/>
          <w:sz w:val="24"/>
          <w:szCs w:val="24"/>
        </w:rPr>
        <w:t xml:space="preserve">xceda de las 600 </w:t>
      </w:r>
      <w:r w:rsidR="00F24BFD" w:rsidRPr="002B52F5">
        <w:rPr>
          <w:rFonts w:ascii="Times New Roman" w:hAnsi="Times New Roman" w:cs="Times New Roman"/>
          <w:i/>
          <w:sz w:val="24"/>
          <w:szCs w:val="24"/>
        </w:rPr>
        <w:t>Unidades Tribunales Mensuales, o</w:t>
      </w:r>
      <w:r w:rsidR="002B52F5">
        <w:rPr>
          <w:rFonts w:ascii="Times New Roman" w:hAnsi="Times New Roman" w:cs="Times New Roman"/>
          <w:i/>
          <w:sz w:val="24"/>
          <w:szCs w:val="24"/>
        </w:rPr>
        <w:t xml:space="preserve"> bien</w:t>
      </w:r>
      <w:r w:rsidR="00F24BFD" w:rsidRPr="002B52F5">
        <w:rPr>
          <w:rFonts w:ascii="Times New Roman" w:hAnsi="Times New Roman" w:cs="Times New Roman"/>
          <w:i/>
          <w:sz w:val="24"/>
          <w:szCs w:val="24"/>
        </w:rPr>
        <w:t xml:space="preserve"> cuando </w:t>
      </w:r>
      <w:r w:rsidR="0037288E">
        <w:rPr>
          <w:rFonts w:ascii="Times New Roman" w:hAnsi="Times New Roman" w:cs="Times New Roman"/>
          <w:i/>
          <w:sz w:val="24"/>
          <w:szCs w:val="24"/>
        </w:rPr>
        <w:t>la masa hereditaria esté</w:t>
      </w:r>
      <w:r w:rsidR="00B42D3F">
        <w:rPr>
          <w:rFonts w:ascii="Times New Roman" w:hAnsi="Times New Roman" w:cs="Times New Roman"/>
          <w:i/>
          <w:sz w:val="24"/>
          <w:szCs w:val="24"/>
        </w:rPr>
        <w:t xml:space="preserve"> compuesta por un único bien inmueble cuyo avalúo exceda las 1200 Unidades Tributarias Mensuales.</w:t>
      </w:r>
    </w:p>
    <w:p w:rsidR="0058032A" w:rsidRPr="002B52F5" w:rsidRDefault="0058032A" w:rsidP="00051DF5">
      <w:pPr>
        <w:pStyle w:val="Textosinformato"/>
        <w:spacing w:line="360" w:lineRule="auto"/>
        <w:rPr>
          <w:rFonts w:ascii="Times New Roman" w:hAnsi="Times New Roman" w:cs="Times New Roman"/>
          <w:i/>
          <w:sz w:val="24"/>
          <w:szCs w:val="24"/>
        </w:rPr>
      </w:pPr>
    </w:p>
    <w:p w:rsidR="0058032A" w:rsidRPr="002B52F5" w:rsidRDefault="002B52F5" w:rsidP="00051DF5">
      <w:pPr>
        <w:pStyle w:val="Textosinformato"/>
        <w:spacing w:line="360" w:lineRule="auto"/>
        <w:rPr>
          <w:rFonts w:ascii="Times New Roman" w:hAnsi="Times New Roman" w:cs="Times New Roman"/>
          <w:i/>
          <w:sz w:val="24"/>
          <w:szCs w:val="24"/>
        </w:rPr>
      </w:pPr>
      <w:r>
        <w:rPr>
          <w:rFonts w:ascii="Times New Roman" w:hAnsi="Times New Roman" w:cs="Times New Roman"/>
          <w:i/>
          <w:sz w:val="24"/>
          <w:szCs w:val="24"/>
        </w:rPr>
        <w:t xml:space="preserve">3. Cuando exista testamento, debiendo acompañarse copia de la resolución respectiva </w:t>
      </w:r>
      <w:r w:rsidR="0058032A" w:rsidRPr="002B52F5">
        <w:rPr>
          <w:rFonts w:ascii="Times New Roman" w:hAnsi="Times New Roman" w:cs="Times New Roman"/>
          <w:i/>
          <w:sz w:val="24"/>
          <w:szCs w:val="24"/>
        </w:rPr>
        <w:t>que concedió la posesión efectiva testada;</w:t>
      </w:r>
    </w:p>
    <w:p w:rsidR="0058032A" w:rsidRDefault="0058032A" w:rsidP="00051DF5">
      <w:pPr>
        <w:pStyle w:val="Textosinformato"/>
        <w:spacing w:line="360" w:lineRule="auto"/>
        <w:rPr>
          <w:rFonts w:ascii="Times New Roman" w:hAnsi="Times New Roman" w:cs="Times New Roman"/>
          <w:i/>
          <w:sz w:val="24"/>
          <w:szCs w:val="24"/>
        </w:rPr>
      </w:pPr>
    </w:p>
    <w:p w:rsidR="004511A3" w:rsidRPr="004511A3" w:rsidRDefault="004511A3" w:rsidP="00051DF5">
      <w:pPr>
        <w:pStyle w:val="Textosinformato"/>
        <w:spacing w:line="360" w:lineRule="auto"/>
        <w:rPr>
          <w:rFonts w:ascii="Times New Roman" w:hAnsi="Times New Roman" w:cs="Times New Roman"/>
          <w:i/>
          <w:sz w:val="24"/>
          <w:szCs w:val="24"/>
        </w:rPr>
      </w:pPr>
      <w:r w:rsidRPr="004D4C48">
        <w:rPr>
          <w:rFonts w:ascii="Times New Roman" w:hAnsi="Times New Roman" w:cs="Times New Roman"/>
          <w:b/>
          <w:sz w:val="24"/>
          <w:szCs w:val="24"/>
        </w:rPr>
        <w:t>3.</w:t>
      </w:r>
      <w:r>
        <w:rPr>
          <w:rFonts w:ascii="Times New Roman" w:hAnsi="Times New Roman" w:cs="Times New Roman"/>
          <w:sz w:val="24"/>
          <w:szCs w:val="24"/>
        </w:rPr>
        <w:t xml:space="preserve"> </w:t>
      </w:r>
      <w:r w:rsidRPr="004511A3">
        <w:rPr>
          <w:rFonts w:ascii="Times New Roman" w:hAnsi="Times New Roman" w:cs="Times New Roman"/>
          <w:i/>
          <w:sz w:val="24"/>
          <w:szCs w:val="24"/>
        </w:rPr>
        <w:t>“Art. 645 quinquies: En todo lo no previsto por</w:t>
      </w:r>
      <w:r w:rsidR="004D4C48">
        <w:rPr>
          <w:rFonts w:ascii="Times New Roman" w:hAnsi="Times New Roman" w:cs="Times New Roman"/>
          <w:i/>
          <w:sz w:val="24"/>
          <w:szCs w:val="24"/>
        </w:rPr>
        <w:t xml:space="preserve"> los</w:t>
      </w:r>
      <w:r w:rsidRPr="004511A3">
        <w:rPr>
          <w:rFonts w:ascii="Times New Roman" w:hAnsi="Times New Roman" w:cs="Times New Roman"/>
          <w:i/>
          <w:sz w:val="24"/>
          <w:szCs w:val="24"/>
        </w:rPr>
        <w:t xml:space="preserve"> dos artículos precedentes se aplicarán las reglas generales del procedimiento sumario,”</w:t>
      </w:r>
    </w:p>
    <w:p w:rsidR="00A23D10" w:rsidRDefault="00A23D10" w:rsidP="00051DF5">
      <w:pPr>
        <w:pStyle w:val="Textosinformato"/>
        <w:spacing w:line="360" w:lineRule="auto"/>
        <w:rPr>
          <w:rFonts w:ascii="Times New Roman" w:hAnsi="Times New Roman" w:cs="Times New Roman"/>
          <w:i/>
          <w:sz w:val="24"/>
          <w:szCs w:val="24"/>
        </w:rPr>
      </w:pPr>
    </w:p>
    <w:p w:rsidR="00A23D10" w:rsidRDefault="00A23D10" w:rsidP="00F14610">
      <w:pPr>
        <w:pStyle w:val="Textosinformato"/>
        <w:spacing w:line="360" w:lineRule="auto"/>
        <w:rPr>
          <w:rFonts w:ascii="Times New Roman" w:hAnsi="Times New Roman" w:cs="Times New Roman"/>
          <w:i/>
          <w:sz w:val="24"/>
          <w:szCs w:val="24"/>
        </w:rPr>
      </w:pPr>
      <w:r w:rsidRPr="00A23D10">
        <w:rPr>
          <w:rFonts w:ascii="Times New Roman" w:hAnsi="Times New Roman" w:cs="Times New Roman"/>
          <w:b/>
          <w:sz w:val="24"/>
          <w:szCs w:val="24"/>
        </w:rPr>
        <w:t>ARTÍCULO CUARTO:</w:t>
      </w:r>
      <w:r>
        <w:rPr>
          <w:rFonts w:ascii="Times New Roman" w:hAnsi="Times New Roman" w:cs="Times New Roman"/>
          <w:b/>
          <w:sz w:val="24"/>
          <w:szCs w:val="24"/>
        </w:rPr>
        <w:t xml:space="preserve"> </w:t>
      </w:r>
      <w:r>
        <w:rPr>
          <w:rFonts w:ascii="Times New Roman" w:hAnsi="Times New Roman" w:cs="Times New Roman"/>
          <w:i/>
          <w:sz w:val="24"/>
          <w:szCs w:val="24"/>
        </w:rPr>
        <w:t xml:space="preserve"> </w:t>
      </w:r>
    </w:p>
    <w:p w:rsidR="0058032A" w:rsidRPr="002B52F5" w:rsidRDefault="004D4C48" w:rsidP="00051DF5">
      <w:pPr>
        <w:pStyle w:val="Textosinformato"/>
        <w:spacing w:line="360" w:lineRule="auto"/>
        <w:rPr>
          <w:rFonts w:ascii="Times New Roman" w:hAnsi="Times New Roman" w:cs="Times New Roman"/>
          <w:i/>
          <w:sz w:val="24"/>
          <w:szCs w:val="24"/>
        </w:rPr>
      </w:pPr>
      <w:r>
        <w:rPr>
          <w:rFonts w:ascii="Times New Roman" w:hAnsi="Times New Roman" w:cs="Times New Roman"/>
          <w:i/>
          <w:sz w:val="24"/>
          <w:szCs w:val="24"/>
        </w:rPr>
        <w:t>“</w:t>
      </w:r>
      <w:r w:rsidR="0058032A" w:rsidRPr="00A23D10">
        <w:rPr>
          <w:rFonts w:ascii="Times New Roman" w:hAnsi="Times New Roman" w:cs="Times New Roman"/>
          <w:i/>
          <w:sz w:val="24"/>
          <w:szCs w:val="24"/>
        </w:rPr>
        <w:t>Artículo único transitorio:</w:t>
      </w:r>
      <w:r w:rsidR="0058032A" w:rsidRPr="002B52F5">
        <w:rPr>
          <w:rFonts w:ascii="Times New Roman" w:hAnsi="Times New Roman" w:cs="Times New Roman"/>
          <w:i/>
          <w:sz w:val="24"/>
          <w:szCs w:val="24"/>
        </w:rPr>
        <w:t xml:space="preserve"> </w:t>
      </w:r>
      <w:r>
        <w:rPr>
          <w:rFonts w:ascii="Times New Roman" w:hAnsi="Times New Roman" w:cs="Times New Roman"/>
          <w:i/>
          <w:sz w:val="24"/>
          <w:szCs w:val="24"/>
        </w:rPr>
        <w:t>Los herederos y causahabientes de</w:t>
      </w:r>
      <w:r w:rsidR="0058032A" w:rsidRPr="002B52F5">
        <w:rPr>
          <w:rFonts w:ascii="Times New Roman" w:hAnsi="Times New Roman" w:cs="Times New Roman"/>
          <w:i/>
          <w:sz w:val="24"/>
          <w:szCs w:val="24"/>
        </w:rPr>
        <w:t xml:space="preserve"> sucesiones hereditarias con decreto de posesión efectiva intestada cuya fecha</w:t>
      </w:r>
      <w:r>
        <w:rPr>
          <w:rFonts w:ascii="Times New Roman" w:hAnsi="Times New Roman" w:cs="Times New Roman"/>
          <w:i/>
          <w:sz w:val="24"/>
          <w:szCs w:val="24"/>
        </w:rPr>
        <w:t xml:space="preserve"> de apertura sea anterior a la entrada en vigencia de esta</w:t>
      </w:r>
      <w:r w:rsidR="0058032A" w:rsidRPr="002B52F5">
        <w:rPr>
          <w:rFonts w:ascii="Times New Roman" w:hAnsi="Times New Roman" w:cs="Times New Roman"/>
          <w:i/>
          <w:sz w:val="24"/>
          <w:szCs w:val="24"/>
        </w:rPr>
        <w:t xml:space="preserve"> ley, podrán solicitar la correspondiente </w:t>
      </w:r>
      <w:r>
        <w:rPr>
          <w:rFonts w:ascii="Times New Roman" w:hAnsi="Times New Roman" w:cs="Times New Roman"/>
          <w:i/>
          <w:sz w:val="24"/>
          <w:szCs w:val="24"/>
        </w:rPr>
        <w:t xml:space="preserve">partición ante el juez civil </w:t>
      </w:r>
      <w:r w:rsidR="0058032A" w:rsidRPr="002B52F5">
        <w:rPr>
          <w:rFonts w:ascii="Times New Roman" w:hAnsi="Times New Roman" w:cs="Times New Roman"/>
          <w:i/>
          <w:sz w:val="24"/>
          <w:szCs w:val="24"/>
        </w:rPr>
        <w:t xml:space="preserve">en el plazo de </w:t>
      </w:r>
      <w:r w:rsidR="0037288E">
        <w:rPr>
          <w:rFonts w:ascii="Times New Roman" w:hAnsi="Times New Roman" w:cs="Times New Roman"/>
          <w:i/>
          <w:sz w:val="24"/>
          <w:szCs w:val="24"/>
        </w:rPr>
        <w:t xml:space="preserve">cinco </w:t>
      </w:r>
      <w:r w:rsidR="0058032A" w:rsidRPr="002B52F5">
        <w:rPr>
          <w:rFonts w:ascii="Times New Roman" w:hAnsi="Times New Roman" w:cs="Times New Roman"/>
          <w:i/>
          <w:sz w:val="24"/>
          <w:szCs w:val="24"/>
        </w:rPr>
        <w:t xml:space="preserve">años </w:t>
      </w:r>
      <w:r>
        <w:rPr>
          <w:rFonts w:ascii="Times New Roman" w:hAnsi="Times New Roman" w:cs="Times New Roman"/>
          <w:i/>
          <w:sz w:val="24"/>
          <w:szCs w:val="24"/>
        </w:rPr>
        <w:t xml:space="preserve">contados </w:t>
      </w:r>
      <w:r w:rsidR="0058032A" w:rsidRPr="002B52F5">
        <w:rPr>
          <w:rFonts w:ascii="Times New Roman" w:hAnsi="Times New Roman" w:cs="Times New Roman"/>
          <w:i/>
          <w:sz w:val="24"/>
          <w:szCs w:val="24"/>
        </w:rPr>
        <w:t>desde la</w:t>
      </w:r>
      <w:r>
        <w:rPr>
          <w:rFonts w:ascii="Times New Roman" w:hAnsi="Times New Roman" w:cs="Times New Roman"/>
          <w:i/>
          <w:sz w:val="24"/>
          <w:szCs w:val="24"/>
        </w:rPr>
        <w:t xml:space="preserve"> fecha de</w:t>
      </w:r>
      <w:r w:rsidR="0058032A" w:rsidRPr="002B52F5">
        <w:rPr>
          <w:rFonts w:ascii="Times New Roman" w:hAnsi="Times New Roman" w:cs="Times New Roman"/>
          <w:i/>
          <w:sz w:val="24"/>
          <w:szCs w:val="24"/>
        </w:rPr>
        <w:t xml:space="preserve"> entrada en vigencia."</w:t>
      </w:r>
    </w:p>
    <w:p w:rsidR="0058032A" w:rsidRDefault="0058032A" w:rsidP="00051DF5">
      <w:pPr>
        <w:pStyle w:val="Textosinformato"/>
        <w:spacing w:line="360" w:lineRule="auto"/>
        <w:rPr>
          <w:rFonts w:ascii="Times New Roman" w:hAnsi="Times New Roman" w:cs="Times New Roman"/>
          <w:i/>
          <w:sz w:val="24"/>
          <w:szCs w:val="24"/>
        </w:rPr>
      </w:pPr>
    </w:p>
    <w:p w:rsidR="00F746E4" w:rsidRDefault="00F746E4" w:rsidP="00051DF5">
      <w:pPr>
        <w:pStyle w:val="Textosinformato"/>
        <w:spacing w:line="360" w:lineRule="auto"/>
        <w:rPr>
          <w:rFonts w:ascii="Times New Roman" w:hAnsi="Times New Roman" w:cs="Times New Roman"/>
          <w:i/>
          <w:sz w:val="24"/>
          <w:szCs w:val="24"/>
        </w:rPr>
      </w:pPr>
    </w:p>
    <w:p w:rsidR="00F746E4" w:rsidRDefault="00F746E4" w:rsidP="00F746E4">
      <w:pPr>
        <w:pStyle w:val="Textosinformato"/>
        <w:spacing w:line="360" w:lineRule="auto"/>
        <w:jc w:val="center"/>
        <w:rPr>
          <w:rFonts w:ascii="Times New Roman" w:hAnsi="Times New Roman" w:cs="Times New Roman"/>
          <w:sz w:val="24"/>
          <w:szCs w:val="24"/>
        </w:rPr>
      </w:pPr>
    </w:p>
    <w:p w:rsidR="00F746E4" w:rsidRDefault="00F746E4" w:rsidP="00F746E4">
      <w:pPr>
        <w:pStyle w:val="Textosinformato"/>
        <w:spacing w:line="360" w:lineRule="auto"/>
        <w:jc w:val="center"/>
        <w:rPr>
          <w:rFonts w:ascii="Times New Roman" w:hAnsi="Times New Roman" w:cs="Times New Roman"/>
          <w:sz w:val="24"/>
          <w:szCs w:val="24"/>
        </w:rPr>
      </w:pPr>
    </w:p>
    <w:p w:rsidR="00F746E4" w:rsidRDefault="00F746E4" w:rsidP="00F746E4">
      <w:pPr>
        <w:pStyle w:val="Textosinformato"/>
        <w:spacing w:line="360" w:lineRule="auto"/>
        <w:jc w:val="center"/>
        <w:rPr>
          <w:rFonts w:ascii="Times New Roman" w:hAnsi="Times New Roman" w:cs="Times New Roman"/>
          <w:sz w:val="24"/>
          <w:szCs w:val="24"/>
        </w:rPr>
      </w:pPr>
    </w:p>
    <w:p w:rsidR="00F746E4" w:rsidRDefault="00F746E4" w:rsidP="00F746E4">
      <w:pPr>
        <w:pStyle w:val="Textosinformato"/>
        <w:spacing w:line="360" w:lineRule="auto"/>
        <w:jc w:val="center"/>
        <w:rPr>
          <w:rFonts w:ascii="Times New Roman" w:hAnsi="Times New Roman" w:cs="Times New Roman"/>
          <w:sz w:val="24"/>
          <w:szCs w:val="24"/>
        </w:rPr>
      </w:pPr>
    </w:p>
    <w:p w:rsidR="00F746E4" w:rsidRPr="00F746E4" w:rsidRDefault="00F746E4" w:rsidP="00514D2E">
      <w:pPr>
        <w:pStyle w:val="Textosinformato"/>
        <w:spacing w:line="360" w:lineRule="auto"/>
        <w:rPr>
          <w:rFonts w:ascii="Times New Roman" w:hAnsi="Times New Roman" w:cs="Times New Roman"/>
          <w:sz w:val="24"/>
          <w:szCs w:val="24"/>
        </w:rPr>
      </w:pPr>
    </w:p>
    <w:p w:rsidR="00F746E4" w:rsidRPr="00F746E4" w:rsidRDefault="00F746E4" w:rsidP="00F746E4">
      <w:pPr>
        <w:pStyle w:val="Textosinformato"/>
        <w:spacing w:line="360" w:lineRule="auto"/>
        <w:jc w:val="center"/>
        <w:rPr>
          <w:rFonts w:ascii="Times New Roman" w:hAnsi="Times New Roman" w:cs="Times New Roman"/>
          <w:b/>
          <w:sz w:val="24"/>
          <w:szCs w:val="24"/>
        </w:rPr>
      </w:pPr>
      <w:r w:rsidRPr="00F746E4">
        <w:rPr>
          <w:rFonts w:ascii="Times New Roman" w:hAnsi="Times New Roman" w:cs="Times New Roman"/>
          <w:b/>
          <w:sz w:val="24"/>
          <w:szCs w:val="24"/>
        </w:rPr>
        <w:t>ERIKA OLIVERA DE LA FUENTE</w:t>
      </w:r>
    </w:p>
    <w:p w:rsidR="00F746E4" w:rsidRPr="00F746E4" w:rsidRDefault="00F746E4" w:rsidP="00F746E4">
      <w:pPr>
        <w:pStyle w:val="Textosinformato"/>
        <w:spacing w:line="360" w:lineRule="auto"/>
        <w:jc w:val="center"/>
        <w:rPr>
          <w:rFonts w:ascii="Times New Roman" w:hAnsi="Times New Roman" w:cs="Times New Roman"/>
          <w:sz w:val="24"/>
          <w:szCs w:val="24"/>
        </w:rPr>
      </w:pPr>
      <w:r w:rsidRPr="00F746E4">
        <w:rPr>
          <w:rFonts w:ascii="Times New Roman" w:hAnsi="Times New Roman" w:cs="Times New Roman"/>
          <w:sz w:val="24"/>
          <w:szCs w:val="24"/>
        </w:rPr>
        <w:t>H. Diputada</w:t>
      </w:r>
    </w:p>
    <w:p w:rsidR="0058032A" w:rsidRPr="002B52F5" w:rsidRDefault="0058032A" w:rsidP="00051DF5">
      <w:pPr>
        <w:spacing w:line="360" w:lineRule="auto"/>
        <w:jc w:val="both"/>
        <w:rPr>
          <w:rFonts w:ascii="Times New Roman" w:hAnsi="Times New Roman" w:cs="Times New Roman"/>
          <w:i/>
        </w:rPr>
      </w:pPr>
    </w:p>
    <w:sectPr w:rsidR="0058032A" w:rsidRPr="002B52F5" w:rsidSect="00703B60">
      <w:footerReference w:type="even" r:id="rId7"/>
      <w:footerReference w:type="default" r:id="rId8"/>
      <w:pgSz w:w="12240" w:h="15840"/>
      <w:pgMar w:top="1418"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3F2" w:rsidRDefault="00EF73F2" w:rsidP="0058032A">
      <w:r>
        <w:separator/>
      </w:r>
    </w:p>
  </w:endnote>
  <w:endnote w:type="continuationSeparator" w:id="0">
    <w:p w:rsidR="00EF73F2" w:rsidRDefault="00EF73F2" w:rsidP="0058032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8D" w:rsidRDefault="00C81817" w:rsidP="002B52F5">
    <w:pPr>
      <w:pStyle w:val="Piedepgina"/>
      <w:framePr w:wrap="around" w:vAnchor="text" w:hAnchor="margin" w:xAlign="right" w:y="1"/>
      <w:rPr>
        <w:rStyle w:val="Nmerodepgina"/>
      </w:rPr>
    </w:pPr>
    <w:r>
      <w:rPr>
        <w:rStyle w:val="Nmerodepgina"/>
      </w:rPr>
      <w:fldChar w:fldCharType="begin"/>
    </w:r>
    <w:r w:rsidR="00A1738D">
      <w:rPr>
        <w:rStyle w:val="Nmerodepgina"/>
      </w:rPr>
      <w:instrText xml:space="preserve">PAGE  </w:instrText>
    </w:r>
    <w:r>
      <w:rPr>
        <w:rStyle w:val="Nmerodepgina"/>
      </w:rPr>
      <w:fldChar w:fldCharType="end"/>
    </w:r>
  </w:p>
  <w:p w:rsidR="00A1738D" w:rsidRDefault="00A1738D" w:rsidP="002B52F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8D" w:rsidRDefault="00C81817" w:rsidP="002B52F5">
    <w:pPr>
      <w:pStyle w:val="Piedepgina"/>
      <w:framePr w:wrap="around" w:vAnchor="text" w:hAnchor="margin" w:xAlign="right" w:y="1"/>
      <w:rPr>
        <w:rStyle w:val="Nmerodepgina"/>
      </w:rPr>
    </w:pPr>
    <w:r>
      <w:rPr>
        <w:rStyle w:val="Nmerodepgina"/>
      </w:rPr>
      <w:fldChar w:fldCharType="begin"/>
    </w:r>
    <w:r w:rsidR="00A1738D">
      <w:rPr>
        <w:rStyle w:val="Nmerodepgina"/>
      </w:rPr>
      <w:instrText xml:space="preserve">PAGE  </w:instrText>
    </w:r>
    <w:r>
      <w:rPr>
        <w:rStyle w:val="Nmerodepgina"/>
      </w:rPr>
      <w:fldChar w:fldCharType="separate"/>
    </w:r>
    <w:r w:rsidR="00703B60">
      <w:rPr>
        <w:rStyle w:val="Nmerodepgina"/>
        <w:noProof/>
      </w:rPr>
      <w:t>1</w:t>
    </w:r>
    <w:r>
      <w:rPr>
        <w:rStyle w:val="Nmerodepgina"/>
      </w:rPr>
      <w:fldChar w:fldCharType="end"/>
    </w:r>
  </w:p>
  <w:p w:rsidR="00A1738D" w:rsidRDefault="00A1738D" w:rsidP="002B52F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3F2" w:rsidRDefault="00EF73F2" w:rsidP="0058032A">
      <w:r>
        <w:separator/>
      </w:r>
    </w:p>
  </w:footnote>
  <w:footnote w:type="continuationSeparator" w:id="0">
    <w:p w:rsidR="00EF73F2" w:rsidRDefault="00EF73F2" w:rsidP="005803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3018A"/>
    <w:rsid w:val="0003361F"/>
    <w:rsid w:val="00051DF5"/>
    <w:rsid w:val="000C4D21"/>
    <w:rsid w:val="002B52F5"/>
    <w:rsid w:val="002D2699"/>
    <w:rsid w:val="003109AF"/>
    <w:rsid w:val="00355D19"/>
    <w:rsid w:val="0037288E"/>
    <w:rsid w:val="004511A3"/>
    <w:rsid w:val="004D4C48"/>
    <w:rsid w:val="00514D2E"/>
    <w:rsid w:val="0058032A"/>
    <w:rsid w:val="0063018A"/>
    <w:rsid w:val="00703B60"/>
    <w:rsid w:val="00862380"/>
    <w:rsid w:val="008B0978"/>
    <w:rsid w:val="008C15E0"/>
    <w:rsid w:val="00A1738D"/>
    <w:rsid w:val="00A2208F"/>
    <w:rsid w:val="00A23D10"/>
    <w:rsid w:val="00AC5C5C"/>
    <w:rsid w:val="00B42D3F"/>
    <w:rsid w:val="00C755CB"/>
    <w:rsid w:val="00C81817"/>
    <w:rsid w:val="00D07D8D"/>
    <w:rsid w:val="00D10A8B"/>
    <w:rsid w:val="00DD1418"/>
    <w:rsid w:val="00EF73F2"/>
    <w:rsid w:val="00F14610"/>
    <w:rsid w:val="00F24BFD"/>
    <w:rsid w:val="00F73A2C"/>
    <w:rsid w:val="00F746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17"/>
  </w:style>
  <w:style w:type="paragraph" w:styleId="Ttulo1">
    <w:name w:val="heading 1"/>
    <w:basedOn w:val="Normal"/>
    <w:next w:val="Normal"/>
    <w:link w:val="Ttulo1Car"/>
    <w:qFormat/>
    <w:rsid w:val="0058032A"/>
    <w:pPr>
      <w:keepNext/>
      <w:jc w:val="right"/>
      <w:outlineLvl w:val="0"/>
    </w:pPr>
    <w:rPr>
      <w:rFonts w:ascii="Times New Roman" w:eastAsia="Times New Roman" w:hAnsi="Times New Roman" w:cs="Times New Roman"/>
      <w:sz w:val="2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032A"/>
    <w:rPr>
      <w:rFonts w:ascii="Times New Roman" w:eastAsia="Times New Roman" w:hAnsi="Times New Roman" w:cs="Times New Roman"/>
      <w:sz w:val="28"/>
      <w:szCs w:val="20"/>
      <w:lang w:val="es-ES"/>
    </w:rPr>
  </w:style>
  <w:style w:type="paragraph" w:styleId="Textosinformato">
    <w:name w:val="Plain Text"/>
    <w:basedOn w:val="Normal"/>
    <w:link w:val="TextosinformatoCar"/>
    <w:uiPriority w:val="99"/>
    <w:unhideWhenUsed/>
    <w:rsid w:val="0058032A"/>
    <w:pPr>
      <w:jc w:val="both"/>
    </w:pPr>
    <w:rPr>
      <w:rFonts w:ascii="Consolas" w:eastAsia="Calibri" w:hAnsi="Consolas" w:cs="Consolas"/>
      <w:color w:val="000000"/>
      <w:sz w:val="21"/>
      <w:szCs w:val="21"/>
      <w:lang w:eastAsia="en-US"/>
    </w:rPr>
  </w:style>
  <w:style w:type="character" w:customStyle="1" w:styleId="TextosinformatoCar">
    <w:name w:val="Texto sin formato Car"/>
    <w:basedOn w:val="Fuentedeprrafopredeter"/>
    <w:link w:val="Textosinformato"/>
    <w:uiPriority w:val="99"/>
    <w:rsid w:val="0058032A"/>
    <w:rPr>
      <w:rFonts w:ascii="Consolas" w:eastAsia="Calibri" w:hAnsi="Consolas" w:cs="Consolas"/>
      <w:color w:val="000000"/>
      <w:sz w:val="21"/>
      <w:szCs w:val="21"/>
      <w:lang w:eastAsia="en-US"/>
    </w:rPr>
  </w:style>
  <w:style w:type="paragraph" w:styleId="Textonotapie">
    <w:name w:val="footnote text"/>
    <w:basedOn w:val="Normal"/>
    <w:link w:val="TextonotapieCar"/>
    <w:uiPriority w:val="99"/>
    <w:semiHidden/>
    <w:unhideWhenUsed/>
    <w:rsid w:val="0058032A"/>
    <w:pPr>
      <w:jc w:val="both"/>
    </w:pPr>
    <w:rPr>
      <w:rFonts w:ascii="Times New Roman" w:eastAsia="Calibri" w:hAnsi="Times New Roman" w:cs="Times New Roman"/>
      <w:color w:val="000000"/>
      <w:sz w:val="20"/>
      <w:szCs w:val="20"/>
      <w:lang w:eastAsia="en-US"/>
    </w:rPr>
  </w:style>
  <w:style w:type="character" w:customStyle="1" w:styleId="TextonotapieCar">
    <w:name w:val="Texto nota pie Car"/>
    <w:basedOn w:val="Fuentedeprrafopredeter"/>
    <w:link w:val="Textonotapie"/>
    <w:uiPriority w:val="99"/>
    <w:semiHidden/>
    <w:rsid w:val="0058032A"/>
    <w:rPr>
      <w:rFonts w:ascii="Times New Roman" w:eastAsia="Calibri" w:hAnsi="Times New Roman" w:cs="Times New Roman"/>
      <w:color w:val="000000"/>
      <w:sz w:val="20"/>
      <w:szCs w:val="20"/>
      <w:lang w:eastAsia="en-US"/>
    </w:rPr>
  </w:style>
  <w:style w:type="character" w:styleId="Refdenotaalpie">
    <w:name w:val="footnote reference"/>
    <w:uiPriority w:val="99"/>
    <w:semiHidden/>
    <w:unhideWhenUsed/>
    <w:rsid w:val="0058032A"/>
    <w:rPr>
      <w:vertAlign w:val="superscript"/>
    </w:rPr>
  </w:style>
  <w:style w:type="character" w:styleId="Refdecomentario">
    <w:name w:val="annotation reference"/>
    <w:basedOn w:val="Fuentedeprrafopredeter"/>
    <w:uiPriority w:val="99"/>
    <w:semiHidden/>
    <w:unhideWhenUsed/>
    <w:rsid w:val="000C4D21"/>
    <w:rPr>
      <w:sz w:val="18"/>
      <w:szCs w:val="18"/>
    </w:rPr>
  </w:style>
  <w:style w:type="paragraph" w:styleId="Textocomentario">
    <w:name w:val="annotation text"/>
    <w:basedOn w:val="Normal"/>
    <w:link w:val="TextocomentarioCar"/>
    <w:uiPriority w:val="99"/>
    <w:semiHidden/>
    <w:unhideWhenUsed/>
    <w:rsid w:val="000C4D21"/>
  </w:style>
  <w:style w:type="character" w:customStyle="1" w:styleId="TextocomentarioCar">
    <w:name w:val="Texto comentario Car"/>
    <w:basedOn w:val="Fuentedeprrafopredeter"/>
    <w:link w:val="Textocomentario"/>
    <w:uiPriority w:val="99"/>
    <w:semiHidden/>
    <w:rsid w:val="000C4D21"/>
  </w:style>
  <w:style w:type="paragraph" w:styleId="Asuntodelcomentario">
    <w:name w:val="annotation subject"/>
    <w:basedOn w:val="Textocomentario"/>
    <w:next w:val="Textocomentario"/>
    <w:link w:val="AsuntodelcomentarioCar"/>
    <w:uiPriority w:val="99"/>
    <w:semiHidden/>
    <w:unhideWhenUsed/>
    <w:rsid w:val="000C4D21"/>
    <w:rPr>
      <w:b/>
      <w:bCs/>
      <w:sz w:val="20"/>
      <w:szCs w:val="20"/>
    </w:rPr>
  </w:style>
  <w:style w:type="character" w:customStyle="1" w:styleId="AsuntodelcomentarioCar">
    <w:name w:val="Asunto del comentario Car"/>
    <w:basedOn w:val="TextocomentarioCar"/>
    <w:link w:val="Asuntodelcomentario"/>
    <w:uiPriority w:val="99"/>
    <w:semiHidden/>
    <w:rsid w:val="000C4D21"/>
    <w:rPr>
      <w:b/>
      <w:bCs/>
      <w:sz w:val="20"/>
      <w:szCs w:val="20"/>
    </w:rPr>
  </w:style>
  <w:style w:type="paragraph" w:styleId="Textodeglobo">
    <w:name w:val="Balloon Text"/>
    <w:basedOn w:val="Normal"/>
    <w:link w:val="TextodegloboCar"/>
    <w:uiPriority w:val="99"/>
    <w:semiHidden/>
    <w:unhideWhenUsed/>
    <w:rsid w:val="000C4D2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C4D21"/>
    <w:rPr>
      <w:rFonts w:ascii="Lucida Grande" w:hAnsi="Lucida Grande" w:cs="Lucida Grande"/>
      <w:sz w:val="18"/>
      <w:szCs w:val="18"/>
    </w:rPr>
  </w:style>
  <w:style w:type="paragraph" w:styleId="Piedepgina">
    <w:name w:val="footer"/>
    <w:basedOn w:val="Normal"/>
    <w:link w:val="PiedepginaCar"/>
    <w:uiPriority w:val="99"/>
    <w:unhideWhenUsed/>
    <w:rsid w:val="002B52F5"/>
    <w:pPr>
      <w:tabs>
        <w:tab w:val="center" w:pos="4252"/>
        <w:tab w:val="right" w:pos="8504"/>
      </w:tabs>
    </w:pPr>
  </w:style>
  <w:style w:type="character" w:customStyle="1" w:styleId="PiedepginaCar">
    <w:name w:val="Pie de página Car"/>
    <w:basedOn w:val="Fuentedeprrafopredeter"/>
    <w:link w:val="Piedepgina"/>
    <w:uiPriority w:val="99"/>
    <w:rsid w:val="002B52F5"/>
  </w:style>
  <w:style w:type="character" w:styleId="Nmerodepgina">
    <w:name w:val="page number"/>
    <w:basedOn w:val="Fuentedeprrafopredeter"/>
    <w:uiPriority w:val="99"/>
    <w:semiHidden/>
    <w:unhideWhenUsed/>
    <w:rsid w:val="002B52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8032A"/>
    <w:pPr>
      <w:keepNext/>
      <w:jc w:val="right"/>
      <w:outlineLvl w:val="0"/>
    </w:pPr>
    <w:rPr>
      <w:rFonts w:ascii="Times New Roman" w:eastAsia="Times New Roman" w:hAnsi="Times New Roman" w:cs="Times New Roman"/>
      <w:sz w:val="2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032A"/>
    <w:rPr>
      <w:rFonts w:ascii="Times New Roman" w:eastAsia="Times New Roman" w:hAnsi="Times New Roman" w:cs="Times New Roman"/>
      <w:sz w:val="28"/>
      <w:szCs w:val="20"/>
      <w:lang w:val="es-ES"/>
    </w:rPr>
  </w:style>
  <w:style w:type="paragraph" w:styleId="Textosinformato">
    <w:name w:val="Plain Text"/>
    <w:basedOn w:val="Normal"/>
    <w:link w:val="TextosinformatoCar"/>
    <w:uiPriority w:val="99"/>
    <w:unhideWhenUsed/>
    <w:rsid w:val="0058032A"/>
    <w:pPr>
      <w:jc w:val="both"/>
    </w:pPr>
    <w:rPr>
      <w:rFonts w:ascii="Consolas" w:eastAsia="Calibri" w:hAnsi="Consolas" w:cs="Consolas"/>
      <w:color w:val="000000"/>
      <w:sz w:val="21"/>
      <w:szCs w:val="21"/>
      <w:lang w:eastAsia="en-US"/>
    </w:rPr>
  </w:style>
  <w:style w:type="character" w:customStyle="1" w:styleId="TextosinformatoCar">
    <w:name w:val="Texto sin formato Car"/>
    <w:basedOn w:val="Fuentedeprrafopredeter"/>
    <w:link w:val="Textosinformato"/>
    <w:uiPriority w:val="99"/>
    <w:rsid w:val="0058032A"/>
    <w:rPr>
      <w:rFonts w:ascii="Consolas" w:eastAsia="Calibri" w:hAnsi="Consolas" w:cs="Consolas"/>
      <w:color w:val="000000"/>
      <w:sz w:val="21"/>
      <w:szCs w:val="21"/>
      <w:lang w:eastAsia="en-US"/>
    </w:rPr>
  </w:style>
  <w:style w:type="paragraph" w:styleId="Textonotapie">
    <w:name w:val="footnote text"/>
    <w:basedOn w:val="Normal"/>
    <w:link w:val="TextonotapieCar"/>
    <w:uiPriority w:val="99"/>
    <w:semiHidden/>
    <w:unhideWhenUsed/>
    <w:rsid w:val="0058032A"/>
    <w:pPr>
      <w:jc w:val="both"/>
    </w:pPr>
    <w:rPr>
      <w:rFonts w:ascii="Times New Roman" w:eastAsia="Calibri" w:hAnsi="Times New Roman" w:cs="Times New Roman"/>
      <w:color w:val="000000"/>
      <w:sz w:val="20"/>
      <w:szCs w:val="20"/>
      <w:lang w:eastAsia="en-US"/>
    </w:rPr>
  </w:style>
  <w:style w:type="character" w:customStyle="1" w:styleId="TextonotapieCar">
    <w:name w:val="Texto nota pie Car"/>
    <w:basedOn w:val="Fuentedeprrafopredeter"/>
    <w:link w:val="Textonotapie"/>
    <w:uiPriority w:val="99"/>
    <w:semiHidden/>
    <w:rsid w:val="0058032A"/>
    <w:rPr>
      <w:rFonts w:ascii="Times New Roman" w:eastAsia="Calibri" w:hAnsi="Times New Roman" w:cs="Times New Roman"/>
      <w:color w:val="000000"/>
      <w:sz w:val="20"/>
      <w:szCs w:val="20"/>
      <w:lang w:eastAsia="en-US"/>
    </w:rPr>
  </w:style>
  <w:style w:type="character" w:styleId="Refdenotaalpie">
    <w:name w:val="footnote reference"/>
    <w:uiPriority w:val="99"/>
    <w:semiHidden/>
    <w:unhideWhenUsed/>
    <w:rsid w:val="0058032A"/>
    <w:rPr>
      <w:vertAlign w:val="superscript"/>
    </w:rPr>
  </w:style>
  <w:style w:type="character" w:styleId="Refdecomentario">
    <w:name w:val="annotation reference"/>
    <w:basedOn w:val="Fuentedeprrafopredeter"/>
    <w:uiPriority w:val="99"/>
    <w:semiHidden/>
    <w:unhideWhenUsed/>
    <w:rsid w:val="000C4D21"/>
    <w:rPr>
      <w:sz w:val="18"/>
      <w:szCs w:val="18"/>
    </w:rPr>
  </w:style>
  <w:style w:type="paragraph" w:styleId="Textocomentario">
    <w:name w:val="annotation text"/>
    <w:basedOn w:val="Normal"/>
    <w:link w:val="TextocomentarioCar"/>
    <w:uiPriority w:val="99"/>
    <w:semiHidden/>
    <w:unhideWhenUsed/>
    <w:rsid w:val="000C4D21"/>
  </w:style>
  <w:style w:type="character" w:customStyle="1" w:styleId="TextocomentarioCar">
    <w:name w:val="Texto comentario Car"/>
    <w:basedOn w:val="Fuentedeprrafopredeter"/>
    <w:link w:val="Textocomentario"/>
    <w:uiPriority w:val="99"/>
    <w:semiHidden/>
    <w:rsid w:val="000C4D21"/>
  </w:style>
  <w:style w:type="paragraph" w:styleId="Asuntodelcomentario">
    <w:name w:val="annotation subject"/>
    <w:basedOn w:val="Textocomentario"/>
    <w:next w:val="Textocomentario"/>
    <w:link w:val="AsuntodelcomentarioCar"/>
    <w:uiPriority w:val="99"/>
    <w:semiHidden/>
    <w:unhideWhenUsed/>
    <w:rsid w:val="000C4D21"/>
    <w:rPr>
      <w:b/>
      <w:bCs/>
      <w:sz w:val="20"/>
      <w:szCs w:val="20"/>
    </w:rPr>
  </w:style>
  <w:style w:type="character" w:customStyle="1" w:styleId="AsuntodelcomentarioCar">
    <w:name w:val="Asunto del comentario Car"/>
    <w:basedOn w:val="TextocomentarioCar"/>
    <w:link w:val="Asuntodelcomentario"/>
    <w:uiPriority w:val="99"/>
    <w:semiHidden/>
    <w:rsid w:val="000C4D21"/>
    <w:rPr>
      <w:b/>
      <w:bCs/>
      <w:sz w:val="20"/>
      <w:szCs w:val="20"/>
    </w:rPr>
  </w:style>
  <w:style w:type="paragraph" w:styleId="Textodeglobo">
    <w:name w:val="Balloon Text"/>
    <w:basedOn w:val="Normal"/>
    <w:link w:val="TextodegloboCar"/>
    <w:uiPriority w:val="99"/>
    <w:semiHidden/>
    <w:unhideWhenUsed/>
    <w:rsid w:val="000C4D2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C4D21"/>
    <w:rPr>
      <w:rFonts w:ascii="Lucida Grande" w:hAnsi="Lucida Grande" w:cs="Lucida Grande"/>
      <w:sz w:val="18"/>
      <w:szCs w:val="18"/>
    </w:rPr>
  </w:style>
  <w:style w:type="paragraph" w:styleId="Piedepgina">
    <w:name w:val="footer"/>
    <w:basedOn w:val="Normal"/>
    <w:link w:val="PiedepginaCar"/>
    <w:uiPriority w:val="99"/>
    <w:unhideWhenUsed/>
    <w:rsid w:val="002B52F5"/>
    <w:pPr>
      <w:tabs>
        <w:tab w:val="center" w:pos="4252"/>
        <w:tab w:val="right" w:pos="8504"/>
      </w:tabs>
    </w:pPr>
  </w:style>
  <w:style w:type="character" w:customStyle="1" w:styleId="PiedepginaCar">
    <w:name w:val="Pie de página Car"/>
    <w:basedOn w:val="Fuentedeprrafopredeter"/>
    <w:link w:val="Piedepgina"/>
    <w:uiPriority w:val="99"/>
    <w:rsid w:val="002B52F5"/>
  </w:style>
  <w:style w:type="character" w:styleId="Nmerodepgina">
    <w:name w:val="page number"/>
    <w:basedOn w:val="Fuentedeprrafopredeter"/>
    <w:uiPriority w:val="99"/>
    <w:semiHidden/>
    <w:unhideWhenUsed/>
    <w:rsid w:val="002B52F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D4C47-B356-4D6A-967A-00E4EA64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2012</Words>
  <Characters>11071</Characters>
  <Application>Microsoft Office Word</Application>
  <DocSecurity>0</DocSecurity>
  <Lines>92</Lines>
  <Paragraphs>26</Paragraphs>
  <ScaleCrop>false</ScaleCrop>
  <Company>Eduardo Faúndez</Company>
  <LinksUpToDate>false</LinksUpToDate>
  <CharactersWithSpaces>13057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Faúndez</dc:creator>
  <cp:keywords/>
  <dc:description/>
  <cp:lastModifiedBy>Guillermo Diaz Vallejos</cp:lastModifiedBy>
  <cp:revision>5</cp:revision>
  <dcterms:created xsi:type="dcterms:W3CDTF">2019-05-07T16:18:00Z</dcterms:created>
  <dcterms:modified xsi:type="dcterms:W3CDTF">2019-06-11T17:57:00Z</dcterms:modified>
</cp:coreProperties>
</file>