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761E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1.5pt;width:80.1pt;height:79.35pt;z-index:1;mso-wrap-distance-left:0;mso-wrap-distance-right:0" filled="t">
            <v:fill color2="black"/>
            <v:imagedata r:id="rId7" o:title="" croptop="-82f" cropbottom="-82f" cropleft="-81f" cropright="-81f"/>
            <w10:wrap type="square" side="largest"/>
          </v:shape>
        </w:pict>
      </w:r>
    </w:p>
    <w:p w:rsidR="00000000" w:rsidRDefault="006761EA"/>
    <w:p w:rsidR="00000000" w:rsidRDefault="006761EA"/>
    <w:p w:rsidR="00000000" w:rsidRDefault="006761EA"/>
    <w:p w:rsidR="00000000" w:rsidRDefault="006761EA"/>
    <w:p w:rsidR="00000000" w:rsidRDefault="006761EA"/>
    <w:p w:rsidR="00000000" w:rsidRDefault="006761EA"/>
    <w:p w:rsidR="00000000" w:rsidRDefault="006761EA"/>
    <w:p w:rsidR="00000000" w:rsidRPr="00597C76" w:rsidRDefault="00597C76" w:rsidP="00597C76">
      <w:pPr>
        <w:jc w:val="both"/>
        <w:rPr>
          <w:b/>
          <w:bCs/>
          <w:sz w:val="24"/>
          <w:szCs w:val="24"/>
        </w:rPr>
      </w:pPr>
      <w:r w:rsidRPr="00597C76">
        <w:rPr>
          <w:b/>
          <w:bCs/>
          <w:sz w:val="24"/>
          <w:szCs w:val="24"/>
        </w:rPr>
        <w:t>Modifica</w:t>
      </w:r>
      <w:r>
        <w:rPr>
          <w:b/>
          <w:bCs/>
          <w:sz w:val="24"/>
          <w:szCs w:val="24"/>
        </w:rPr>
        <w:t xml:space="preserve"> </w:t>
      </w:r>
      <w:r w:rsidRPr="00597C76">
        <w:rPr>
          <w:b/>
          <w:bCs/>
          <w:sz w:val="24"/>
          <w:szCs w:val="24"/>
        </w:rPr>
        <w:t>la</w:t>
      </w:r>
      <w:r>
        <w:rPr>
          <w:b/>
          <w:bCs/>
          <w:sz w:val="24"/>
          <w:szCs w:val="24"/>
        </w:rPr>
        <w:t xml:space="preserve"> </w:t>
      </w:r>
      <w:r w:rsidRPr="00597C76">
        <w:rPr>
          <w:b/>
          <w:bCs/>
          <w:sz w:val="24"/>
          <w:szCs w:val="24"/>
        </w:rPr>
        <w:t>Ley</w:t>
      </w:r>
      <w:r>
        <w:rPr>
          <w:b/>
          <w:bCs/>
          <w:sz w:val="24"/>
          <w:szCs w:val="24"/>
        </w:rPr>
        <w:t xml:space="preserve"> </w:t>
      </w:r>
      <w:r w:rsidRPr="00597C76">
        <w:rPr>
          <w:b/>
          <w:bCs/>
          <w:sz w:val="24"/>
          <w:szCs w:val="24"/>
        </w:rPr>
        <w:t>General</w:t>
      </w:r>
      <w:r>
        <w:rPr>
          <w:b/>
          <w:bCs/>
          <w:sz w:val="24"/>
          <w:szCs w:val="24"/>
        </w:rPr>
        <w:t xml:space="preserve"> </w:t>
      </w:r>
      <w:r w:rsidRPr="00597C76">
        <w:rPr>
          <w:b/>
          <w:bCs/>
          <w:sz w:val="24"/>
          <w:szCs w:val="24"/>
        </w:rPr>
        <w:t>de</w:t>
      </w:r>
      <w:r>
        <w:rPr>
          <w:b/>
          <w:bCs/>
          <w:sz w:val="24"/>
          <w:szCs w:val="24"/>
        </w:rPr>
        <w:t xml:space="preserve"> </w:t>
      </w:r>
      <w:r w:rsidRPr="00597C76">
        <w:rPr>
          <w:b/>
          <w:bCs/>
          <w:sz w:val="24"/>
          <w:szCs w:val="24"/>
        </w:rPr>
        <w:t>Servicios</w:t>
      </w:r>
      <w:r>
        <w:rPr>
          <w:b/>
          <w:bCs/>
          <w:sz w:val="24"/>
          <w:szCs w:val="24"/>
        </w:rPr>
        <w:t xml:space="preserve"> </w:t>
      </w:r>
      <w:r w:rsidRPr="00597C76">
        <w:rPr>
          <w:b/>
          <w:bCs/>
          <w:sz w:val="24"/>
          <w:szCs w:val="24"/>
        </w:rPr>
        <w:t>Eléctricos,</w:t>
      </w:r>
      <w:r>
        <w:rPr>
          <w:b/>
          <w:bCs/>
          <w:sz w:val="24"/>
          <w:szCs w:val="24"/>
        </w:rPr>
        <w:t xml:space="preserve"> </w:t>
      </w:r>
      <w:r w:rsidRPr="00597C76">
        <w:rPr>
          <w:b/>
          <w:bCs/>
          <w:sz w:val="24"/>
          <w:szCs w:val="24"/>
        </w:rPr>
        <w:t>con</w:t>
      </w:r>
      <w:r>
        <w:rPr>
          <w:b/>
          <w:bCs/>
          <w:sz w:val="24"/>
          <w:szCs w:val="24"/>
        </w:rPr>
        <w:t xml:space="preserve"> </w:t>
      </w:r>
      <w:r w:rsidRPr="00597C76">
        <w:rPr>
          <w:b/>
          <w:bCs/>
          <w:sz w:val="24"/>
          <w:szCs w:val="24"/>
        </w:rPr>
        <w:t>el</w:t>
      </w:r>
      <w:r>
        <w:rPr>
          <w:b/>
          <w:bCs/>
          <w:sz w:val="24"/>
          <w:szCs w:val="24"/>
        </w:rPr>
        <w:t xml:space="preserve"> </w:t>
      </w:r>
      <w:r w:rsidRPr="00597C76">
        <w:rPr>
          <w:b/>
          <w:bCs/>
          <w:sz w:val="24"/>
          <w:szCs w:val="24"/>
        </w:rPr>
        <w:t>objeto</w:t>
      </w:r>
      <w:r>
        <w:rPr>
          <w:b/>
          <w:bCs/>
          <w:sz w:val="24"/>
          <w:szCs w:val="24"/>
        </w:rPr>
        <w:t xml:space="preserve"> </w:t>
      </w:r>
      <w:r w:rsidRPr="00597C76">
        <w:rPr>
          <w:b/>
          <w:bCs/>
          <w:sz w:val="24"/>
          <w:szCs w:val="24"/>
        </w:rPr>
        <w:t>de</w:t>
      </w:r>
      <w:r>
        <w:rPr>
          <w:b/>
          <w:bCs/>
          <w:sz w:val="24"/>
          <w:szCs w:val="24"/>
        </w:rPr>
        <w:t xml:space="preserve"> </w:t>
      </w:r>
      <w:r w:rsidRPr="00597C76">
        <w:rPr>
          <w:b/>
          <w:bCs/>
          <w:sz w:val="24"/>
          <w:szCs w:val="24"/>
        </w:rPr>
        <w:t>fijar</w:t>
      </w:r>
      <w:r>
        <w:rPr>
          <w:b/>
          <w:bCs/>
          <w:sz w:val="24"/>
          <w:szCs w:val="24"/>
        </w:rPr>
        <w:t xml:space="preserve"> </w:t>
      </w:r>
      <w:r w:rsidRPr="00597C76">
        <w:rPr>
          <w:b/>
          <w:bCs/>
          <w:sz w:val="24"/>
          <w:szCs w:val="24"/>
        </w:rPr>
        <w:t>un</w:t>
      </w:r>
      <w:r>
        <w:rPr>
          <w:b/>
          <w:bCs/>
          <w:sz w:val="24"/>
          <w:szCs w:val="24"/>
        </w:rPr>
        <w:t xml:space="preserve"> </w:t>
      </w:r>
      <w:r w:rsidRPr="00597C76">
        <w:rPr>
          <w:b/>
          <w:bCs/>
          <w:sz w:val="24"/>
          <w:szCs w:val="24"/>
        </w:rPr>
        <w:t>plazo</w:t>
      </w:r>
      <w:r>
        <w:rPr>
          <w:b/>
          <w:bCs/>
          <w:sz w:val="24"/>
          <w:szCs w:val="24"/>
        </w:rPr>
        <w:t xml:space="preserve"> </w:t>
      </w:r>
      <w:r w:rsidRPr="00597C76">
        <w:rPr>
          <w:b/>
          <w:bCs/>
          <w:sz w:val="24"/>
          <w:szCs w:val="24"/>
        </w:rPr>
        <w:t>para</w:t>
      </w:r>
      <w:r>
        <w:rPr>
          <w:b/>
          <w:bCs/>
          <w:sz w:val="24"/>
          <w:szCs w:val="24"/>
        </w:rPr>
        <w:t xml:space="preserve"> </w:t>
      </w:r>
      <w:r w:rsidRPr="00597C76">
        <w:rPr>
          <w:b/>
          <w:bCs/>
          <w:sz w:val="24"/>
          <w:szCs w:val="24"/>
        </w:rPr>
        <w:t>la</w:t>
      </w:r>
      <w:r>
        <w:rPr>
          <w:b/>
          <w:bCs/>
          <w:sz w:val="24"/>
          <w:szCs w:val="24"/>
        </w:rPr>
        <w:t xml:space="preserve"> </w:t>
      </w:r>
      <w:r w:rsidRPr="00597C76">
        <w:rPr>
          <w:b/>
          <w:bCs/>
          <w:sz w:val="24"/>
          <w:szCs w:val="24"/>
        </w:rPr>
        <w:t>aprobación,</w:t>
      </w:r>
      <w:r>
        <w:rPr>
          <w:b/>
          <w:bCs/>
          <w:sz w:val="24"/>
          <w:szCs w:val="24"/>
        </w:rPr>
        <w:t xml:space="preserve"> </w:t>
      </w:r>
      <w:r w:rsidRPr="00597C76">
        <w:rPr>
          <w:b/>
          <w:bCs/>
          <w:sz w:val="24"/>
          <w:szCs w:val="24"/>
        </w:rPr>
        <w:t>por</w:t>
      </w:r>
      <w:r>
        <w:rPr>
          <w:b/>
          <w:bCs/>
          <w:sz w:val="24"/>
          <w:szCs w:val="24"/>
        </w:rPr>
        <w:t xml:space="preserve"> </w:t>
      </w:r>
      <w:r w:rsidRPr="00597C76">
        <w:rPr>
          <w:b/>
          <w:bCs/>
          <w:sz w:val="24"/>
          <w:szCs w:val="24"/>
        </w:rPr>
        <w:t>parte</w:t>
      </w:r>
      <w:r>
        <w:rPr>
          <w:b/>
          <w:bCs/>
          <w:sz w:val="24"/>
          <w:szCs w:val="24"/>
        </w:rPr>
        <w:t xml:space="preserve"> </w:t>
      </w:r>
      <w:r w:rsidRPr="00597C76">
        <w:rPr>
          <w:b/>
          <w:bCs/>
          <w:sz w:val="24"/>
          <w:szCs w:val="24"/>
        </w:rPr>
        <w:t>de</w:t>
      </w:r>
      <w:r>
        <w:rPr>
          <w:b/>
          <w:bCs/>
          <w:sz w:val="24"/>
          <w:szCs w:val="24"/>
        </w:rPr>
        <w:t xml:space="preserve"> </w:t>
      </w:r>
      <w:r w:rsidRPr="00597C76">
        <w:rPr>
          <w:b/>
          <w:bCs/>
          <w:sz w:val="24"/>
          <w:szCs w:val="24"/>
        </w:rPr>
        <w:t>las</w:t>
      </w:r>
      <w:r>
        <w:rPr>
          <w:b/>
          <w:bCs/>
          <w:sz w:val="24"/>
          <w:szCs w:val="24"/>
        </w:rPr>
        <w:t xml:space="preserve"> </w:t>
      </w:r>
      <w:r w:rsidRPr="00597C76">
        <w:rPr>
          <w:b/>
          <w:bCs/>
          <w:sz w:val="24"/>
          <w:szCs w:val="24"/>
        </w:rPr>
        <w:t>empresas</w:t>
      </w:r>
      <w:r>
        <w:rPr>
          <w:b/>
          <w:bCs/>
          <w:sz w:val="24"/>
          <w:szCs w:val="24"/>
        </w:rPr>
        <w:t xml:space="preserve"> </w:t>
      </w:r>
      <w:r w:rsidRPr="00597C76">
        <w:rPr>
          <w:b/>
          <w:bCs/>
          <w:sz w:val="24"/>
          <w:szCs w:val="24"/>
        </w:rPr>
        <w:t>distribuidoras</w:t>
      </w:r>
      <w:r>
        <w:rPr>
          <w:b/>
          <w:bCs/>
          <w:sz w:val="24"/>
          <w:szCs w:val="24"/>
        </w:rPr>
        <w:t xml:space="preserve"> </w:t>
      </w:r>
      <w:r w:rsidRPr="00597C76">
        <w:rPr>
          <w:b/>
          <w:bCs/>
          <w:sz w:val="24"/>
          <w:szCs w:val="24"/>
        </w:rPr>
        <w:t>de</w:t>
      </w:r>
      <w:r>
        <w:rPr>
          <w:b/>
          <w:bCs/>
          <w:sz w:val="24"/>
          <w:szCs w:val="24"/>
        </w:rPr>
        <w:t xml:space="preserve"> </w:t>
      </w:r>
      <w:r w:rsidRPr="00597C76">
        <w:rPr>
          <w:b/>
          <w:bCs/>
          <w:sz w:val="24"/>
          <w:szCs w:val="24"/>
        </w:rPr>
        <w:t>servicios</w:t>
      </w:r>
      <w:r>
        <w:rPr>
          <w:b/>
          <w:bCs/>
          <w:sz w:val="24"/>
          <w:szCs w:val="24"/>
        </w:rPr>
        <w:t xml:space="preserve"> </w:t>
      </w:r>
      <w:r w:rsidRPr="00597C76">
        <w:rPr>
          <w:b/>
          <w:bCs/>
          <w:sz w:val="24"/>
          <w:szCs w:val="24"/>
        </w:rPr>
        <w:t>eléctricos,</w:t>
      </w:r>
      <w:r>
        <w:rPr>
          <w:b/>
          <w:bCs/>
          <w:sz w:val="24"/>
          <w:szCs w:val="24"/>
        </w:rPr>
        <w:t xml:space="preserve"> </w:t>
      </w:r>
      <w:r w:rsidRPr="00597C76">
        <w:rPr>
          <w:b/>
          <w:bCs/>
          <w:sz w:val="24"/>
          <w:szCs w:val="24"/>
        </w:rPr>
        <w:t>de los proyectos de explotación de dichos servicios presentados por clientes</w:t>
      </w:r>
      <w:r>
        <w:rPr>
          <w:b/>
          <w:bCs/>
          <w:sz w:val="24"/>
          <w:szCs w:val="24"/>
        </w:rPr>
        <w:t xml:space="preserve"> </w:t>
      </w:r>
      <w:r w:rsidRPr="00597C76">
        <w:rPr>
          <w:b/>
          <w:bCs/>
          <w:sz w:val="24"/>
          <w:szCs w:val="24"/>
        </w:rPr>
        <w:t>finales</w:t>
      </w:r>
    </w:p>
    <w:p w:rsidR="00597C76" w:rsidRPr="00597C76" w:rsidRDefault="00597C76" w:rsidP="00597C76">
      <w:pPr>
        <w:rPr>
          <w:b/>
          <w:bCs/>
          <w:sz w:val="24"/>
          <w:szCs w:val="24"/>
        </w:rPr>
      </w:pPr>
    </w:p>
    <w:p w:rsidR="00597C76" w:rsidRPr="00597C76" w:rsidRDefault="00597C76" w:rsidP="00597C76">
      <w:pPr>
        <w:jc w:val="center"/>
        <w:rPr>
          <w:sz w:val="24"/>
          <w:szCs w:val="24"/>
        </w:rPr>
      </w:pPr>
      <w:r w:rsidRPr="00597C76">
        <w:rPr>
          <w:b/>
          <w:bCs/>
          <w:sz w:val="24"/>
          <w:szCs w:val="24"/>
        </w:rPr>
        <w:t>Boletín N° 12726-08</w:t>
      </w:r>
    </w:p>
    <w:p w:rsidR="00000000" w:rsidRDefault="006761EA">
      <w:pPr>
        <w:rPr>
          <w:rFonts w:ascii="Liberation Serif" w:hAnsi="Liberation Serif" w:cs="Liberation Serif"/>
          <w:b/>
          <w:bCs/>
          <w:sz w:val="24"/>
          <w:szCs w:val="24"/>
        </w:rPr>
      </w:pPr>
    </w:p>
    <w:p w:rsidR="00000000" w:rsidRDefault="006761EA">
      <w:r>
        <w:rPr>
          <w:rFonts w:ascii="Liberation Serif" w:hAnsi="Liberation Serif" w:cs="Liberation Serif"/>
          <w:b/>
          <w:bCs/>
          <w:sz w:val="24"/>
          <w:szCs w:val="24"/>
        </w:rPr>
        <w:t>I. IDEAS GENERALES.</w:t>
      </w:r>
    </w:p>
    <w:p w:rsidR="00000000" w:rsidRDefault="006761EA">
      <w:pPr>
        <w:rPr>
          <w:rFonts w:ascii="Liberation Serif" w:hAnsi="Liberation Serif" w:cs="Liberation Serif"/>
          <w:sz w:val="24"/>
          <w:szCs w:val="24"/>
        </w:rPr>
      </w:pPr>
    </w:p>
    <w:p w:rsidR="00000000" w:rsidRDefault="006761EA">
      <w:pPr>
        <w:spacing w:line="480" w:lineRule="auto"/>
        <w:jc w:val="both"/>
      </w:pPr>
      <w:r>
        <w:rPr>
          <w:rFonts w:ascii="Liberation Serif" w:hAnsi="Liberation Serif" w:cs="Liberation Serif"/>
          <w:sz w:val="24"/>
          <w:szCs w:val="24"/>
        </w:rPr>
        <w:t>El Derecho Regulatorio recae sobre actividades económicas que desarrollan los particulares y que comprometen un interés público, razón por la cual se regula de f</w:t>
      </w:r>
      <w:r>
        <w:rPr>
          <w:rFonts w:ascii="Liberation Serif" w:hAnsi="Liberation Serif" w:cs="Liberation Serif"/>
          <w:sz w:val="24"/>
          <w:szCs w:val="24"/>
        </w:rPr>
        <w:t>orma más intensa a dichos mercados. Dicha regulación, qué duda cabe, se vincula directamente con la existencia de mercados imperfectos que requieren de un cierto dirigismo estatal en aras de proteger a los ciudadanos frente a alguna situación desventajosa.</w:t>
      </w:r>
      <w:r>
        <w:rPr>
          <w:rFonts w:ascii="Liberation Serif" w:hAnsi="Liberation Serif" w:cs="Liberation Serif"/>
          <w:sz w:val="24"/>
          <w:szCs w:val="24"/>
        </w:rPr>
        <w:t xml:space="preserve"> </w:t>
      </w:r>
    </w:p>
    <w:p w:rsidR="00000000" w:rsidRDefault="006761EA">
      <w:pPr>
        <w:spacing w:line="480" w:lineRule="auto"/>
        <w:jc w:val="both"/>
      </w:pPr>
      <w:r>
        <w:rPr>
          <w:rFonts w:ascii="Liberation Serif" w:hAnsi="Liberation Serif" w:cs="Liberation Serif"/>
          <w:sz w:val="24"/>
          <w:szCs w:val="24"/>
        </w:rPr>
        <w:t>Pues bien, en la base de los mercados regulados se encuentran dos ideas que la subyacen, por un lado s</w:t>
      </w:r>
      <w:r>
        <w:rPr>
          <w:rFonts w:ascii="Liberation Serif" w:hAnsi="Liberation Serif" w:cs="Liberation Serif"/>
          <w:color w:val="000000"/>
          <w:sz w:val="24"/>
          <w:szCs w:val="24"/>
        </w:rPr>
        <w:t>e trata simplemente de una perspectiva de análisis distinta que abarca el régimen de las actividades económicas con una idea preconcebida de dar primací</w:t>
      </w:r>
      <w:r>
        <w:rPr>
          <w:rFonts w:ascii="Liberation Serif" w:hAnsi="Liberation Serif" w:cs="Liberation Serif"/>
          <w:color w:val="000000"/>
          <w:sz w:val="24"/>
          <w:szCs w:val="24"/>
        </w:rPr>
        <w:t xml:space="preserve">a al mercado y a la libre iniciativa de los particulares, y en donde no es posible omitir la intervención del Estado a través de su aparato administrativo. Por el otro, el Derecho Regulatorio gira en torno a una disciplina que es central: el Derecho de la </w:t>
      </w:r>
      <w:r>
        <w:rPr>
          <w:rFonts w:ascii="Liberation Serif" w:hAnsi="Liberation Serif" w:cs="Liberation Serif"/>
          <w:color w:val="000000"/>
          <w:sz w:val="24"/>
          <w:szCs w:val="24"/>
        </w:rPr>
        <w:t>competencia, en donde el mercado competitivo es el mejor mecanismo para asignar bienes y servicios, determinar su precio y la forma en que estos deben ser producidos</w:t>
      </w:r>
      <w:r>
        <w:rPr>
          <w:rStyle w:val="Refdenotaalpie1"/>
          <w:rFonts w:ascii="Liberation Serif" w:hAnsi="Liberation Serif" w:cs="Liberation Serif"/>
          <w:color w:val="000000"/>
          <w:sz w:val="24"/>
          <w:szCs w:val="24"/>
        </w:rPr>
        <w:footnoteReference w:id="1"/>
      </w:r>
      <w:r>
        <w:rPr>
          <w:rFonts w:ascii="Liberation Serif" w:hAnsi="Liberation Serif" w:cs="Liberation Serif"/>
          <w:color w:val="000000"/>
          <w:sz w:val="24"/>
          <w:szCs w:val="24"/>
        </w:rPr>
        <w:t>.</w:t>
      </w:r>
      <w:r>
        <w:rPr>
          <w:rFonts w:ascii="Liberation Serif" w:hAnsi="Liberation Serif" w:cs="Liberation Serif"/>
          <w:sz w:val="24"/>
          <w:szCs w:val="24"/>
        </w:rPr>
        <w:t xml:space="preserve"> </w:t>
      </w:r>
    </w:p>
    <w:p w:rsidR="00000000" w:rsidRDefault="006761EA">
      <w:pPr>
        <w:spacing w:line="480" w:lineRule="auto"/>
        <w:jc w:val="both"/>
      </w:pPr>
      <w:r>
        <w:rPr>
          <w:rFonts w:ascii="Liberation Serif" w:hAnsi="Liberation Serif" w:cs="Liberation Serif"/>
          <w:sz w:val="24"/>
          <w:szCs w:val="24"/>
        </w:rPr>
        <w:t xml:space="preserve">Así las cosas, </w:t>
      </w:r>
      <w:proofErr w:type="gramStart"/>
      <w:r>
        <w:rPr>
          <w:rFonts w:ascii="Liberation Serif" w:hAnsi="Liberation Serif" w:cs="Liberation Serif"/>
          <w:sz w:val="24"/>
          <w:szCs w:val="24"/>
        </w:rPr>
        <w:t>las razón</w:t>
      </w:r>
      <w:proofErr w:type="gramEnd"/>
      <w:r>
        <w:rPr>
          <w:rFonts w:ascii="Liberation Serif" w:hAnsi="Liberation Serif" w:cs="Liberation Serif"/>
          <w:sz w:val="24"/>
          <w:szCs w:val="24"/>
        </w:rPr>
        <w:t xml:space="preserve"> por la cual es necesaria la actividad regulatoria que afecta a</w:t>
      </w:r>
      <w:r>
        <w:rPr>
          <w:rFonts w:ascii="Liberation Serif" w:hAnsi="Liberation Serif" w:cs="Liberation Serif"/>
          <w:sz w:val="24"/>
          <w:szCs w:val="24"/>
        </w:rPr>
        <w:t xml:space="preserve"> los mercados encuentra su legitimación en el hecho de que el mercado tiene fallas. Luego, la </w:t>
      </w:r>
      <w:proofErr w:type="gramStart"/>
      <w:r>
        <w:rPr>
          <w:rFonts w:ascii="Liberation Serif" w:hAnsi="Liberation Serif" w:cs="Liberation Serif"/>
          <w:sz w:val="24"/>
          <w:szCs w:val="24"/>
        </w:rPr>
        <w:lastRenderedPageBreak/>
        <w:t>intensidad</w:t>
      </w:r>
      <w:proofErr w:type="gramEnd"/>
      <w:r>
        <w:rPr>
          <w:rFonts w:ascii="Liberation Serif" w:hAnsi="Liberation Serif" w:cs="Liberation Serif"/>
          <w:sz w:val="24"/>
          <w:szCs w:val="24"/>
        </w:rPr>
        <w:t xml:space="preserve"> de la regulación viene dada por un fin preciso, incrementar la eficiencia con que la economía funciona, atendido el interés público que envuelve a esta</w:t>
      </w:r>
      <w:r>
        <w:rPr>
          <w:rFonts w:ascii="Liberation Serif" w:hAnsi="Liberation Serif" w:cs="Liberation Serif"/>
          <w:sz w:val="24"/>
          <w:szCs w:val="24"/>
        </w:rPr>
        <w:t>s actividades</w:t>
      </w:r>
      <w:r>
        <w:rPr>
          <w:rStyle w:val="Refdenotaalpie1"/>
          <w:rFonts w:ascii="Liberation Serif" w:hAnsi="Liberation Serif" w:cs="Liberation Serif"/>
          <w:sz w:val="24"/>
          <w:szCs w:val="24"/>
        </w:rPr>
        <w:footnoteReference w:id="2"/>
      </w:r>
      <w:r>
        <w:rPr>
          <w:rFonts w:ascii="Liberation Serif" w:hAnsi="Liberation Serif" w:cs="Liberation Serif"/>
          <w:sz w:val="24"/>
          <w:szCs w:val="24"/>
        </w:rPr>
        <w:t xml:space="preserve">. Así dentro de los mercados regulados por excelencia </w:t>
      </w:r>
      <w:r>
        <w:rPr>
          <w:rFonts w:ascii="Liberation Serif" w:hAnsi="Liberation Serif" w:cs="Liberation Serif"/>
          <w:color w:val="000000"/>
          <w:sz w:val="24"/>
          <w:szCs w:val="24"/>
        </w:rPr>
        <w:t>encontramos a las compañías que prestan servicios públicos básicos, es decir, agua, luz y gas.</w:t>
      </w:r>
    </w:p>
    <w:p w:rsidR="00000000" w:rsidRDefault="006761EA">
      <w:pPr>
        <w:spacing w:line="480" w:lineRule="auto"/>
        <w:jc w:val="both"/>
      </w:pPr>
    </w:p>
    <w:p w:rsidR="00000000" w:rsidRDefault="006761EA">
      <w:pPr>
        <w:jc w:val="both"/>
      </w:pPr>
      <w:r>
        <w:rPr>
          <w:rFonts w:ascii="Liberation Serif" w:hAnsi="Liberation Serif" w:cs="Liberation Serif"/>
          <w:b/>
          <w:bCs/>
          <w:sz w:val="24"/>
          <w:szCs w:val="24"/>
        </w:rPr>
        <w:t>II. CONSIDERANDO:</w:t>
      </w:r>
    </w:p>
    <w:p w:rsidR="00000000" w:rsidRDefault="006761EA">
      <w:pPr>
        <w:jc w:val="both"/>
        <w:rPr>
          <w:sz w:val="24"/>
          <w:szCs w:val="24"/>
        </w:rPr>
      </w:pPr>
    </w:p>
    <w:p w:rsidR="00000000" w:rsidRDefault="006761EA">
      <w:pPr>
        <w:numPr>
          <w:ilvl w:val="0"/>
          <w:numId w:val="2"/>
        </w:numPr>
        <w:spacing w:line="480" w:lineRule="auto"/>
        <w:jc w:val="both"/>
      </w:pPr>
      <w:r>
        <w:rPr>
          <w:rFonts w:ascii="Liberation Serif" w:hAnsi="Liberation Serif" w:cs="Liberation Serif"/>
          <w:sz w:val="24"/>
          <w:szCs w:val="24"/>
        </w:rPr>
        <w:t xml:space="preserve">Las </w:t>
      </w:r>
      <w:proofErr w:type="spellStart"/>
      <w:r>
        <w:rPr>
          <w:rFonts w:ascii="Liberation Serif" w:hAnsi="Liberation Serif" w:cs="Liberation Serif"/>
          <w:sz w:val="24"/>
          <w:szCs w:val="24"/>
        </w:rPr>
        <w:t>compañias</w:t>
      </w:r>
      <w:proofErr w:type="spellEnd"/>
      <w:r>
        <w:rPr>
          <w:rFonts w:ascii="Liberation Serif" w:hAnsi="Liberation Serif" w:cs="Liberation Serif"/>
          <w:sz w:val="24"/>
          <w:szCs w:val="24"/>
        </w:rPr>
        <w:t xml:space="preserve"> eléctricas, a través de un contrato de concesión con el Est</w:t>
      </w:r>
      <w:r>
        <w:rPr>
          <w:rFonts w:ascii="Liberation Serif" w:hAnsi="Liberation Serif" w:cs="Liberation Serif"/>
          <w:sz w:val="24"/>
          <w:szCs w:val="24"/>
        </w:rPr>
        <w:t>ado, prestan el servicio de transporte o distribución de energía, que permite abastecer a los consumidores finales. La ley General de Servicios Eléctricos regula materias que son referidas a la producción, transporte, distribución, régimen de concesiones y</w:t>
      </w:r>
      <w:r>
        <w:rPr>
          <w:rFonts w:ascii="Liberation Serif" w:hAnsi="Liberation Serif" w:cs="Liberation Serif"/>
          <w:sz w:val="24"/>
          <w:szCs w:val="24"/>
        </w:rPr>
        <w:t xml:space="preserve"> tarifas de la energía eléctrica y las funciones del Estado relacionadas con estas materias.</w:t>
      </w:r>
    </w:p>
    <w:p w:rsidR="00000000" w:rsidRDefault="006761EA">
      <w:pPr>
        <w:numPr>
          <w:ilvl w:val="0"/>
          <w:numId w:val="2"/>
        </w:numPr>
        <w:spacing w:line="480" w:lineRule="auto"/>
        <w:jc w:val="both"/>
      </w:pPr>
      <w:r>
        <w:rPr>
          <w:rFonts w:ascii="Liberation Serif" w:hAnsi="Liberation Serif" w:cs="Liberation Serif"/>
          <w:sz w:val="24"/>
          <w:szCs w:val="24"/>
        </w:rPr>
        <w:t>En lo que refiere a la explotación de servicios eléctricos y de suministros, la regulación específica se contempla en el Título IV de dicho cuerpo legal, y se disp</w:t>
      </w:r>
      <w:r>
        <w:rPr>
          <w:rFonts w:ascii="Liberation Serif" w:hAnsi="Liberation Serif" w:cs="Liberation Serif"/>
          <w:sz w:val="24"/>
          <w:szCs w:val="24"/>
        </w:rPr>
        <w:t>one en el artículo 125 que, las empresas distribuidoras en sus zonas de concesión están obligadas a dar servicio a quien lo solicite, sea que el usuario se encuentre ubicado en la zona de concesión, o bien se conecte a las instalaciones de la empresa media</w:t>
      </w:r>
      <w:r>
        <w:rPr>
          <w:rFonts w:ascii="Liberation Serif" w:hAnsi="Liberation Serif" w:cs="Liberation Serif"/>
          <w:sz w:val="24"/>
          <w:szCs w:val="24"/>
        </w:rPr>
        <w:t xml:space="preserve">nte líneas propias o de terceros, bajo las condiciones estipuladas en la ley. </w:t>
      </w:r>
    </w:p>
    <w:p w:rsidR="00000000" w:rsidRDefault="006761EA">
      <w:pPr>
        <w:numPr>
          <w:ilvl w:val="0"/>
          <w:numId w:val="2"/>
        </w:numPr>
        <w:spacing w:line="480" w:lineRule="auto"/>
        <w:jc w:val="both"/>
      </w:pPr>
      <w:r>
        <w:rPr>
          <w:rFonts w:ascii="Liberation Serif" w:hAnsi="Liberation Serif" w:cs="Liberation Serif"/>
          <w:sz w:val="24"/>
          <w:szCs w:val="24"/>
        </w:rPr>
        <w:t>De tal forma, cualquier persona -natural o jurídica- puede solicitar a la empresa distribuidora respectiva una nueva conexión a la red eléctrica. Las conexiones, se dan a través</w:t>
      </w:r>
      <w:r>
        <w:rPr>
          <w:rFonts w:ascii="Liberation Serif" w:hAnsi="Liberation Serif" w:cs="Liberation Serif"/>
          <w:sz w:val="24"/>
          <w:szCs w:val="24"/>
        </w:rPr>
        <w:t xml:space="preserve"> de empalmes, que no son más que la forma de unión entre un nuevo medidor y la red eléctrica.</w:t>
      </w:r>
    </w:p>
    <w:p w:rsidR="00000000" w:rsidRDefault="006761EA">
      <w:pPr>
        <w:numPr>
          <w:ilvl w:val="0"/>
          <w:numId w:val="2"/>
        </w:numPr>
        <w:spacing w:line="480" w:lineRule="auto"/>
        <w:jc w:val="both"/>
      </w:pPr>
      <w:r>
        <w:rPr>
          <w:rFonts w:ascii="Liberation Serif" w:hAnsi="Liberation Serif" w:cs="Liberation Serif"/>
          <w:sz w:val="24"/>
          <w:szCs w:val="24"/>
        </w:rPr>
        <w:lastRenderedPageBreak/>
        <w:t>Sin embargo, la regulación anterior no establece plazos para que las empresas eléctricas se pronuncien sobre las solicitudes de nuevas conexiones. En efecto, al a</w:t>
      </w:r>
      <w:r>
        <w:rPr>
          <w:rFonts w:ascii="Liberation Serif" w:hAnsi="Liberation Serif" w:cs="Liberation Serif"/>
          <w:sz w:val="24"/>
          <w:szCs w:val="24"/>
        </w:rPr>
        <w:t>nalizar la regulación sectorial, vemos que existe un plazo de cinco días señalado en instructivo de la Superintendencia de Servicios Eléctricos para dar respuesta a la solicitud de factibilidad del suministro y a la entrega de informaciones previas para el</w:t>
      </w:r>
      <w:r>
        <w:rPr>
          <w:rFonts w:ascii="Liberation Serif" w:hAnsi="Liberation Serif" w:cs="Liberation Serif"/>
          <w:sz w:val="24"/>
          <w:szCs w:val="24"/>
        </w:rPr>
        <w:t xml:space="preserve"> proyecto, pero al momento de decidir llevar a cabo las obras o trabajos para la conexión al servicio, no existen plazos asociados a este procedimiento, dependiendo la celeridad del mismo, de lo que disponga la empresa distribuidora para tales efectos</w:t>
      </w:r>
      <w:r>
        <w:rPr>
          <w:rStyle w:val="Refdenotaalpie1"/>
          <w:rFonts w:ascii="Liberation Serif" w:hAnsi="Liberation Serif" w:cs="Liberation Serif"/>
          <w:sz w:val="24"/>
          <w:szCs w:val="24"/>
        </w:rPr>
        <w:footnoteReference w:id="3"/>
      </w:r>
      <w:r>
        <w:rPr>
          <w:rFonts w:ascii="Liberation Serif" w:hAnsi="Liberation Serif" w:cs="Liberation Serif"/>
          <w:sz w:val="24"/>
          <w:szCs w:val="24"/>
        </w:rPr>
        <w:t>.</w:t>
      </w:r>
    </w:p>
    <w:p w:rsidR="00000000" w:rsidRDefault="006761EA">
      <w:pPr>
        <w:numPr>
          <w:ilvl w:val="0"/>
          <w:numId w:val="2"/>
        </w:numPr>
        <w:spacing w:line="480" w:lineRule="auto"/>
        <w:jc w:val="both"/>
      </w:pPr>
      <w:r>
        <w:rPr>
          <w:rFonts w:ascii="Liberation Serif" w:hAnsi="Liberation Serif" w:cs="Liberation Serif"/>
          <w:color w:val="1C1C1C"/>
          <w:sz w:val="24"/>
          <w:szCs w:val="24"/>
        </w:rPr>
        <w:t>Qu</w:t>
      </w:r>
      <w:r>
        <w:rPr>
          <w:rFonts w:ascii="Liberation Serif" w:hAnsi="Liberation Serif" w:cs="Liberation Serif"/>
          <w:color w:val="1C1C1C"/>
          <w:sz w:val="24"/>
          <w:szCs w:val="24"/>
        </w:rPr>
        <w:t xml:space="preserve">e, por consiguiente nos encontramos en presencia de un mecanismo que introduce desventajas a los clientes regulados, produciendo incertidumbre en torno a la ejecución de las obras destinadas a la conexión del servicio eléctrico, por lo que dicha situación </w:t>
      </w:r>
      <w:r>
        <w:rPr>
          <w:rFonts w:ascii="Liberation Serif" w:hAnsi="Liberation Serif" w:cs="Liberation Serif"/>
          <w:color w:val="1C1C1C"/>
          <w:sz w:val="24"/>
          <w:szCs w:val="24"/>
        </w:rPr>
        <w:t xml:space="preserve">claramente requiere de un ajuste a nivel legislativo. </w:t>
      </w:r>
    </w:p>
    <w:p w:rsidR="00000000" w:rsidRDefault="006761EA">
      <w:pPr>
        <w:numPr>
          <w:ilvl w:val="0"/>
          <w:numId w:val="2"/>
        </w:numPr>
        <w:spacing w:line="480" w:lineRule="auto"/>
        <w:jc w:val="both"/>
      </w:pPr>
      <w:r>
        <w:rPr>
          <w:rFonts w:ascii="Liberation Serif" w:hAnsi="Liberation Serif" w:cs="Liberation Serif"/>
          <w:color w:val="1C1C1C"/>
          <w:sz w:val="24"/>
          <w:szCs w:val="24"/>
        </w:rPr>
        <w:t xml:space="preserve">Que, por su naturaleza la existencia de plazos en nuestra legislación eléctrica introduce elementos de certeza y seguridad, en beneficio directo de los consumidores finales del servicio, por lo que la </w:t>
      </w:r>
      <w:r>
        <w:rPr>
          <w:rFonts w:ascii="Liberation Serif" w:hAnsi="Liberation Serif" w:cs="Liberation Serif"/>
          <w:color w:val="1C1C1C"/>
          <w:sz w:val="24"/>
          <w:szCs w:val="24"/>
        </w:rPr>
        <w:t xml:space="preserve">falta de plazos para la materialización de las obras de conexión constituye un sensible vacío existente en nuestra legislación que es preciso llenar a través de este proyecto de ley. </w:t>
      </w:r>
    </w:p>
    <w:p w:rsidR="00000000" w:rsidRDefault="006761EA">
      <w:pPr>
        <w:spacing w:line="480" w:lineRule="auto"/>
        <w:jc w:val="both"/>
        <w:rPr>
          <w:rFonts w:ascii="Liberation Serif" w:hAnsi="Liberation Serif" w:cs="Liberation Serif"/>
          <w:color w:val="1C1C1C"/>
          <w:sz w:val="24"/>
          <w:szCs w:val="24"/>
        </w:rPr>
      </w:pPr>
    </w:p>
    <w:p w:rsidR="00000000" w:rsidRDefault="006761EA">
      <w:pPr>
        <w:spacing w:line="480" w:lineRule="auto"/>
        <w:ind w:left="1080"/>
        <w:jc w:val="both"/>
        <w:rPr>
          <w:sz w:val="24"/>
          <w:szCs w:val="24"/>
        </w:rPr>
      </w:pPr>
    </w:p>
    <w:p w:rsidR="00000000" w:rsidRDefault="006761EA">
      <w:r>
        <w:rPr>
          <w:b/>
          <w:bCs/>
          <w:color w:val="1C1C1C"/>
          <w:sz w:val="24"/>
          <w:szCs w:val="24"/>
        </w:rPr>
        <w:t>III. CONTENIDO DEL PROYECTO DE LEY.</w:t>
      </w:r>
    </w:p>
    <w:p w:rsidR="00000000" w:rsidRDefault="006761EA">
      <w:pPr>
        <w:rPr>
          <w:sz w:val="24"/>
          <w:szCs w:val="24"/>
        </w:rPr>
      </w:pPr>
    </w:p>
    <w:p w:rsidR="00000000" w:rsidRDefault="006761EA">
      <w:pPr>
        <w:spacing w:line="480" w:lineRule="auto"/>
        <w:jc w:val="both"/>
      </w:pPr>
      <w:r>
        <w:rPr>
          <w:sz w:val="24"/>
          <w:szCs w:val="24"/>
        </w:rPr>
        <w:t>El presente proyecto de ley agreg</w:t>
      </w:r>
      <w:r>
        <w:rPr>
          <w:sz w:val="24"/>
          <w:szCs w:val="24"/>
        </w:rPr>
        <w:t>a un nuevo inciso segundo al artículo 125</w:t>
      </w:r>
      <w:r w:rsidR="00597C76">
        <w:rPr>
          <w:sz w:val="24"/>
          <w:szCs w:val="24"/>
        </w:rPr>
        <w:t xml:space="preserve"> </w:t>
      </w:r>
      <w:r>
        <w:rPr>
          <w:sz w:val="24"/>
          <w:szCs w:val="24"/>
        </w:rPr>
        <w:t>del Decreto con Fuerza de ley N</w:t>
      </w:r>
      <w:proofErr w:type="gramStart"/>
      <w:r>
        <w:rPr>
          <w:sz w:val="24"/>
          <w:szCs w:val="24"/>
        </w:rPr>
        <w:t>.º</w:t>
      </w:r>
      <w:proofErr w:type="gramEnd"/>
      <w:r>
        <w:rPr>
          <w:sz w:val="24"/>
          <w:szCs w:val="24"/>
        </w:rPr>
        <w:t xml:space="preserve"> 4 del año 2018 del Ministerio de Economía, Fomento y Reconstrucción que </w:t>
      </w:r>
      <w:r>
        <w:rPr>
          <w:sz w:val="24"/>
          <w:szCs w:val="24"/>
        </w:rPr>
        <w:lastRenderedPageBreak/>
        <w:t>fija el texto refundido, coordinado y sistematizado de la Ley General de Servicios Eléctricos,</w:t>
      </w:r>
      <w:r w:rsidR="00597C76">
        <w:rPr>
          <w:sz w:val="24"/>
          <w:szCs w:val="24"/>
        </w:rPr>
        <w:t xml:space="preserve"> </w:t>
      </w:r>
      <w:r>
        <w:rPr>
          <w:sz w:val="24"/>
          <w:szCs w:val="24"/>
        </w:rPr>
        <w:t>con el obje</w:t>
      </w:r>
      <w:r>
        <w:rPr>
          <w:sz w:val="24"/>
          <w:szCs w:val="24"/>
        </w:rPr>
        <w:t>to de establecer un plazo para la aprobación de proyectos que tengan por objeto la explotación de los servicios eléctricos, estableciendo un límite de 20 días hábiles para pronunciarse sobre el requerimiento.</w:t>
      </w:r>
    </w:p>
    <w:p w:rsidR="00000000" w:rsidRDefault="006761EA">
      <w:pPr>
        <w:spacing w:line="480" w:lineRule="auto"/>
        <w:jc w:val="both"/>
        <w:rPr>
          <w:sz w:val="24"/>
          <w:szCs w:val="24"/>
        </w:rPr>
      </w:pPr>
    </w:p>
    <w:p w:rsidR="00000000" w:rsidRDefault="006761EA">
      <w:pPr>
        <w:rPr>
          <w:sz w:val="24"/>
          <w:szCs w:val="24"/>
        </w:rPr>
      </w:pPr>
    </w:p>
    <w:p w:rsidR="00000000" w:rsidRDefault="006761EA">
      <w:r>
        <w:rPr>
          <w:b/>
          <w:bCs/>
          <w:sz w:val="24"/>
          <w:szCs w:val="24"/>
        </w:rPr>
        <w:t>IV. PROYECTO DE LEY.</w:t>
      </w:r>
    </w:p>
    <w:p w:rsidR="00000000" w:rsidRDefault="006761EA">
      <w:pPr>
        <w:rPr>
          <w:sz w:val="24"/>
          <w:szCs w:val="24"/>
        </w:rPr>
      </w:pPr>
    </w:p>
    <w:p w:rsidR="00000000" w:rsidRDefault="006761EA">
      <w:pPr>
        <w:spacing w:line="480" w:lineRule="auto"/>
        <w:jc w:val="both"/>
      </w:pPr>
      <w:r>
        <w:rPr>
          <w:sz w:val="24"/>
          <w:szCs w:val="24"/>
        </w:rPr>
        <w:t>Artículo único: Agrégue</w:t>
      </w:r>
      <w:r>
        <w:rPr>
          <w:sz w:val="24"/>
          <w:szCs w:val="24"/>
        </w:rPr>
        <w:t>se un nuevo inciso segundo al artículo 125 del Decreto con Fuerza de ley N.º 4 del año 2018 del Ministerio de Economía, Fomento y Reconstrucción que fija el texto refundido, coordinado y sistematizado de la Ley General de Servicios Eléctricos, de acuerdo a</w:t>
      </w:r>
      <w:r>
        <w:rPr>
          <w:sz w:val="24"/>
          <w:szCs w:val="24"/>
        </w:rPr>
        <w:t>l siguiente texto:</w:t>
      </w:r>
    </w:p>
    <w:p w:rsidR="00000000" w:rsidRDefault="006761EA">
      <w:pPr>
        <w:spacing w:line="480" w:lineRule="auto"/>
        <w:jc w:val="both"/>
      </w:pPr>
      <w:r>
        <w:rPr>
          <w:b/>
          <w:bCs/>
          <w:i/>
          <w:iCs/>
          <w:sz w:val="24"/>
          <w:szCs w:val="24"/>
        </w:rPr>
        <w:t>“</w:t>
      </w:r>
      <w:r>
        <w:rPr>
          <w:b/>
          <w:bCs/>
          <w:i/>
          <w:iCs/>
          <w:sz w:val="24"/>
          <w:szCs w:val="24"/>
        </w:rPr>
        <w:t>Para efectos de lo dispuesto en el inciso anterior, presentado el proyecto de explotación de servicios eléctricos, en los casos que se requiera, la empresa distribuidora de servicio público tendrá un plazo de 20 días hábiles para pronun</w:t>
      </w:r>
      <w:r>
        <w:rPr>
          <w:b/>
          <w:bCs/>
          <w:i/>
          <w:iCs/>
          <w:sz w:val="24"/>
          <w:szCs w:val="24"/>
        </w:rPr>
        <w:t>ciarse sobre dicho proyecto.”</w:t>
      </w:r>
    </w:p>
    <w:p w:rsidR="00000000" w:rsidRDefault="006761EA">
      <w:pPr>
        <w:spacing w:line="480" w:lineRule="auto"/>
        <w:jc w:val="both"/>
        <w:rPr>
          <w:i/>
          <w:iCs/>
          <w:sz w:val="24"/>
          <w:szCs w:val="24"/>
        </w:rPr>
      </w:pPr>
    </w:p>
    <w:p w:rsidR="00000000" w:rsidRDefault="006761EA">
      <w:pPr>
        <w:spacing w:line="480" w:lineRule="auto"/>
        <w:jc w:val="both"/>
        <w:rPr>
          <w:i/>
          <w:iCs/>
          <w:sz w:val="24"/>
          <w:szCs w:val="24"/>
        </w:rPr>
      </w:pPr>
    </w:p>
    <w:p w:rsidR="00000000" w:rsidRDefault="006761EA">
      <w:pPr>
        <w:spacing w:line="480" w:lineRule="auto"/>
        <w:jc w:val="both"/>
        <w:rPr>
          <w:sz w:val="24"/>
          <w:szCs w:val="24"/>
        </w:rPr>
      </w:pPr>
    </w:p>
    <w:p w:rsidR="00000000" w:rsidRDefault="006761EA">
      <w:pPr>
        <w:spacing w:line="480" w:lineRule="auto"/>
        <w:jc w:val="both"/>
        <w:rPr>
          <w:sz w:val="24"/>
          <w:szCs w:val="24"/>
        </w:rPr>
      </w:pPr>
    </w:p>
    <w:p w:rsidR="00000000" w:rsidRDefault="006761EA">
      <w:pPr>
        <w:spacing w:line="480" w:lineRule="auto"/>
        <w:jc w:val="both"/>
        <w:rPr>
          <w:sz w:val="24"/>
          <w:szCs w:val="24"/>
        </w:rPr>
      </w:pPr>
    </w:p>
    <w:p w:rsidR="00000000" w:rsidRDefault="006761EA">
      <w:pPr>
        <w:spacing w:line="480" w:lineRule="auto"/>
        <w:jc w:val="center"/>
      </w:pPr>
      <w:r>
        <w:rPr>
          <w:b/>
          <w:bCs/>
          <w:sz w:val="24"/>
          <w:szCs w:val="24"/>
        </w:rPr>
        <w:t>JUAN MANUEL FUENZALIDA COBO</w:t>
      </w:r>
    </w:p>
    <w:p w:rsidR="006761EA" w:rsidRDefault="006761EA">
      <w:pPr>
        <w:spacing w:line="480" w:lineRule="auto"/>
        <w:jc w:val="center"/>
      </w:pPr>
      <w:r>
        <w:rPr>
          <w:b/>
          <w:bCs/>
          <w:sz w:val="24"/>
          <w:szCs w:val="24"/>
        </w:rPr>
        <w:t>DIPUTADO.</w:t>
      </w:r>
    </w:p>
    <w:sectPr w:rsidR="006761EA">
      <w:pgSz w:w="12240" w:h="15840"/>
      <w:pgMar w:top="1134" w:right="1492"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EA" w:rsidRDefault="006761EA">
      <w:r>
        <w:separator/>
      </w:r>
    </w:p>
  </w:endnote>
  <w:endnote w:type="continuationSeparator" w:id="0">
    <w:p w:rsidR="006761EA" w:rsidRDefault="006761E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EA" w:rsidRDefault="006761EA">
      <w:r>
        <w:separator/>
      </w:r>
    </w:p>
  </w:footnote>
  <w:footnote w:type="continuationSeparator" w:id="0">
    <w:p w:rsidR="006761EA" w:rsidRDefault="006761EA">
      <w:r>
        <w:continuationSeparator/>
      </w:r>
    </w:p>
  </w:footnote>
  <w:footnote w:id="1">
    <w:p w:rsidR="00000000" w:rsidRDefault="006761EA">
      <w:pPr>
        <w:pStyle w:val="Textonotapie"/>
        <w:spacing w:line="360" w:lineRule="auto"/>
        <w:jc w:val="both"/>
      </w:pPr>
      <w:r>
        <w:rPr>
          <w:rStyle w:val="Caracteresdenotaalpie"/>
          <w:rFonts w:ascii="Liberation Serif" w:hAnsi="Liberation Serif"/>
        </w:rPr>
        <w:footnoteRef/>
      </w:r>
      <w:r>
        <w:tab/>
        <w:t xml:space="preserve">Cordero </w:t>
      </w:r>
      <w:proofErr w:type="spellStart"/>
      <w:r>
        <w:t>Quinzacara</w:t>
      </w:r>
      <w:proofErr w:type="spellEnd"/>
      <w:r>
        <w:t xml:space="preserve">, Eduardo; </w:t>
      </w:r>
      <w:r>
        <w:rPr>
          <w:i/>
          <w:iCs/>
        </w:rPr>
        <w:t xml:space="preserve">Sanciones administrativas y mercados regulados, </w:t>
      </w:r>
      <w:r>
        <w:t>Revista de Derecho Valdivia, Vol. 26, N</w:t>
      </w:r>
      <w:proofErr w:type="gramStart"/>
      <w:r>
        <w:t>.º</w:t>
      </w:r>
      <w:proofErr w:type="gramEnd"/>
      <w:r>
        <w:t xml:space="preserve"> 1, Valdivia, 2013. Disponible en: </w:t>
      </w:r>
      <w:hyperlink r:id="rId1" w:history="1">
        <w:r>
          <w:rPr>
            <w:rStyle w:val="Hipervnculo"/>
            <w:color w:val="1C1C1C"/>
            <w:u w:val="single"/>
          </w:rPr>
          <w:t>h</w:t>
        </w:r>
        <w:r>
          <w:rPr>
            <w:rStyle w:val="Hipervnculo"/>
            <w:color w:val="1C1C1C"/>
          </w:rPr>
          <w:t>ttps://scielo.conicyt.cl/scielo.php?script=sci</w:t>
        </w:r>
      </w:hyperlink>
      <w:r>
        <w:rPr>
          <w:color w:val="1C1C1C"/>
        </w:rPr>
        <w:t>_arttext</w:t>
      </w:r>
      <w:r>
        <w:rPr>
          <w:color w:val="1C1C1C"/>
        </w:rPr>
        <w:br/>
        <w:t>&amp;</w:t>
      </w:r>
      <w:proofErr w:type="spellStart"/>
      <w:r>
        <w:rPr>
          <w:color w:val="1C1C1C"/>
        </w:rPr>
        <w:t>pid</w:t>
      </w:r>
      <w:proofErr w:type="spellEnd"/>
      <w:r>
        <w:rPr>
          <w:color w:val="1C1C1C"/>
        </w:rPr>
        <w:t>=S0718-09502013000100006.</w:t>
      </w:r>
    </w:p>
  </w:footnote>
  <w:footnote w:id="2">
    <w:p w:rsidR="00000000" w:rsidRDefault="006761EA">
      <w:pPr>
        <w:pStyle w:val="Textonotapie"/>
        <w:tabs>
          <w:tab w:val="left" w:pos="9459"/>
        </w:tabs>
        <w:spacing w:line="360" w:lineRule="auto"/>
      </w:pPr>
      <w:r>
        <w:rPr>
          <w:rStyle w:val="Caracteresdenotaalpie"/>
          <w:rFonts w:ascii="Liberation Serif" w:hAnsi="Liberation Serif"/>
        </w:rPr>
        <w:footnoteRef/>
      </w:r>
      <w:r>
        <w:tab/>
      </w:r>
      <w:proofErr w:type="spellStart"/>
      <w:r>
        <w:t>Idem</w:t>
      </w:r>
      <w:proofErr w:type="spellEnd"/>
      <w:r>
        <w:t xml:space="preserve"> cita n°1.</w:t>
      </w:r>
    </w:p>
  </w:footnote>
  <w:footnote w:id="3">
    <w:p w:rsidR="00000000" w:rsidRDefault="006761EA">
      <w:pPr>
        <w:pStyle w:val="Textonotapie"/>
        <w:spacing w:line="360" w:lineRule="auto"/>
        <w:jc w:val="both"/>
      </w:pPr>
      <w:r>
        <w:rPr>
          <w:rStyle w:val="Caracteresdenotaalpie"/>
          <w:rFonts w:ascii="Liberation Serif" w:hAnsi="Liberation Serif"/>
        </w:rPr>
        <w:footnoteRef/>
      </w:r>
      <w:r>
        <w:tab/>
        <w:t>En este sentido ver: Superintendencia de Servicios Eléctricos, disponible en: https://sec.custhelp.com/app/ans</w:t>
      </w:r>
      <w:r>
        <w:br/>
      </w:r>
      <w:proofErr w:type="spellStart"/>
      <w:r>
        <w:t>wers</w:t>
      </w:r>
      <w:proofErr w:type="spellEnd"/>
      <w:r>
        <w:t>/</w:t>
      </w:r>
      <w:proofErr w:type="spellStart"/>
      <w:r>
        <w:t>detail</w:t>
      </w:r>
      <w:proofErr w:type="spellEnd"/>
      <w:r>
        <w:t>/</w:t>
      </w:r>
      <w:proofErr w:type="spellStart"/>
      <w:r>
        <w:t>a_id</w:t>
      </w:r>
      <w:proofErr w:type="spellEnd"/>
      <w:r>
        <w:t xml:space="preserve">/407/kw/Factibilidad%20el%C3%A9ctricidad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ascii="Liberation Serif" w:hAnsi="Liberation Serif" w:cs="Liberation Serif"/>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C76"/>
    <w:rsid w:val="00597C76"/>
    <w:rsid w:val="006761EA"/>
    <w:rsid w:val="00AD59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CL" w:eastAsia="zh-CN"/>
    </w:rPr>
  </w:style>
  <w:style w:type="paragraph" w:styleId="Ttulo2">
    <w:name w:val="heading 2"/>
    <w:basedOn w:val="Ttulo1"/>
    <w:next w:val="Textoindependiente"/>
    <w:qFormat/>
    <w:pPr>
      <w:numPr>
        <w:ilvl w:val="1"/>
        <w:numId w:val="1"/>
      </w:numPr>
      <w:spacing w:before="20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styleId="Hipervnculo">
    <w:name w:val="Hyperlink"/>
  </w:style>
  <w:style w:type="character" w:customStyle="1" w:styleId="Smbolosdenumeracin">
    <w:name w:val="Símbolos de numeración"/>
  </w:style>
  <w:style w:type="character" w:customStyle="1" w:styleId="Caracteresdenotaalpie">
    <w:name w:val="Caracteres de nota al pie"/>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nfasis">
    <w:name w:val="Emphasis"/>
    <w:qFormat/>
    <w:rPr>
      <w:i/>
      <w:iCs/>
    </w:rPr>
  </w:style>
  <w:style w:type="character" w:customStyle="1" w:styleId="Refdenotaalfinal1">
    <w:name w:val="Ref. de nota al final1"/>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Ttulo1">
    <w:name w:val="Título1"/>
    <w:basedOn w:val="Normal"/>
    <w:next w:val="Textoindependiente"/>
    <w:pPr>
      <w:keepNext/>
      <w:spacing w:before="240" w:after="120"/>
    </w:pPr>
  </w:style>
  <w:style w:type="paragraph" w:customStyle="1" w:styleId="Epgrafe1">
    <w:name w:val="Epígrafe1"/>
    <w:basedOn w:val="Normal"/>
    <w:pPr>
      <w:suppressLineNumbers/>
      <w:spacing w:before="120" w:after="120"/>
    </w:pPr>
  </w:style>
  <w:style w:type="paragraph" w:customStyle="1" w:styleId="Textopreformateado">
    <w:name w:val="Texto preformateado"/>
    <w:basedOn w:val="Normal"/>
  </w:style>
  <w:style w:type="paragraph" w:styleId="Textonotapie">
    <w:name w:val="footnote text"/>
    <w:basedOn w:val="Normal"/>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ielo.conicyt.cl/scielo.php?script=sc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ComitéUdi;Guillermo Diaz Vallejos</dc:creator>
  <cp:lastModifiedBy>Guillermo Diaz Vallejos</cp:lastModifiedBy>
  <cp:revision>2</cp:revision>
  <cp:lastPrinted>1995-11-21T21:41:00Z</cp:lastPrinted>
  <dcterms:created xsi:type="dcterms:W3CDTF">2019-07-01T16:00:00Z</dcterms:created>
  <dcterms:modified xsi:type="dcterms:W3CDTF">2019-07-01T16:00:00Z</dcterms:modified>
</cp:coreProperties>
</file>