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rPr>
          <w:rFonts w:ascii="Book Antiqua" w:eastAsia="Courier New" w:hAnsi="Book Antiqua" w:cs="Times New Roman"/>
          <w:b/>
          <w:sz w:val="24"/>
          <w:szCs w:val="24"/>
        </w:rPr>
      </w:pPr>
    </w:p>
    <w:p w:rsidR="00B83485" w:rsidRDefault="00233FFA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Arial" w:hAnsi="Book Antiqua" w:cs="Times New Roman"/>
          <w:b/>
          <w:sz w:val="24"/>
          <w:szCs w:val="24"/>
        </w:rPr>
      </w:pPr>
      <w:r w:rsidRPr="00233FFA">
        <w:rPr>
          <w:rFonts w:ascii="Book Antiqua" w:eastAsia="Arial" w:hAnsi="Book Antiqua" w:cs="Times New Roman"/>
          <w:b/>
          <w:sz w:val="24"/>
          <w:szCs w:val="24"/>
        </w:rPr>
        <w:t>Modifica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la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ley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N°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19.496,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que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Establece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normas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sobre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protección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de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los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derechos de los consumidores, para obligar a los proveedores de créditos de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consumo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a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informar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a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sus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clientes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el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costo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y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efectos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de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abonar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el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pago</w:t>
      </w:r>
      <w:r>
        <w:rPr>
          <w:rFonts w:ascii="Book Antiqua" w:eastAsia="Arial" w:hAnsi="Book Antiqua" w:cs="Times New Roman"/>
          <w:b/>
          <w:sz w:val="24"/>
          <w:szCs w:val="24"/>
        </w:rPr>
        <w:t xml:space="preserve"> </w:t>
      </w:r>
      <w:r w:rsidRPr="00233FFA">
        <w:rPr>
          <w:rFonts w:ascii="Book Antiqua" w:eastAsia="Arial" w:hAnsi="Book Antiqua" w:cs="Times New Roman"/>
          <w:b/>
          <w:sz w:val="24"/>
          <w:szCs w:val="24"/>
        </w:rPr>
        <w:t>mínimo a las cuotas mensuales de la deuda</w:t>
      </w:r>
    </w:p>
    <w:p w:rsidR="00233FFA" w:rsidRDefault="00233FFA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center"/>
        <w:rPr>
          <w:rFonts w:ascii="Book Antiqua" w:eastAsia="Arial" w:hAnsi="Book Antiqua" w:cs="Times New Roman"/>
          <w:b/>
          <w:sz w:val="24"/>
          <w:szCs w:val="24"/>
        </w:rPr>
      </w:pPr>
    </w:p>
    <w:p w:rsidR="00233FFA" w:rsidRPr="00373280" w:rsidRDefault="00233FFA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center"/>
        <w:rPr>
          <w:rFonts w:ascii="Book Antiqua" w:eastAsia="Courier New" w:hAnsi="Book Antiqua" w:cs="Times New Roman"/>
          <w:b/>
          <w:sz w:val="24"/>
          <w:szCs w:val="24"/>
        </w:rPr>
      </w:pPr>
      <w:r>
        <w:rPr>
          <w:rFonts w:ascii="Book Antiqua" w:eastAsia="Arial" w:hAnsi="Book Antiqua" w:cs="Times New Roman"/>
          <w:b/>
          <w:sz w:val="24"/>
          <w:szCs w:val="24"/>
        </w:rPr>
        <w:t>Boletín N° 12727-03</w:t>
      </w: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DE14E7" w:rsidRPr="00373280" w:rsidRDefault="00642F80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Times New Roman"/>
          <w:b/>
          <w:sz w:val="24"/>
          <w:szCs w:val="24"/>
        </w:rPr>
      </w:pPr>
      <w:r w:rsidRPr="00373280">
        <w:rPr>
          <w:rFonts w:ascii="Book Antiqua" w:eastAsia="Courier New" w:hAnsi="Book Antiqua" w:cs="Times New Roman"/>
          <w:b/>
          <w:sz w:val="24"/>
          <w:szCs w:val="24"/>
        </w:rPr>
        <w:t>1.- Antecedentes</w:t>
      </w:r>
    </w:p>
    <w:p w:rsidR="00580B0B" w:rsidRPr="00373280" w:rsidRDefault="00580B0B" w:rsidP="00233FFA">
      <w:pPr>
        <w:spacing w:after="0" w:line="360" w:lineRule="auto"/>
        <w:ind w:right="-234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7B6A0D" w:rsidRPr="00373280" w:rsidRDefault="00580B0B" w:rsidP="00233FFA">
      <w:pPr>
        <w:spacing w:after="0" w:line="360" w:lineRule="auto"/>
        <w:ind w:right="-234"/>
        <w:jc w:val="both"/>
        <w:rPr>
          <w:rFonts w:ascii="Book Antiqua" w:hAnsi="Book Antiqua"/>
          <w:sz w:val="24"/>
          <w:szCs w:val="24"/>
        </w:rPr>
      </w:pPr>
      <w:r w:rsidRPr="00373280">
        <w:rPr>
          <w:rFonts w:ascii="Book Antiqua" w:eastAsia="Courier New" w:hAnsi="Book Antiqua" w:cs="Times New Roman"/>
          <w:sz w:val="24"/>
          <w:szCs w:val="24"/>
        </w:rPr>
        <w:tab/>
        <w:t>Que de acuerdo a los datos del Banco Mundial, el promedio mundial del PIB</w:t>
      </w:r>
      <w:r w:rsidR="00233FFA">
        <w:rPr>
          <w:rFonts w:ascii="Book Antiqua" w:eastAsia="Courier New" w:hAnsi="Book Antiqua" w:cs="Times New Roman"/>
          <w:sz w:val="24"/>
          <w:szCs w:val="24"/>
        </w:rPr>
        <w:t xml:space="preserve"> </w:t>
      </w:r>
      <w:r w:rsidRPr="00373280">
        <w:rPr>
          <w:rFonts w:ascii="Book Antiqua" w:hAnsi="Book Antiqua"/>
          <w:sz w:val="24"/>
          <w:szCs w:val="24"/>
        </w:rPr>
        <w:t>per cápita se ha triplicado entre el año 1990 y la actualidad</w:t>
      </w:r>
      <w:r w:rsidRPr="00373280">
        <w:rPr>
          <w:rStyle w:val="Refdenotaalpie"/>
          <w:rFonts w:ascii="Book Antiqua" w:hAnsi="Book Antiqua"/>
          <w:sz w:val="24"/>
          <w:szCs w:val="24"/>
        </w:rPr>
        <w:footnoteReference w:id="1"/>
      </w:r>
      <w:r w:rsidRPr="00373280">
        <w:rPr>
          <w:rFonts w:ascii="Book Antiqua" w:hAnsi="Book Antiqua"/>
          <w:sz w:val="24"/>
          <w:szCs w:val="24"/>
        </w:rPr>
        <w:t xml:space="preserve"> .</w:t>
      </w:r>
      <w:r w:rsidR="00233FFA">
        <w:rPr>
          <w:rFonts w:ascii="Book Antiqua" w:hAnsi="Book Antiqua"/>
          <w:sz w:val="24"/>
          <w:szCs w:val="24"/>
        </w:rPr>
        <w:t xml:space="preserve"> </w:t>
      </w:r>
      <w:r w:rsidR="007B6A0D" w:rsidRPr="00373280">
        <w:rPr>
          <w:rFonts w:ascii="Book Antiqua" w:hAnsi="Book Antiqua"/>
          <w:sz w:val="24"/>
          <w:szCs w:val="24"/>
        </w:rPr>
        <w:t>Sin perjuici</w:t>
      </w:r>
      <w:r w:rsidR="00B83485" w:rsidRPr="00373280">
        <w:rPr>
          <w:rFonts w:ascii="Book Antiqua" w:hAnsi="Book Antiqua"/>
          <w:sz w:val="24"/>
          <w:szCs w:val="24"/>
        </w:rPr>
        <w:t>o de aquello, este aumento d</w:t>
      </w:r>
      <w:r w:rsidR="007B6A0D" w:rsidRPr="00373280">
        <w:rPr>
          <w:rFonts w:ascii="Book Antiqua" w:hAnsi="Book Antiqua"/>
          <w:sz w:val="24"/>
          <w:szCs w:val="24"/>
        </w:rPr>
        <w:t>el poder adquisitivo de los países se ve contrastado a la luz de un aumento en las desigualdades y la acumulación de la riqueza.</w:t>
      </w:r>
    </w:p>
    <w:p w:rsidR="00B83485" w:rsidRPr="00373280" w:rsidRDefault="00B83485" w:rsidP="00233FFA">
      <w:pPr>
        <w:spacing w:after="0" w:line="360" w:lineRule="auto"/>
        <w:ind w:right="-234"/>
        <w:jc w:val="both"/>
        <w:rPr>
          <w:rFonts w:ascii="Book Antiqua" w:hAnsi="Book Antiqua"/>
          <w:sz w:val="24"/>
          <w:szCs w:val="24"/>
        </w:rPr>
      </w:pPr>
    </w:p>
    <w:p w:rsidR="000408D0" w:rsidRPr="00373280" w:rsidRDefault="00B83485" w:rsidP="00233FFA">
      <w:pPr>
        <w:spacing w:after="0" w:line="360" w:lineRule="auto"/>
        <w:ind w:right="-234"/>
        <w:jc w:val="both"/>
        <w:rPr>
          <w:rFonts w:ascii="Book Antiqua" w:hAnsi="Book Antiqua"/>
          <w:sz w:val="24"/>
          <w:szCs w:val="24"/>
        </w:rPr>
      </w:pPr>
      <w:r w:rsidRPr="00373280">
        <w:rPr>
          <w:rFonts w:ascii="Book Antiqua" w:hAnsi="Book Antiqua"/>
          <w:sz w:val="24"/>
          <w:szCs w:val="24"/>
        </w:rPr>
        <w:tab/>
        <w:t>Uno de los grandes problemas de nuestros tiempos es el endeudamiento. Un reciente informe del Banco Central de “</w:t>
      </w:r>
      <w:r w:rsidR="007B6A0D" w:rsidRPr="00373280">
        <w:rPr>
          <w:rStyle w:val="Textoennegrita"/>
          <w:rFonts w:ascii="Book Antiqua" w:hAnsi="Book Antiqua" w:cs="Arial"/>
          <w:color w:val="000000"/>
          <w:sz w:val="24"/>
          <w:szCs w:val="24"/>
        </w:rPr>
        <w:t>Cuentas nacionales por sector</w:t>
      </w:r>
      <w:r w:rsidR="00233FFA">
        <w:rPr>
          <w:rStyle w:val="Textoennegrita"/>
          <w:rFonts w:ascii="Book Antiqua" w:hAnsi="Book Antiqua" w:cs="Arial"/>
          <w:color w:val="000000"/>
          <w:sz w:val="24"/>
          <w:szCs w:val="24"/>
        </w:rPr>
        <w:t xml:space="preserve"> </w:t>
      </w:r>
      <w:r w:rsidR="007B6A0D" w:rsidRPr="00373280">
        <w:rPr>
          <w:rStyle w:val="Textoennegrita"/>
          <w:rFonts w:ascii="Book Antiqua" w:hAnsi="Book Antiqua" w:cs="Arial"/>
          <w:color w:val="000000"/>
          <w:sz w:val="24"/>
          <w:szCs w:val="24"/>
        </w:rPr>
        <w:t xml:space="preserve"> institucional</w:t>
      </w:r>
      <w:r w:rsidR="007B6A0D" w:rsidRPr="00373280">
        <w:rPr>
          <w:rFonts w:ascii="Book Antiqua" w:hAnsi="Book Antiqua" w:cs="Arial"/>
          <w:color w:val="000000"/>
          <w:sz w:val="24"/>
          <w:szCs w:val="24"/>
        </w:rPr>
        <w:t xml:space="preserve">”, </w:t>
      </w:r>
      <w:r w:rsidRPr="00373280">
        <w:rPr>
          <w:rFonts w:ascii="Book Antiqua" w:hAnsi="Book Antiqua" w:cs="Arial"/>
          <w:color w:val="000000"/>
          <w:sz w:val="24"/>
          <w:szCs w:val="24"/>
        </w:rPr>
        <w:t xml:space="preserve">se refiere a la evolución del ahorro, inversión </w:t>
      </w:r>
      <w:r w:rsidR="007B6A0D" w:rsidRPr="00373280">
        <w:rPr>
          <w:rFonts w:ascii="Book Antiqua" w:hAnsi="Book Antiqua" w:cs="Arial"/>
          <w:color w:val="000000"/>
          <w:sz w:val="24"/>
          <w:szCs w:val="24"/>
        </w:rPr>
        <w:t>y financ</w:t>
      </w:r>
      <w:r w:rsidRPr="00373280">
        <w:rPr>
          <w:rFonts w:ascii="Book Antiqua" w:hAnsi="Book Antiqua" w:cs="Arial"/>
          <w:color w:val="000000"/>
          <w:sz w:val="24"/>
          <w:szCs w:val="24"/>
        </w:rPr>
        <w:t>iamiento sectorial del año 2018</w:t>
      </w:r>
      <w:r w:rsidR="00F20ECD">
        <w:rPr>
          <w:rFonts w:ascii="Book Antiqua" w:hAnsi="Book Antiqua" w:cs="Arial"/>
          <w:color w:val="000000"/>
          <w:sz w:val="24"/>
          <w:szCs w:val="24"/>
        </w:rPr>
        <w:t xml:space="preserve">, que </w:t>
      </w:r>
      <w:r w:rsidRPr="00373280">
        <w:rPr>
          <w:rFonts w:ascii="Book Antiqua" w:hAnsi="Book Antiqua" w:cs="Arial"/>
          <w:color w:val="000000"/>
          <w:sz w:val="24"/>
          <w:szCs w:val="24"/>
        </w:rPr>
        <w:t>señala</w:t>
      </w:r>
      <w:r w:rsidR="00F20ECD">
        <w:rPr>
          <w:rFonts w:ascii="Book Antiqua" w:hAnsi="Book Antiqua" w:cs="Arial"/>
          <w:color w:val="000000"/>
          <w:sz w:val="24"/>
          <w:szCs w:val="24"/>
        </w:rPr>
        <w:t xml:space="preserve">, </w:t>
      </w:r>
      <w:r w:rsidRPr="00373280">
        <w:rPr>
          <w:rFonts w:ascii="Book Antiqua" w:hAnsi="Book Antiqua" w:cs="Arial"/>
          <w:color w:val="000000"/>
          <w:sz w:val="24"/>
          <w:szCs w:val="24"/>
        </w:rPr>
        <w:t>que durante ese año,</w:t>
      </w:r>
      <w:r w:rsidR="00233FFA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="007B6A0D" w:rsidRPr="00373280">
        <w:rPr>
          <w:rFonts w:ascii="Book Antiqua" w:hAnsi="Book Antiqua" w:cs="Arial"/>
          <w:color w:val="000000"/>
          <w:sz w:val="24"/>
          <w:szCs w:val="24"/>
        </w:rPr>
        <w:t>el endeudamiento de los hogares registró un máximo histórico</w:t>
      </w:r>
      <w:r w:rsidRPr="00373280">
        <w:rPr>
          <w:rFonts w:ascii="Book Antiqua" w:hAnsi="Book Antiqua" w:cs="Arial"/>
          <w:color w:val="000000"/>
          <w:sz w:val="24"/>
          <w:szCs w:val="24"/>
        </w:rPr>
        <w:t>:</w:t>
      </w:r>
      <w:r w:rsidR="007B6A0D" w:rsidRPr="00373280">
        <w:rPr>
          <w:rFonts w:ascii="Book Antiqua" w:hAnsi="Book Antiqua" w:cs="Arial"/>
          <w:color w:val="000000"/>
          <w:sz w:val="24"/>
          <w:szCs w:val="24"/>
        </w:rPr>
        <w:t xml:space="preserve"> “Los hogares registraron un stock de</w:t>
      </w:r>
      <w:r w:rsidR="00233FFA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="007B6A0D" w:rsidRPr="00373280">
        <w:rPr>
          <w:rStyle w:val="Textoennegrita"/>
          <w:rFonts w:ascii="Book Antiqua" w:hAnsi="Book Antiqua" w:cs="Arial"/>
          <w:color w:val="000000"/>
          <w:sz w:val="24"/>
          <w:szCs w:val="24"/>
        </w:rPr>
        <w:t>deuda equivalente a 73,3% del ingreso disponible</w:t>
      </w:r>
      <w:r w:rsidR="007B6A0D" w:rsidRPr="00373280">
        <w:rPr>
          <w:rFonts w:ascii="Book Antiqua" w:hAnsi="Book Antiqua" w:cs="Arial"/>
          <w:color w:val="000000"/>
          <w:sz w:val="24"/>
          <w:szCs w:val="24"/>
        </w:rPr>
        <w:t>, superior en 3,2 puntos porcentual</w:t>
      </w:r>
      <w:r w:rsidRPr="00373280">
        <w:rPr>
          <w:rFonts w:ascii="Book Antiqua" w:hAnsi="Book Antiqua" w:cs="Arial"/>
          <w:color w:val="000000"/>
          <w:sz w:val="24"/>
          <w:szCs w:val="24"/>
        </w:rPr>
        <w:t xml:space="preserve">es al cierre del año anterior”. Agrega dicho estudio que esa </w:t>
      </w:r>
      <w:r w:rsidR="000408D0" w:rsidRPr="00373280">
        <w:rPr>
          <w:rFonts w:ascii="Book Antiqua" w:hAnsi="Book Antiqua" w:cs="Arial"/>
          <w:color w:val="000000"/>
          <w:sz w:val="24"/>
          <w:szCs w:val="24"/>
        </w:rPr>
        <w:t>al</w:t>
      </w:r>
      <w:r w:rsidRPr="00373280">
        <w:rPr>
          <w:rFonts w:ascii="Book Antiqua" w:hAnsi="Book Antiqua" w:cs="Arial"/>
          <w:color w:val="000000"/>
          <w:sz w:val="24"/>
          <w:szCs w:val="24"/>
        </w:rPr>
        <w:t xml:space="preserve">za de las deudas se debe, </w:t>
      </w:r>
      <w:r w:rsidR="00233FFA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="000408D0" w:rsidRPr="00373280">
        <w:rPr>
          <w:rFonts w:ascii="Book Antiqua" w:hAnsi="Book Antiqua" w:cs="Arial"/>
          <w:color w:val="000000"/>
          <w:sz w:val="24"/>
          <w:szCs w:val="24"/>
        </w:rPr>
        <w:t>por el</w:t>
      </w:r>
      <w:r w:rsidR="00233FFA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="000408D0" w:rsidRPr="00373280">
        <w:rPr>
          <w:rStyle w:val="Textoennegrita"/>
          <w:rFonts w:ascii="Book Antiqua" w:hAnsi="Book Antiqua" w:cs="Arial"/>
          <w:color w:val="000000"/>
          <w:sz w:val="24"/>
          <w:szCs w:val="24"/>
        </w:rPr>
        <w:t>aumento de préstamos a largo plazo con entidades bancarias</w:t>
      </w:r>
      <w:r w:rsidR="000408D0" w:rsidRPr="00373280">
        <w:rPr>
          <w:rFonts w:ascii="Book Antiqua" w:hAnsi="Book Antiqua" w:cs="Arial"/>
          <w:color w:val="000000"/>
          <w:sz w:val="24"/>
          <w:szCs w:val="24"/>
        </w:rPr>
        <w:t xml:space="preserve">, como créditos </w:t>
      </w:r>
      <w:r w:rsidR="000408D0" w:rsidRPr="00373280">
        <w:rPr>
          <w:rFonts w:ascii="Book Antiqua" w:hAnsi="Book Antiqua" w:cs="Arial"/>
          <w:color w:val="000000"/>
          <w:sz w:val="24"/>
          <w:szCs w:val="24"/>
        </w:rPr>
        <w:lastRenderedPageBreak/>
        <w:t>de consumo e hipotecarios, junto a créditos otorgados por otros intermediarios como el retail o cajas de compensación.</w:t>
      </w:r>
      <w:r w:rsidRPr="00373280">
        <w:rPr>
          <w:rFonts w:ascii="Book Antiqua" w:hAnsi="Book Antiqua" w:cs="Arial"/>
          <w:color w:val="000000"/>
          <w:sz w:val="24"/>
          <w:szCs w:val="24"/>
        </w:rPr>
        <w:t xml:space="preserve"> El siguiente gráfico </w:t>
      </w:r>
      <w:r w:rsidR="00F20ECD">
        <w:rPr>
          <w:rFonts w:ascii="Book Antiqua" w:hAnsi="Book Antiqua" w:cs="Arial"/>
          <w:color w:val="000000"/>
          <w:sz w:val="24"/>
          <w:szCs w:val="24"/>
        </w:rPr>
        <w:t>demuestra</w:t>
      </w:r>
      <w:r w:rsidRPr="00373280">
        <w:rPr>
          <w:rFonts w:ascii="Book Antiqua" w:hAnsi="Book Antiqua" w:cs="Arial"/>
          <w:color w:val="000000"/>
          <w:sz w:val="24"/>
          <w:szCs w:val="24"/>
        </w:rPr>
        <w:t xml:space="preserve"> esta situación:</w:t>
      </w:r>
    </w:p>
    <w:p w:rsidR="000408D0" w:rsidRPr="00373280" w:rsidRDefault="000408D0" w:rsidP="00233FFA">
      <w:pPr>
        <w:spacing w:after="0" w:line="360" w:lineRule="auto"/>
        <w:ind w:right="-234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0408D0" w:rsidRPr="00373280" w:rsidRDefault="000408D0" w:rsidP="00233FFA">
      <w:pPr>
        <w:spacing w:after="0" w:line="360" w:lineRule="auto"/>
        <w:ind w:right="-234" w:firstLine="720"/>
        <w:jc w:val="center"/>
        <w:rPr>
          <w:rFonts w:ascii="Book Antiqua" w:eastAsia="Courier New" w:hAnsi="Book Antiqua" w:cs="Times New Roman"/>
          <w:sz w:val="24"/>
          <w:szCs w:val="24"/>
        </w:rPr>
      </w:pPr>
      <w:r w:rsidRPr="00373280">
        <w:rPr>
          <w:rFonts w:ascii="Book Antiqua" w:hAnsi="Book Antiqua"/>
          <w:noProof/>
          <w:sz w:val="24"/>
          <w:szCs w:val="24"/>
          <w:lang w:eastAsia="es-ES"/>
        </w:rPr>
        <w:drawing>
          <wp:inline distT="0" distB="0" distL="0" distR="0">
            <wp:extent cx="4549069" cy="3958620"/>
            <wp:effectExtent l="0" t="0" r="4445" b="3810"/>
            <wp:docPr id="2" name="Imagen 2" descr="https://media.cnnchile.com/sites/2/2019/04/deu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cnnchile.com/sites/2/2019/04/deud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811" cy="400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23" w:rsidRPr="00373280" w:rsidRDefault="00E34223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E34223" w:rsidRPr="00373280" w:rsidRDefault="00E34223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E34223" w:rsidRPr="00373280" w:rsidRDefault="00B83485" w:rsidP="00233FFA">
      <w:pPr>
        <w:spacing w:after="0" w:line="360" w:lineRule="auto"/>
        <w:ind w:right="-234" w:firstLine="720"/>
        <w:jc w:val="both"/>
        <w:rPr>
          <w:rFonts w:ascii="Book Antiqua" w:hAnsi="Book Antiqua"/>
          <w:sz w:val="24"/>
          <w:szCs w:val="24"/>
        </w:rPr>
      </w:pPr>
      <w:r w:rsidRPr="00373280">
        <w:rPr>
          <w:rFonts w:ascii="Book Antiqua" w:eastAsia="Courier New" w:hAnsi="Book Antiqua" w:cs="Times New Roman"/>
          <w:sz w:val="24"/>
          <w:szCs w:val="24"/>
        </w:rPr>
        <w:t>Por su parte,</w:t>
      </w:r>
      <w:r w:rsidR="00E34223" w:rsidRPr="00373280">
        <w:rPr>
          <w:rFonts w:ascii="Book Antiqua" w:eastAsia="Courier New" w:hAnsi="Book Antiqua" w:cs="Times New Roman"/>
          <w:sz w:val="24"/>
          <w:szCs w:val="24"/>
        </w:rPr>
        <w:t xml:space="preserve"> el informe de endeudamiento 2018 de la Super</w:t>
      </w:r>
      <w:r w:rsidR="00F20ECD">
        <w:rPr>
          <w:rFonts w:ascii="Book Antiqua" w:eastAsia="Courier New" w:hAnsi="Book Antiqua" w:cs="Times New Roman"/>
          <w:sz w:val="24"/>
          <w:szCs w:val="24"/>
        </w:rPr>
        <w:t>i</w:t>
      </w:r>
      <w:r w:rsidR="00E34223" w:rsidRPr="00373280">
        <w:rPr>
          <w:rFonts w:ascii="Book Antiqua" w:eastAsia="Courier New" w:hAnsi="Book Antiqua" w:cs="Times New Roman"/>
          <w:sz w:val="24"/>
          <w:szCs w:val="24"/>
        </w:rPr>
        <w:t xml:space="preserve">ntendencia de Bancos e Instituciones Financieras de Chile </w:t>
      </w:r>
      <w:r w:rsidR="00F20ECD">
        <w:rPr>
          <w:rFonts w:ascii="Book Antiqua" w:eastAsia="Courier New" w:hAnsi="Book Antiqua" w:cs="Times New Roman"/>
          <w:sz w:val="24"/>
          <w:szCs w:val="24"/>
        </w:rPr>
        <w:t xml:space="preserve">señala que </w:t>
      </w:r>
      <w:r w:rsidR="00E34223" w:rsidRPr="00373280">
        <w:rPr>
          <w:rFonts w:ascii="Book Antiqua" w:eastAsia="Courier New" w:hAnsi="Book Antiqua" w:cs="Times New Roman"/>
          <w:sz w:val="24"/>
          <w:szCs w:val="24"/>
        </w:rPr>
        <w:t>“</w:t>
      </w:r>
      <w:r w:rsidR="00E34223" w:rsidRPr="00373280">
        <w:rPr>
          <w:rFonts w:ascii="Book Antiqua" w:hAnsi="Book Antiqua"/>
          <w:sz w:val="24"/>
          <w:szCs w:val="24"/>
        </w:rPr>
        <w:t>Los indicadores de endeudamiento de los clientes bancarios aumentaron en el último año, siguiendo la trayectoria observada en años recientes. A junio de 2018 el nivel de deuda representativo, definido a partir de la mediana de la distribución, fue de 3,2 millones de pesos chilenos. Esta cifra aumentó en 7,3% real en comparación a igual fecha del año anterior (2,9 millones de pesos). Análogamente, los indicadores de carga financiera (25,7%) y apalancamiento (5,7 veces el ingreso) superaron a los</w:t>
      </w:r>
      <w:r w:rsidR="00233FFA">
        <w:rPr>
          <w:rFonts w:ascii="Book Antiqua" w:hAnsi="Book Antiqua"/>
          <w:sz w:val="24"/>
          <w:szCs w:val="24"/>
        </w:rPr>
        <w:t xml:space="preserve"> </w:t>
      </w:r>
      <w:r w:rsidR="00E34223" w:rsidRPr="00373280">
        <w:rPr>
          <w:rFonts w:ascii="Book Antiqua" w:hAnsi="Book Antiqua"/>
          <w:sz w:val="24"/>
          <w:szCs w:val="24"/>
        </w:rPr>
        <w:t xml:space="preserve"> </w:t>
      </w:r>
      <w:r w:rsidR="00E34223" w:rsidRPr="00373280">
        <w:rPr>
          <w:rFonts w:ascii="Book Antiqua" w:hAnsi="Book Antiqua"/>
          <w:sz w:val="24"/>
          <w:szCs w:val="24"/>
        </w:rPr>
        <w:lastRenderedPageBreak/>
        <w:t>observados doce meses antes (23,7% y 5,2 veces, respectivamente).”</w:t>
      </w:r>
      <w:r w:rsidR="00233FFA">
        <w:rPr>
          <w:rFonts w:ascii="Book Antiqua" w:hAnsi="Book Antiqua"/>
          <w:sz w:val="24"/>
          <w:szCs w:val="24"/>
        </w:rPr>
        <w:t xml:space="preserve"> </w:t>
      </w:r>
      <w:r w:rsidR="00E34223" w:rsidRPr="00373280">
        <w:rPr>
          <w:rFonts w:ascii="Book Antiqua" w:hAnsi="Book Antiqua"/>
          <w:sz w:val="24"/>
          <w:szCs w:val="24"/>
        </w:rPr>
        <w:t>Y agrega que</w:t>
      </w:r>
      <w:r w:rsidR="00F20ECD">
        <w:rPr>
          <w:rFonts w:ascii="Book Antiqua" w:hAnsi="Book Antiqua"/>
          <w:sz w:val="24"/>
          <w:szCs w:val="24"/>
        </w:rPr>
        <w:t xml:space="preserve">, </w:t>
      </w:r>
      <w:r w:rsidR="00E34223" w:rsidRPr="00373280">
        <w:rPr>
          <w:rFonts w:ascii="Book Antiqua" w:hAnsi="Book Antiqua"/>
          <w:sz w:val="24"/>
          <w:szCs w:val="24"/>
        </w:rPr>
        <w:t>“La población entre 35 y 40 años es la que exhibe los mayores indicadores de endeudamiento. Lo opuesto se observa en el segmento etario superior a los 65 años. El nivel de deuda representativo crece con el ingreso de la población evaluada. Por su parte, la carga financiera alcanza su máximo (29,2%) en el segmento de población con ingreso entre 1,2 y 1,7 millones de pesos, mientras que el apalancamiento máximo (13,1 veces el ingreso) se alcanza en el segmento de población cuyas rentas se ubican entre 1,7 millones y 2,6 millones de pesos. La población vulnerable incluye a los deudores morosos y a aquellos que exhiben elevadas cargas financieras. Los segmentos que exhiben índices de morosidad superiores a la mediana (3,9%) son los de menores ingresos, los adultos mayores (&gt;65 años) y los jóvenes”</w:t>
      </w:r>
    </w:p>
    <w:p w:rsidR="00E34223" w:rsidRPr="00373280" w:rsidRDefault="00E34223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3D6592" w:rsidRPr="00373280" w:rsidRDefault="00B83485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  <w:r w:rsidRPr="00373280">
        <w:rPr>
          <w:rFonts w:ascii="Book Antiqua" w:eastAsia="Courier New" w:hAnsi="Book Antiqua" w:cs="Times New Roman"/>
          <w:sz w:val="24"/>
          <w:szCs w:val="24"/>
        </w:rPr>
        <w:t xml:space="preserve">Respecto a la oferta de crédito por parte de las instituciones financiera a los consumidores, encontramos una situación que nos preocupa y es que estas </w:t>
      </w:r>
      <w:r w:rsidR="00233FFA">
        <w:rPr>
          <w:rFonts w:ascii="Book Antiqua" w:eastAsia="Courier New" w:hAnsi="Book Antiqua" w:cs="Times New Roman"/>
          <w:sz w:val="24"/>
          <w:szCs w:val="24"/>
        </w:rPr>
        <w:t xml:space="preserve">  </w:t>
      </w:r>
      <w:r w:rsidRPr="00373280">
        <w:rPr>
          <w:rFonts w:ascii="Book Antiqua" w:eastAsia="Courier New" w:hAnsi="Book Antiqua" w:cs="Times New Roman"/>
          <w:sz w:val="24"/>
          <w:szCs w:val="24"/>
        </w:rPr>
        <w:t xml:space="preserve">entidades </w:t>
      </w:r>
      <w:r w:rsidR="003D6592" w:rsidRPr="00373280">
        <w:rPr>
          <w:rFonts w:ascii="Book Antiqua" w:eastAsia="Courier New" w:hAnsi="Book Antiqua" w:cs="Times New Roman"/>
          <w:sz w:val="24"/>
          <w:szCs w:val="24"/>
        </w:rPr>
        <w:t xml:space="preserve">les dan la posibilidad a sus clientes que tienen deudas en las tarjetas de crédito de </w:t>
      </w:r>
      <w:r w:rsidR="00F20ECD">
        <w:rPr>
          <w:rFonts w:ascii="Book Antiqua" w:eastAsia="Courier New" w:hAnsi="Book Antiqua" w:cs="Times New Roman"/>
          <w:sz w:val="24"/>
          <w:szCs w:val="24"/>
        </w:rPr>
        <w:t>pagar</w:t>
      </w:r>
      <w:r w:rsidR="003D6592" w:rsidRPr="00373280">
        <w:rPr>
          <w:rFonts w:ascii="Book Antiqua" w:eastAsia="Courier New" w:hAnsi="Book Antiqua" w:cs="Times New Roman"/>
          <w:sz w:val="24"/>
          <w:szCs w:val="24"/>
        </w:rPr>
        <w:t xml:space="preserve"> menos de la cuota mensual y muchas veces ofrecen la fórmula de efectuar </w:t>
      </w:r>
      <w:r w:rsidR="00F20ECD">
        <w:rPr>
          <w:rFonts w:ascii="Book Antiqua" w:eastAsia="Courier New" w:hAnsi="Book Antiqua" w:cs="Times New Roman"/>
          <w:sz w:val="24"/>
          <w:szCs w:val="24"/>
        </w:rPr>
        <w:t>lo denominado</w:t>
      </w:r>
      <w:r w:rsidR="003D6592" w:rsidRPr="00373280">
        <w:rPr>
          <w:rFonts w:ascii="Book Antiqua" w:eastAsia="Courier New" w:hAnsi="Book Antiqua" w:cs="Times New Roman"/>
          <w:sz w:val="24"/>
          <w:szCs w:val="24"/>
        </w:rPr>
        <w:t xml:space="preserve"> "pago mínimo".</w:t>
      </w:r>
    </w:p>
    <w:p w:rsidR="003D6592" w:rsidRPr="00373280" w:rsidRDefault="003D6592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133F29" w:rsidRPr="00373280" w:rsidRDefault="003D6592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  <w:r w:rsidRPr="00373280">
        <w:rPr>
          <w:rFonts w:ascii="Book Antiqua" w:eastAsia="Courier New" w:hAnsi="Book Antiqua" w:cs="Times New Roman"/>
          <w:sz w:val="24"/>
          <w:szCs w:val="24"/>
        </w:rPr>
        <w:t>Cabe agregar que esta oferta es atractiva para efectos de disminuir la carga financiera mensual y es por la que muchos deudores optan. Sin pe</w:t>
      </w:r>
      <w:r w:rsidR="00932FFB" w:rsidRPr="00373280">
        <w:rPr>
          <w:rFonts w:ascii="Book Antiqua" w:eastAsia="Courier New" w:hAnsi="Book Antiqua" w:cs="Times New Roman"/>
          <w:sz w:val="24"/>
          <w:szCs w:val="24"/>
        </w:rPr>
        <w:t>rjuicio de lo anterior</w:t>
      </w:r>
      <w:r w:rsidR="00F20ECD">
        <w:rPr>
          <w:rFonts w:ascii="Book Antiqua" w:eastAsia="Courier New" w:hAnsi="Book Antiqua" w:cs="Times New Roman"/>
          <w:sz w:val="24"/>
          <w:szCs w:val="24"/>
        </w:rPr>
        <w:t>,</w:t>
      </w:r>
      <w:r w:rsidR="00932FFB" w:rsidRPr="00373280">
        <w:rPr>
          <w:rFonts w:ascii="Book Antiqua" w:eastAsia="Courier New" w:hAnsi="Book Antiqua" w:cs="Times New Roman"/>
          <w:sz w:val="24"/>
          <w:szCs w:val="24"/>
        </w:rPr>
        <w:t xml:space="preserve"> según los</w:t>
      </w:r>
      <w:r w:rsidRPr="00373280">
        <w:rPr>
          <w:rFonts w:ascii="Book Antiqua" w:eastAsia="Courier New" w:hAnsi="Book Antiqua" w:cs="Times New Roman"/>
          <w:sz w:val="24"/>
          <w:szCs w:val="24"/>
        </w:rPr>
        <w:t xml:space="preserve"> economistas esta es la opción menos recomendable desde el </w:t>
      </w:r>
      <w:r w:rsidR="00233FFA">
        <w:rPr>
          <w:rFonts w:ascii="Book Antiqua" w:eastAsia="Courier New" w:hAnsi="Book Antiqua" w:cs="Times New Roman"/>
          <w:sz w:val="24"/>
          <w:szCs w:val="24"/>
        </w:rPr>
        <w:t xml:space="preserve"> </w:t>
      </w:r>
      <w:r w:rsidRPr="00373280">
        <w:rPr>
          <w:rFonts w:ascii="Book Antiqua" w:eastAsia="Courier New" w:hAnsi="Book Antiqua" w:cs="Times New Roman"/>
          <w:sz w:val="24"/>
          <w:szCs w:val="24"/>
        </w:rPr>
        <w:t>punto de vista del costo que la persona termina asumiendo por un crédito relacionado al plástic</w:t>
      </w:r>
      <w:r w:rsidR="00133F29" w:rsidRPr="00373280">
        <w:rPr>
          <w:rFonts w:ascii="Book Antiqua" w:eastAsia="Courier New" w:hAnsi="Book Antiqua" w:cs="Times New Roman"/>
          <w:sz w:val="24"/>
          <w:szCs w:val="24"/>
        </w:rPr>
        <w:t>o.</w:t>
      </w:r>
    </w:p>
    <w:p w:rsidR="00932FFB" w:rsidRPr="00373280" w:rsidRDefault="00932FFB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F915E7" w:rsidRPr="00373280" w:rsidRDefault="00133F29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  <w:r w:rsidRPr="00373280">
        <w:rPr>
          <w:rFonts w:ascii="Book Antiqua" w:eastAsia="Courier New" w:hAnsi="Book Antiqua" w:cs="Times New Roman"/>
          <w:sz w:val="24"/>
          <w:szCs w:val="24"/>
        </w:rPr>
        <w:t>El pago mínimo es una opción que entregan las instituciones financieras para que las personas no paguen intereses moratori</w:t>
      </w:r>
      <w:r w:rsidR="00F20ECD">
        <w:rPr>
          <w:rFonts w:ascii="Book Antiqua" w:eastAsia="Courier New" w:hAnsi="Book Antiqua" w:cs="Times New Roman"/>
          <w:sz w:val="24"/>
          <w:szCs w:val="24"/>
        </w:rPr>
        <w:t>os</w:t>
      </w:r>
      <w:r w:rsidRPr="00373280">
        <w:rPr>
          <w:rFonts w:ascii="Book Antiqua" w:eastAsia="Courier New" w:hAnsi="Book Antiqua" w:cs="Times New Roman"/>
          <w:sz w:val="24"/>
          <w:szCs w:val="24"/>
        </w:rPr>
        <w:t xml:space="preserve">, pero el problema es que con este se amortiza el capital de forma muy disminuida, teniendo como efecto que se </w:t>
      </w:r>
      <w:r w:rsidR="00233FFA">
        <w:rPr>
          <w:rFonts w:ascii="Book Antiqua" w:eastAsia="Courier New" w:hAnsi="Book Antiqua" w:cs="Times New Roman"/>
          <w:sz w:val="24"/>
          <w:szCs w:val="24"/>
        </w:rPr>
        <w:t xml:space="preserve">     </w:t>
      </w:r>
      <w:r w:rsidRPr="00373280">
        <w:rPr>
          <w:rFonts w:ascii="Book Antiqua" w:eastAsia="Courier New" w:hAnsi="Book Antiqua" w:cs="Times New Roman"/>
          <w:sz w:val="24"/>
          <w:szCs w:val="24"/>
        </w:rPr>
        <w:lastRenderedPageBreak/>
        <w:t>paguen muchos intereses y la deuda se alarga en demasía.</w:t>
      </w:r>
      <w:r w:rsidR="00F915E7" w:rsidRPr="00373280">
        <w:rPr>
          <w:rFonts w:ascii="Book Antiqua" w:eastAsia="Courier New" w:hAnsi="Book Antiqua" w:cs="Times New Roman"/>
          <w:sz w:val="24"/>
          <w:szCs w:val="24"/>
        </w:rPr>
        <w:t xml:space="preserve"> En sencillas palabras la opción del pago mínimo es oferta atractiva para los deudores, pero en los hechos </w:t>
      </w:r>
      <w:r w:rsidR="007B6A0D" w:rsidRPr="00373280">
        <w:rPr>
          <w:rFonts w:ascii="Book Antiqua" w:eastAsia="Courier New" w:hAnsi="Book Antiqua" w:cs="Times New Roman"/>
          <w:sz w:val="24"/>
          <w:szCs w:val="24"/>
        </w:rPr>
        <w:t xml:space="preserve">estos </w:t>
      </w:r>
      <w:r w:rsidR="00F915E7" w:rsidRPr="00373280">
        <w:rPr>
          <w:rFonts w:ascii="Book Antiqua" w:eastAsia="Courier New" w:hAnsi="Book Antiqua" w:cs="Times New Roman"/>
          <w:sz w:val="24"/>
          <w:szCs w:val="24"/>
        </w:rPr>
        <w:t xml:space="preserve">no </w:t>
      </w:r>
      <w:r w:rsidR="00F20ECD">
        <w:rPr>
          <w:rFonts w:ascii="Book Antiqua" w:eastAsia="Courier New" w:hAnsi="Book Antiqua" w:cs="Times New Roman"/>
          <w:sz w:val="24"/>
          <w:szCs w:val="24"/>
        </w:rPr>
        <w:t>se percatan</w:t>
      </w:r>
      <w:r w:rsidR="00F915E7" w:rsidRPr="00373280">
        <w:rPr>
          <w:rFonts w:ascii="Book Antiqua" w:eastAsia="Courier New" w:hAnsi="Book Antiqua" w:cs="Times New Roman"/>
          <w:sz w:val="24"/>
          <w:szCs w:val="24"/>
        </w:rPr>
        <w:t xml:space="preserve"> </w:t>
      </w:r>
      <w:r w:rsidR="00F20ECD">
        <w:rPr>
          <w:rFonts w:ascii="Book Antiqua" w:eastAsia="Courier New" w:hAnsi="Book Antiqua" w:cs="Times New Roman"/>
          <w:sz w:val="24"/>
          <w:szCs w:val="24"/>
        </w:rPr>
        <w:t>d</w:t>
      </w:r>
      <w:r w:rsidR="00F915E7" w:rsidRPr="00373280">
        <w:rPr>
          <w:rFonts w:ascii="Book Antiqua" w:eastAsia="Courier New" w:hAnsi="Book Antiqua" w:cs="Times New Roman"/>
          <w:sz w:val="24"/>
          <w:szCs w:val="24"/>
        </w:rPr>
        <w:t>el costo que esto acarrea.</w:t>
      </w:r>
    </w:p>
    <w:p w:rsidR="00F915E7" w:rsidRPr="00373280" w:rsidRDefault="00F915E7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133F29" w:rsidRPr="00373280" w:rsidRDefault="00F915E7" w:rsidP="00233FFA">
      <w:pPr>
        <w:spacing w:after="0" w:line="360" w:lineRule="auto"/>
        <w:ind w:right="-234" w:firstLine="720"/>
        <w:jc w:val="both"/>
        <w:rPr>
          <w:rFonts w:ascii="Book Antiqua" w:hAnsi="Book Antiqua" w:cs="Times New Roman"/>
          <w:sz w:val="24"/>
          <w:szCs w:val="24"/>
          <w:lang w:val="es-CL"/>
        </w:rPr>
      </w:pPr>
      <w:r w:rsidRPr="00373280">
        <w:rPr>
          <w:rFonts w:ascii="Book Antiqua" w:eastAsia="Courier New" w:hAnsi="Book Antiqua" w:cs="Times New Roman"/>
          <w:sz w:val="24"/>
          <w:szCs w:val="24"/>
        </w:rPr>
        <w:t xml:space="preserve">Si bien es cierto este es un asunto directamente relacionado con la educación financiera, la cual debe promoverse en los establecimientos educacionales, en el entendido de que </w:t>
      </w:r>
      <w:r w:rsidRPr="00373280">
        <w:rPr>
          <w:rFonts w:ascii="Book Antiqua" w:hAnsi="Book Antiqua" w:cs="Times New Roman"/>
          <w:sz w:val="24"/>
          <w:szCs w:val="24"/>
        </w:rPr>
        <w:t xml:space="preserve">la generación de programas educacionales sobre esta materia corresponde a una estrategia fundamental para alcanzar una cobertura importante </w:t>
      </w:r>
      <w:r w:rsidR="00233FFA">
        <w:rPr>
          <w:rFonts w:ascii="Book Antiqua" w:hAnsi="Book Antiqua" w:cs="Times New Roman"/>
          <w:sz w:val="24"/>
          <w:szCs w:val="24"/>
        </w:rPr>
        <w:t xml:space="preserve"> </w:t>
      </w:r>
      <w:r w:rsidRPr="00373280">
        <w:rPr>
          <w:rFonts w:ascii="Book Antiqua" w:hAnsi="Book Antiqua" w:cs="Times New Roman"/>
          <w:sz w:val="24"/>
          <w:szCs w:val="24"/>
        </w:rPr>
        <w:t>en la formación de ciudadanos empoderados, que toman mejores decisiones financieras, aumentando de esta manera su bienestar personal, familiar y potencialmente colectivo</w:t>
      </w:r>
      <w:r w:rsidRPr="00373280">
        <w:rPr>
          <w:rStyle w:val="Refdenotaalpie"/>
          <w:rFonts w:ascii="Book Antiqua" w:hAnsi="Book Antiqua" w:cs="Times New Roman"/>
          <w:sz w:val="24"/>
          <w:szCs w:val="24"/>
        </w:rPr>
        <w:footnoteReference w:id="2"/>
      </w:r>
      <w:r w:rsidR="005D660A" w:rsidRPr="00373280">
        <w:rPr>
          <w:rFonts w:ascii="Book Antiqua" w:hAnsi="Book Antiqua" w:cs="Times New Roman"/>
          <w:sz w:val="24"/>
          <w:szCs w:val="24"/>
        </w:rPr>
        <w:t>.</w:t>
      </w:r>
      <w:r w:rsidR="00580B0B" w:rsidRPr="00373280">
        <w:rPr>
          <w:rFonts w:ascii="Book Antiqua" w:hAnsi="Book Antiqua" w:cs="Times New Roman"/>
          <w:sz w:val="24"/>
          <w:szCs w:val="24"/>
        </w:rPr>
        <w:t xml:space="preserve"> No se puede desconocer la responsabilidad que tienen las instituciones financieras</w:t>
      </w:r>
      <w:r w:rsidR="007B6A0D" w:rsidRPr="00373280">
        <w:rPr>
          <w:rFonts w:ascii="Book Antiqua" w:hAnsi="Book Antiqua" w:cs="Times New Roman"/>
          <w:sz w:val="24"/>
          <w:szCs w:val="24"/>
        </w:rPr>
        <w:t xml:space="preserve"> de informar las consecuencias que traen para consigo la elección de la alternativa del pago mínimo.</w:t>
      </w:r>
    </w:p>
    <w:p w:rsidR="003D6592" w:rsidRPr="00373280" w:rsidRDefault="003D6592" w:rsidP="00233FFA">
      <w:pPr>
        <w:spacing w:after="0" w:line="360" w:lineRule="auto"/>
        <w:ind w:right="-234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3D6592" w:rsidRPr="00373280" w:rsidRDefault="003D6592" w:rsidP="00233FFA">
      <w:pPr>
        <w:spacing w:after="0" w:line="360" w:lineRule="auto"/>
        <w:ind w:right="-234"/>
        <w:jc w:val="both"/>
        <w:rPr>
          <w:rFonts w:ascii="Book Antiqua" w:eastAsia="Courier New" w:hAnsi="Book Antiqua" w:cs="Courier New"/>
          <w:sz w:val="24"/>
          <w:szCs w:val="24"/>
        </w:rPr>
      </w:pPr>
    </w:p>
    <w:p w:rsidR="00DE14E7" w:rsidRPr="00373280" w:rsidRDefault="00642F80" w:rsidP="00233FFA">
      <w:pPr>
        <w:spacing w:after="0" w:line="360" w:lineRule="auto"/>
        <w:ind w:right="-234"/>
        <w:jc w:val="both"/>
        <w:rPr>
          <w:rFonts w:ascii="Book Antiqua" w:eastAsia="Courier New" w:hAnsi="Book Antiqua" w:cs="Courier New"/>
          <w:b/>
          <w:sz w:val="24"/>
          <w:szCs w:val="24"/>
        </w:rPr>
      </w:pPr>
      <w:r w:rsidRPr="00373280">
        <w:rPr>
          <w:rFonts w:ascii="Book Antiqua" w:eastAsia="Courier New" w:hAnsi="Book Antiqua" w:cs="Courier New"/>
          <w:b/>
          <w:sz w:val="24"/>
          <w:szCs w:val="24"/>
        </w:rPr>
        <w:t>2.- Idea Matriz.</w:t>
      </w:r>
    </w:p>
    <w:p w:rsidR="00B83485" w:rsidRPr="00373280" w:rsidRDefault="00B83485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Times New Roman"/>
          <w:sz w:val="24"/>
          <w:szCs w:val="24"/>
        </w:rPr>
      </w:pPr>
    </w:p>
    <w:p w:rsidR="00DE14E7" w:rsidRPr="00373280" w:rsidRDefault="00B83485" w:rsidP="00233FFA">
      <w:pPr>
        <w:spacing w:after="0" w:line="360" w:lineRule="auto"/>
        <w:ind w:right="-234" w:firstLine="720"/>
        <w:jc w:val="both"/>
        <w:rPr>
          <w:rFonts w:ascii="Book Antiqua" w:eastAsia="Courier New" w:hAnsi="Book Antiqua" w:cs="Courier New"/>
          <w:b/>
          <w:sz w:val="24"/>
          <w:szCs w:val="24"/>
        </w:rPr>
      </w:pPr>
      <w:r w:rsidRPr="00373280">
        <w:rPr>
          <w:rFonts w:ascii="Book Antiqua" w:eastAsia="Courier New" w:hAnsi="Book Antiqua" w:cs="Times New Roman"/>
          <w:sz w:val="24"/>
          <w:szCs w:val="24"/>
        </w:rPr>
        <w:t xml:space="preserve">Modificar la </w:t>
      </w:r>
      <w:r w:rsidR="00F20ECD">
        <w:rPr>
          <w:rFonts w:ascii="Book Antiqua" w:eastAsia="Courier New" w:hAnsi="Book Antiqua" w:cs="Times New Roman"/>
          <w:sz w:val="24"/>
          <w:szCs w:val="24"/>
        </w:rPr>
        <w:t>L</w:t>
      </w:r>
      <w:r w:rsidRPr="00373280">
        <w:rPr>
          <w:rFonts w:ascii="Book Antiqua" w:eastAsia="Courier New" w:hAnsi="Book Antiqua" w:cs="Times New Roman"/>
          <w:sz w:val="24"/>
          <w:szCs w:val="24"/>
        </w:rPr>
        <w:t xml:space="preserve">ey de </w:t>
      </w:r>
      <w:r w:rsidR="00F20ECD">
        <w:rPr>
          <w:rFonts w:ascii="Book Antiqua" w:eastAsia="Courier New" w:hAnsi="Book Antiqua" w:cs="Times New Roman"/>
          <w:sz w:val="24"/>
          <w:szCs w:val="24"/>
        </w:rPr>
        <w:t>P</w:t>
      </w:r>
      <w:r w:rsidRPr="00373280">
        <w:rPr>
          <w:rFonts w:ascii="Book Antiqua" w:eastAsia="Courier New" w:hAnsi="Book Antiqua" w:cs="Times New Roman"/>
          <w:sz w:val="24"/>
          <w:szCs w:val="24"/>
        </w:rPr>
        <w:t xml:space="preserve">rotección de </w:t>
      </w:r>
      <w:r w:rsidR="00F20ECD">
        <w:rPr>
          <w:rFonts w:ascii="Book Antiqua" w:eastAsia="Courier New" w:hAnsi="Book Antiqua" w:cs="Times New Roman"/>
          <w:sz w:val="24"/>
          <w:szCs w:val="24"/>
        </w:rPr>
        <w:t>D</w:t>
      </w:r>
      <w:r w:rsidRPr="00373280">
        <w:rPr>
          <w:rFonts w:ascii="Book Antiqua" w:eastAsia="Courier New" w:hAnsi="Book Antiqua" w:cs="Times New Roman"/>
          <w:sz w:val="24"/>
          <w:szCs w:val="24"/>
        </w:rPr>
        <w:t xml:space="preserve">erechos del </w:t>
      </w:r>
      <w:r w:rsidR="00F20ECD">
        <w:rPr>
          <w:rFonts w:ascii="Book Antiqua" w:eastAsia="Courier New" w:hAnsi="Book Antiqua" w:cs="Times New Roman"/>
          <w:sz w:val="24"/>
          <w:szCs w:val="24"/>
        </w:rPr>
        <w:t>C</w:t>
      </w:r>
      <w:r w:rsidRPr="00373280">
        <w:rPr>
          <w:rFonts w:ascii="Book Antiqua" w:eastAsia="Courier New" w:hAnsi="Book Antiqua" w:cs="Times New Roman"/>
          <w:sz w:val="24"/>
          <w:szCs w:val="24"/>
        </w:rPr>
        <w:t>onsumidor incorporando la obligación expresa por parte las instituciones financieras que ofrecen estos créditos de informar que significa pagar el mínimo</w:t>
      </w: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Courier New"/>
          <w:b/>
          <w:sz w:val="24"/>
          <w:szCs w:val="24"/>
        </w:rPr>
      </w:pPr>
    </w:p>
    <w:p w:rsidR="007B3C86" w:rsidRPr="00373280" w:rsidRDefault="007B3C86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Courier New"/>
          <w:b/>
          <w:sz w:val="24"/>
          <w:szCs w:val="24"/>
        </w:rPr>
      </w:pPr>
    </w:p>
    <w:p w:rsidR="007B3C86" w:rsidRPr="00373280" w:rsidRDefault="007B3C86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Courier New"/>
          <w:b/>
          <w:sz w:val="24"/>
          <w:szCs w:val="24"/>
        </w:rPr>
      </w:pPr>
    </w:p>
    <w:p w:rsidR="007B3C86" w:rsidRPr="00373280" w:rsidRDefault="007B3C86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Courier New"/>
          <w:b/>
          <w:sz w:val="24"/>
          <w:szCs w:val="24"/>
        </w:rPr>
      </w:pPr>
    </w:p>
    <w:p w:rsidR="007B3C86" w:rsidRPr="00373280" w:rsidRDefault="007B3C86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Courier New"/>
          <w:b/>
          <w:sz w:val="24"/>
          <w:szCs w:val="24"/>
        </w:rPr>
      </w:pP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Courier New"/>
          <w:b/>
          <w:sz w:val="24"/>
          <w:szCs w:val="24"/>
        </w:rPr>
      </w:pPr>
    </w:p>
    <w:p w:rsidR="00DE14E7" w:rsidRPr="00373280" w:rsidRDefault="00642F80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center"/>
        <w:rPr>
          <w:rFonts w:ascii="Book Antiqua" w:eastAsia="Courier New" w:hAnsi="Book Antiqua" w:cs="Courier New"/>
          <w:b/>
          <w:sz w:val="24"/>
          <w:szCs w:val="24"/>
          <w:u w:val="single"/>
        </w:rPr>
      </w:pPr>
      <w:r w:rsidRPr="00373280">
        <w:rPr>
          <w:rFonts w:ascii="Book Antiqua" w:eastAsia="Courier New" w:hAnsi="Book Antiqua" w:cs="Courier New"/>
          <w:b/>
          <w:sz w:val="24"/>
          <w:szCs w:val="24"/>
          <w:u w:val="single"/>
        </w:rPr>
        <w:t xml:space="preserve">PROYECTO DE LEY </w:t>
      </w: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Courier New"/>
          <w:sz w:val="24"/>
          <w:szCs w:val="24"/>
        </w:rPr>
      </w:pPr>
    </w:p>
    <w:p w:rsidR="00580B0B" w:rsidRPr="00373280" w:rsidRDefault="005D660A" w:rsidP="00233FFA">
      <w:pPr>
        <w:spacing w:line="360" w:lineRule="auto"/>
        <w:ind w:right="-234"/>
        <w:jc w:val="both"/>
        <w:rPr>
          <w:rFonts w:ascii="Book Antiqua" w:hAnsi="Book Antiqua" w:cs="Courier New"/>
          <w:sz w:val="24"/>
          <w:szCs w:val="24"/>
        </w:rPr>
      </w:pPr>
      <w:r w:rsidRPr="00373280">
        <w:rPr>
          <w:rFonts w:ascii="Book Antiqua" w:hAnsi="Book Antiqua" w:cs="Courier New"/>
          <w:sz w:val="24"/>
          <w:szCs w:val="24"/>
        </w:rPr>
        <w:t xml:space="preserve">ARTICULO </w:t>
      </w:r>
      <w:r w:rsidR="00F20ECD" w:rsidRPr="00373280">
        <w:rPr>
          <w:rFonts w:ascii="Book Antiqua" w:hAnsi="Book Antiqua" w:cs="Courier New"/>
          <w:sz w:val="24"/>
          <w:szCs w:val="24"/>
        </w:rPr>
        <w:t>ÚNICO. -</w:t>
      </w:r>
      <w:r w:rsidRPr="00373280">
        <w:rPr>
          <w:rFonts w:ascii="Book Antiqua" w:hAnsi="Book Antiqua" w:cs="Courier New"/>
          <w:sz w:val="24"/>
          <w:szCs w:val="24"/>
        </w:rPr>
        <w:t xml:space="preserve"> Introdúzcase las siguientes modificaciones al Artículo 37 de la Ley 19</w:t>
      </w:r>
      <w:r w:rsidR="007B3C86" w:rsidRPr="00373280">
        <w:rPr>
          <w:rFonts w:ascii="Book Antiqua" w:hAnsi="Book Antiqua" w:cs="Courier New"/>
          <w:sz w:val="24"/>
          <w:szCs w:val="24"/>
        </w:rPr>
        <w:t>.</w:t>
      </w:r>
      <w:r w:rsidRPr="00373280">
        <w:rPr>
          <w:rFonts w:ascii="Book Antiqua" w:hAnsi="Book Antiqua" w:cs="Courier New"/>
          <w:sz w:val="24"/>
          <w:szCs w:val="24"/>
        </w:rPr>
        <w:t>496, que establece normas sobre protección de los derechos de los consumidores:</w:t>
      </w:r>
    </w:p>
    <w:p w:rsidR="00580B0B" w:rsidRPr="00373280" w:rsidRDefault="00580B0B" w:rsidP="00233FFA">
      <w:pPr>
        <w:pStyle w:val="Prrafodelista"/>
        <w:numPr>
          <w:ilvl w:val="0"/>
          <w:numId w:val="3"/>
        </w:numPr>
        <w:spacing w:line="360" w:lineRule="auto"/>
        <w:ind w:right="-234"/>
        <w:jc w:val="both"/>
        <w:rPr>
          <w:rFonts w:ascii="Book Antiqua" w:hAnsi="Book Antiqua"/>
          <w:sz w:val="24"/>
          <w:szCs w:val="24"/>
        </w:rPr>
      </w:pPr>
      <w:r w:rsidRPr="00373280">
        <w:rPr>
          <w:rFonts w:ascii="Book Antiqua" w:hAnsi="Book Antiqua"/>
          <w:sz w:val="24"/>
          <w:szCs w:val="24"/>
        </w:rPr>
        <w:t>Elimínese la expresión “y” que se encuentra al final de la letra e)</w:t>
      </w:r>
    </w:p>
    <w:p w:rsidR="00580B0B" w:rsidRPr="00373280" w:rsidRDefault="00580B0B" w:rsidP="00233FFA">
      <w:pPr>
        <w:pStyle w:val="Prrafodelista"/>
        <w:numPr>
          <w:ilvl w:val="0"/>
          <w:numId w:val="3"/>
        </w:numPr>
        <w:spacing w:line="360" w:lineRule="auto"/>
        <w:ind w:right="-234"/>
        <w:jc w:val="both"/>
        <w:rPr>
          <w:rFonts w:ascii="Book Antiqua" w:hAnsi="Book Antiqua"/>
          <w:sz w:val="24"/>
          <w:szCs w:val="24"/>
        </w:rPr>
      </w:pPr>
      <w:r w:rsidRPr="00373280">
        <w:rPr>
          <w:rFonts w:ascii="Book Antiqua" w:hAnsi="Book Antiqua"/>
          <w:sz w:val="24"/>
          <w:szCs w:val="24"/>
        </w:rPr>
        <w:t>Agréguese una nueva letra f) pasando la actual</w:t>
      </w:r>
      <w:r w:rsidR="00233FFA">
        <w:rPr>
          <w:rFonts w:ascii="Book Antiqua" w:hAnsi="Book Antiqua"/>
          <w:sz w:val="24"/>
          <w:szCs w:val="24"/>
        </w:rPr>
        <w:t xml:space="preserve"> a ser g), del siguiente tenor:</w:t>
      </w:r>
    </w:p>
    <w:p w:rsidR="00580B0B" w:rsidRPr="00373280" w:rsidRDefault="007B6A0D" w:rsidP="00233FFA">
      <w:pPr>
        <w:pStyle w:val="Prrafodelista"/>
        <w:spacing w:line="360" w:lineRule="auto"/>
        <w:ind w:right="-234"/>
        <w:jc w:val="both"/>
        <w:rPr>
          <w:rFonts w:ascii="Book Antiqua" w:hAnsi="Book Antiqua"/>
          <w:sz w:val="24"/>
          <w:szCs w:val="24"/>
        </w:rPr>
      </w:pPr>
      <w:r w:rsidRPr="00373280">
        <w:rPr>
          <w:rFonts w:ascii="Book Antiqua" w:hAnsi="Book Antiqua"/>
          <w:sz w:val="24"/>
          <w:szCs w:val="24"/>
        </w:rPr>
        <w:t>“Si se ofrece la alternativa del pago mínimo, deberán informarse expresamente los costos que conlleva esta opción de pago</w:t>
      </w:r>
      <w:r w:rsidR="00373280" w:rsidRPr="00373280">
        <w:rPr>
          <w:rFonts w:ascii="Book Antiqua" w:hAnsi="Book Antiqua"/>
          <w:sz w:val="24"/>
          <w:szCs w:val="24"/>
        </w:rPr>
        <w:t xml:space="preserve"> y los efectos que produce respecto del monto de la deuda</w:t>
      </w:r>
      <w:r w:rsidRPr="00373280">
        <w:rPr>
          <w:rFonts w:ascii="Book Antiqua" w:hAnsi="Book Antiqua"/>
          <w:sz w:val="24"/>
          <w:szCs w:val="24"/>
        </w:rPr>
        <w:t>”</w:t>
      </w:r>
    </w:p>
    <w:p w:rsidR="00580B0B" w:rsidRPr="00373280" w:rsidRDefault="00580B0B" w:rsidP="00233FFA">
      <w:pPr>
        <w:spacing w:line="360" w:lineRule="auto"/>
        <w:ind w:right="-234"/>
        <w:jc w:val="both"/>
        <w:rPr>
          <w:rFonts w:ascii="Book Antiqua" w:hAnsi="Book Antiqua" w:cs="Courier New"/>
          <w:sz w:val="24"/>
          <w:szCs w:val="24"/>
          <w:lang w:val="es-CL"/>
        </w:rPr>
      </w:pP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/>
        <w:jc w:val="both"/>
        <w:rPr>
          <w:rFonts w:ascii="Book Antiqua" w:eastAsia="Courier New" w:hAnsi="Book Antiqua" w:cs="Courier New"/>
          <w:sz w:val="24"/>
          <w:szCs w:val="24"/>
        </w:rPr>
      </w:pP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34" w:firstLine="720"/>
        <w:jc w:val="both"/>
        <w:rPr>
          <w:rFonts w:ascii="Book Antiqua" w:eastAsia="Courier New" w:hAnsi="Book Antiqua" w:cs="Courier New"/>
          <w:sz w:val="24"/>
          <w:szCs w:val="24"/>
        </w:rPr>
      </w:pP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34"/>
        <w:jc w:val="both"/>
        <w:rPr>
          <w:rFonts w:ascii="Book Antiqua" w:eastAsia="Courier New" w:hAnsi="Book Antiqua" w:cs="Courier New"/>
          <w:sz w:val="24"/>
          <w:szCs w:val="24"/>
        </w:rPr>
      </w:pP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34"/>
        <w:jc w:val="both"/>
        <w:rPr>
          <w:rFonts w:ascii="Book Antiqua" w:eastAsia="Courier New" w:hAnsi="Book Antiqua" w:cs="Courier New"/>
          <w:sz w:val="24"/>
          <w:szCs w:val="24"/>
        </w:rPr>
      </w:pP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34"/>
        <w:jc w:val="both"/>
        <w:rPr>
          <w:rFonts w:ascii="Book Antiqua" w:eastAsia="Courier New" w:hAnsi="Book Antiqua" w:cs="Courier New"/>
          <w:sz w:val="24"/>
          <w:szCs w:val="24"/>
        </w:rPr>
      </w:pPr>
    </w:p>
    <w:p w:rsidR="00DE14E7" w:rsidRPr="00373280" w:rsidRDefault="00642F80" w:rsidP="00233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34"/>
        <w:jc w:val="center"/>
        <w:rPr>
          <w:rFonts w:ascii="Book Antiqua" w:eastAsia="Courier New" w:hAnsi="Book Antiqua" w:cs="Courier New"/>
          <w:sz w:val="24"/>
          <w:szCs w:val="24"/>
        </w:rPr>
      </w:pPr>
      <w:r w:rsidRPr="00373280">
        <w:rPr>
          <w:rFonts w:ascii="Book Antiqua" w:eastAsia="Courier New" w:hAnsi="Book Antiqua" w:cs="Courier New"/>
          <w:b/>
          <w:sz w:val="24"/>
          <w:szCs w:val="24"/>
        </w:rPr>
        <w:t>EDUARDO DURÁN SALINAS</w:t>
      </w:r>
    </w:p>
    <w:p w:rsidR="00DE14E7" w:rsidRPr="00373280" w:rsidRDefault="00642F80" w:rsidP="00233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34"/>
        <w:jc w:val="center"/>
        <w:rPr>
          <w:rFonts w:ascii="Book Antiqua" w:eastAsia="Courier New" w:hAnsi="Book Antiqua" w:cs="Courier New"/>
          <w:sz w:val="24"/>
          <w:szCs w:val="24"/>
        </w:rPr>
      </w:pPr>
      <w:r w:rsidRPr="00373280">
        <w:rPr>
          <w:rFonts w:ascii="Book Antiqua" w:eastAsia="Courier New" w:hAnsi="Book Antiqua" w:cs="Courier New"/>
          <w:b/>
          <w:sz w:val="24"/>
          <w:szCs w:val="24"/>
        </w:rPr>
        <w:t xml:space="preserve">DIPUTADO </w:t>
      </w:r>
    </w:p>
    <w:p w:rsidR="00DE14E7" w:rsidRPr="00373280" w:rsidRDefault="00DE14E7" w:rsidP="00233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34"/>
        <w:jc w:val="both"/>
        <w:rPr>
          <w:rFonts w:ascii="Book Antiqua" w:eastAsia="Courier New" w:hAnsi="Book Antiqua" w:cs="Courier New"/>
          <w:sz w:val="24"/>
          <w:szCs w:val="24"/>
        </w:rPr>
      </w:pPr>
    </w:p>
    <w:sectPr w:rsidR="00DE14E7" w:rsidRPr="00373280" w:rsidSect="007A369D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65" w:rsidRDefault="007A1665">
      <w:pPr>
        <w:spacing w:after="0" w:line="240" w:lineRule="auto"/>
      </w:pPr>
      <w:r>
        <w:separator/>
      </w:r>
    </w:p>
  </w:endnote>
  <w:endnote w:type="continuationSeparator" w:id="0">
    <w:p w:rsidR="007A1665" w:rsidRDefault="007A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65" w:rsidRDefault="007A1665">
      <w:pPr>
        <w:spacing w:after="0" w:line="240" w:lineRule="auto"/>
      </w:pPr>
      <w:r>
        <w:separator/>
      </w:r>
    </w:p>
  </w:footnote>
  <w:footnote w:type="continuationSeparator" w:id="0">
    <w:p w:rsidR="007A1665" w:rsidRDefault="007A1665">
      <w:pPr>
        <w:spacing w:after="0" w:line="240" w:lineRule="auto"/>
      </w:pPr>
      <w:r>
        <w:continuationSeparator/>
      </w:r>
    </w:p>
  </w:footnote>
  <w:footnote w:id="1">
    <w:p w:rsidR="00580B0B" w:rsidRPr="00F20ECD" w:rsidRDefault="00580B0B" w:rsidP="00F20ECD">
      <w:pPr>
        <w:pStyle w:val="Textonotapie"/>
        <w:jc w:val="both"/>
        <w:rPr>
          <w:rFonts w:ascii="Book Antiqua" w:hAnsi="Book Antiqua"/>
        </w:rPr>
      </w:pPr>
      <w:r>
        <w:rPr>
          <w:rStyle w:val="Refdenotaalpie"/>
        </w:rPr>
        <w:footnoteRef/>
      </w:r>
      <w:r>
        <w:t xml:space="preserve"> </w:t>
      </w:r>
      <w:r w:rsidRPr="00F20ECD">
        <w:rPr>
          <w:rFonts w:ascii="Book Antiqua" w:hAnsi="Book Antiqua"/>
        </w:rPr>
        <w:t>El promedio del PIB per cápita mundial para el año 1960 era de 450 dólares; en 1990, de 4.272 dólares y, en 2017, de 10.163 dólares (ajustado al valor del dólar actual). Fuente: Banco Mundial, http://datos.bancomundial.org/indicador/NY.GDP.PCAP.CD?view=chart (visitada el 14 de julio de 2017).</w:t>
      </w:r>
    </w:p>
  </w:footnote>
  <w:footnote w:id="2">
    <w:p w:rsidR="00F915E7" w:rsidRPr="00F20ECD" w:rsidRDefault="00F915E7" w:rsidP="00F20ECD">
      <w:pPr>
        <w:pStyle w:val="Textonotapie"/>
        <w:jc w:val="both"/>
        <w:rPr>
          <w:rFonts w:ascii="Book Antiqua" w:hAnsi="Book Antiqua"/>
          <w:lang w:val="es-CL"/>
        </w:rPr>
      </w:pPr>
      <w:r w:rsidRPr="00F20ECD">
        <w:rPr>
          <w:rStyle w:val="Refdenotaalpie"/>
          <w:rFonts w:ascii="Book Antiqua" w:hAnsi="Book Antiqua"/>
        </w:rPr>
        <w:footnoteRef/>
      </w:r>
      <w:r w:rsidRPr="00F20ECD">
        <w:rPr>
          <w:rFonts w:ascii="Book Antiqua" w:hAnsi="Book Antiqua"/>
        </w:rPr>
        <w:t xml:space="preserve"> De acuerdo a lo señalado en la “Estrategia Nacional de Educación Financiera del país” (2016), la educación financiera no tiene sólo un impacto en la comprensión, habilidades y decisiones a nivel personal, sino que tambié</w:t>
      </w:r>
      <w:bookmarkStart w:id="0" w:name="_GoBack"/>
      <w:bookmarkEnd w:id="0"/>
      <w:r w:rsidRPr="00F20ECD">
        <w:rPr>
          <w:rFonts w:ascii="Book Antiqua" w:hAnsi="Book Antiqua"/>
        </w:rPr>
        <w:t>n en la sociedad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E7" w:rsidRDefault="00642F80">
    <w:r>
      <w:rPr>
        <w:noProof/>
        <w:lang w:eastAsia="es-ES"/>
      </w:rPr>
      <w:drawing>
        <wp:inline distT="114300" distB="114300" distL="114300" distR="114300">
          <wp:extent cx="1038225" cy="876300"/>
          <wp:effectExtent l="0" t="0" r="9525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9002" cy="876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00D3"/>
    <w:multiLevelType w:val="hybridMultilevel"/>
    <w:tmpl w:val="D0389BC6"/>
    <w:lvl w:ilvl="0" w:tplc="8758D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3500B"/>
    <w:multiLevelType w:val="multilevel"/>
    <w:tmpl w:val="061A95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727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9D77D63"/>
    <w:multiLevelType w:val="multilevel"/>
    <w:tmpl w:val="2BE0857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14E7"/>
    <w:rsid w:val="000408D0"/>
    <w:rsid w:val="00094466"/>
    <w:rsid w:val="00133F29"/>
    <w:rsid w:val="00233FFA"/>
    <w:rsid w:val="00321035"/>
    <w:rsid w:val="00373280"/>
    <w:rsid w:val="003D6592"/>
    <w:rsid w:val="00580B0B"/>
    <w:rsid w:val="00596CA6"/>
    <w:rsid w:val="005D2316"/>
    <w:rsid w:val="005D660A"/>
    <w:rsid w:val="00642F80"/>
    <w:rsid w:val="007A1665"/>
    <w:rsid w:val="007A369D"/>
    <w:rsid w:val="007B3C86"/>
    <w:rsid w:val="007B6A0D"/>
    <w:rsid w:val="0093033B"/>
    <w:rsid w:val="00932FFB"/>
    <w:rsid w:val="00B83485"/>
    <w:rsid w:val="00DE14E7"/>
    <w:rsid w:val="00E34223"/>
    <w:rsid w:val="00F20ECD"/>
    <w:rsid w:val="00F9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369D"/>
  </w:style>
  <w:style w:type="paragraph" w:styleId="Ttulo1">
    <w:name w:val="heading 1"/>
    <w:basedOn w:val="Normal"/>
    <w:next w:val="Normal"/>
    <w:rsid w:val="007A36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A36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A36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A36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A369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A36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A36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A369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A36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D6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592"/>
  </w:style>
  <w:style w:type="paragraph" w:styleId="Piedepgina">
    <w:name w:val="footer"/>
    <w:basedOn w:val="Normal"/>
    <w:link w:val="PiedepginaCar"/>
    <w:uiPriority w:val="99"/>
    <w:unhideWhenUsed/>
    <w:rsid w:val="003D6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592"/>
  </w:style>
  <w:style w:type="paragraph" w:styleId="Prrafodelista">
    <w:name w:val="List Paragraph"/>
    <w:basedOn w:val="Normal"/>
    <w:uiPriority w:val="34"/>
    <w:qFormat/>
    <w:rsid w:val="003D65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915E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915E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915E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15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15E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15E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7B6A0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B6A0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3A4E-7998-471B-A23C-07748107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Durán;Guillermo Diaz Vallejos</dc:creator>
  <cp:lastModifiedBy>Guillermo Diaz Vallejos</cp:lastModifiedBy>
  <cp:revision>2</cp:revision>
  <cp:lastPrinted>2019-06-18T19:27:00Z</cp:lastPrinted>
  <dcterms:created xsi:type="dcterms:W3CDTF">2019-07-01T16:07:00Z</dcterms:created>
  <dcterms:modified xsi:type="dcterms:W3CDTF">2019-07-01T16:07:00Z</dcterms:modified>
</cp:coreProperties>
</file>