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927" w:rsidRDefault="00E313B9" w:rsidP="00E313B9">
      <w:pPr>
        <w:pStyle w:val="normal0"/>
        <w:ind w:right="6"/>
        <w:jc w:val="both"/>
        <w:rPr>
          <w:rFonts w:ascii="Courier New" w:eastAsia="Courier New" w:hAnsi="Courier New" w:cs="Courier New"/>
          <w:b/>
        </w:rPr>
      </w:pPr>
      <w:r w:rsidRPr="00E313B9">
        <w:rPr>
          <w:rFonts w:ascii="Courier New" w:eastAsia="Courier New" w:hAnsi="Courier New" w:cs="Courier New"/>
          <w:b/>
        </w:rPr>
        <w:t>Modifica el Código de Procedimiento Civil en materia de tasación de los bienes embargados para efectos de su venta en pública subasta</w:t>
      </w:r>
    </w:p>
    <w:p w:rsidR="00E313B9" w:rsidRDefault="00E313B9" w:rsidP="00E313B9">
      <w:pPr>
        <w:pStyle w:val="normal0"/>
        <w:ind w:right="6"/>
        <w:jc w:val="center"/>
        <w:rPr>
          <w:rFonts w:ascii="Courier New" w:eastAsia="Courier New" w:hAnsi="Courier New" w:cs="Courier New"/>
          <w:b/>
        </w:rPr>
      </w:pPr>
    </w:p>
    <w:p w:rsidR="00E313B9" w:rsidRDefault="00E313B9" w:rsidP="00E313B9">
      <w:pPr>
        <w:pStyle w:val="normal0"/>
        <w:ind w:right="6"/>
        <w:jc w:val="center"/>
        <w:rPr>
          <w:rFonts w:ascii="Courier New" w:eastAsia="Courier New" w:hAnsi="Courier New" w:cs="Courier New"/>
          <w:b/>
        </w:rPr>
      </w:pPr>
      <w:r>
        <w:rPr>
          <w:rFonts w:ascii="Courier New" w:eastAsia="Courier New" w:hAnsi="Courier New" w:cs="Courier New"/>
          <w:b/>
        </w:rPr>
        <w:t>Boletín N° 12753-07</w:t>
      </w:r>
    </w:p>
    <w:p w:rsidR="00E313B9" w:rsidRDefault="00E313B9" w:rsidP="00E313B9">
      <w:pPr>
        <w:pStyle w:val="normal0"/>
        <w:ind w:right="6"/>
        <w:jc w:val="center"/>
        <w:rPr>
          <w:rFonts w:ascii="Courier New" w:eastAsia="Courier New" w:hAnsi="Courier New" w:cs="Courier New"/>
          <w:b/>
        </w:rPr>
      </w:pPr>
    </w:p>
    <w:p w:rsidR="00343927" w:rsidRDefault="00E313B9" w:rsidP="00E313B9">
      <w:pPr>
        <w:pStyle w:val="normal0"/>
        <w:ind w:right="6" w:firstLine="720"/>
        <w:rPr>
          <w:rFonts w:ascii="Courier New" w:eastAsia="Courier New" w:hAnsi="Courier New" w:cs="Courier New"/>
          <w:b/>
        </w:rPr>
      </w:pPr>
      <w:r>
        <w:rPr>
          <w:rFonts w:ascii="Courier New" w:eastAsia="Courier New" w:hAnsi="Courier New" w:cs="Courier New"/>
          <w:b/>
        </w:rPr>
        <w:t xml:space="preserve">Visto.- </w:t>
      </w:r>
    </w:p>
    <w:p w:rsidR="00343927"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b/>
        </w:rPr>
        <w:t xml:space="preserve">                                                                                                                                                                                                                                </w:t>
      </w:r>
      <w:r>
        <w:rPr>
          <w:rFonts w:ascii="Courier New" w:eastAsia="Courier New" w:hAnsi="Courier New" w:cs="Courier New"/>
          <w:b/>
        </w:rPr>
        <w:tab/>
      </w:r>
      <w:r>
        <w:rPr>
          <w:rFonts w:ascii="Courier New" w:eastAsia="Courier New" w:hAnsi="Courier New" w:cs="Courier New"/>
        </w:rPr>
        <w:t xml:space="preserve">Según dispone el artículo 63 y </w:t>
      </w:r>
      <w:r>
        <w:rPr>
          <w:rFonts w:ascii="Courier New" w:eastAsia="Courier New" w:hAnsi="Courier New" w:cs="Courier New"/>
        </w:rPr>
        <w:t xml:space="preserve">65 de la Constitución Política de la República, lo indicado en la ley Orgánica Constitucional del Congreso de Nacional N° 18.918. </w:t>
      </w:r>
      <w:proofErr w:type="gramStart"/>
      <w:r>
        <w:rPr>
          <w:rFonts w:ascii="Courier New" w:eastAsia="Courier New" w:hAnsi="Courier New" w:cs="Courier New"/>
        </w:rPr>
        <w:t>y</w:t>
      </w:r>
      <w:proofErr w:type="gramEnd"/>
      <w:r>
        <w:rPr>
          <w:rFonts w:ascii="Courier New" w:eastAsia="Courier New" w:hAnsi="Courier New" w:cs="Courier New"/>
        </w:rPr>
        <w:t xml:space="preserve"> lo que dispone el Reglamento de la Cámara de Diputados. </w:t>
      </w:r>
    </w:p>
    <w:p w:rsidR="00343927" w:rsidRDefault="00343927" w:rsidP="00E313B9">
      <w:pPr>
        <w:pStyle w:val="normal0"/>
        <w:ind w:right="6" w:firstLine="720"/>
        <w:rPr>
          <w:rFonts w:ascii="Courier New" w:eastAsia="Courier New" w:hAnsi="Courier New" w:cs="Courier New"/>
        </w:rPr>
      </w:pPr>
    </w:p>
    <w:p w:rsidR="00343927" w:rsidRDefault="00E313B9" w:rsidP="00E313B9">
      <w:pPr>
        <w:pStyle w:val="normal0"/>
        <w:ind w:right="6"/>
        <w:jc w:val="both"/>
        <w:rPr>
          <w:rFonts w:ascii="Courier New" w:eastAsia="Courier New" w:hAnsi="Courier New" w:cs="Courier New"/>
          <w:b/>
        </w:rPr>
      </w:pPr>
      <w:r>
        <w:rPr>
          <w:rFonts w:ascii="Courier New" w:eastAsia="Courier New" w:hAnsi="Courier New" w:cs="Courier New"/>
          <w:b/>
        </w:rPr>
        <w:tab/>
        <w:t>Considerando</w:t>
      </w:r>
    </w:p>
    <w:p w:rsidR="00343927" w:rsidRDefault="00343927" w:rsidP="00E313B9">
      <w:pPr>
        <w:pStyle w:val="normal0"/>
        <w:ind w:right="6"/>
        <w:jc w:val="both"/>
        <w:rPr>
          <w:rFonts w:ascii="Courier New" w:eastAsia="Courier New" w:hAnsi="Courier New" w:cs="Courier New"/>
        </w:rPr>
      </w:pPr>
    </w:p>
    <w:p w:rsidR="00343927"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rPr>
        <w:t>El Código de Procedimiento Civil regula, en su libr</w:t>
      </w:r>
      <w:r>
        <w:rPr>
          <w:rFonts w:ascii="Courier New" w:eastAsia="Courier New" w:hAnsi="Courier New" w:cs="Courier New"/>
        </w:rPr>
        <w:t xml:space="preserve">o III, el procedimiento ejecutivo sobre las acciones provenientes de obligaciones de dar, hacer y no hacer. Respecto de las obligaciones  </w:t>
      </w:r>
      <w:r>
        <w:rPr>
          <w:rFonts w:ascii="Courier New" w:eastAsia="Courier New" w:hAnsi="Courier New" w:cs="Courier New"/>
        </w:rPr>
        <w:t>de dar</w:t>
      </w:r>
      <w:r>
        <w:rPr>
          <w:rFonts w:ascii="Courier New" w:eastAsia="Courier New" w:hAnsi="Courier New" w:cs="Courier New"/>
          <w:b/>
        </w:rPr>
        <w:t xml:space="preserve">, </w:t>
      </w:r>
      <w:r>
        <w:rPr>
          <w:rFonts w:ascii="Courier New" w:eastAsia="Courier New" w:hAnsi="Courier New" w:cs="Courier New"/>
        </w:rPr>
        <w:t>se contempla un procedimiento de apremio al deudor para que pague la obligación. En la práctica, la traba del e</w:t>
      </w:r>
      <w:r>
        <w:rPr>
          <w:rFonts w:ascii="Courier New" w:eastAsia="Courier New" w:hAnsi="Courier New" w:cs="Courier New"/>
        </w:rPr>
        <w:t xml:space="preserve">mbargo, que por su naturaleza es un hecho que al deudor siempre lo sorprende, además de </w:t>
      </w:r>
      <w:r w:rsidRPr="00E313B9">
        <w:rPr>
          <w:rFonts w:ascii="Courier New" w:eastAsia="Courier New" w:hAnsi="Courier New" w:cs="Courier New"/>
        </w:rPr>
        <w:t xml:space="preserve">ser traumático en sí mismo. Muchas veces se </w:t>
      </w:r>
      <w:r w:rsidRPr="00E313B9">
        <w:rPr>
          <w:rFonts w:ascii="Courier New" w:eastAsia="Courier New" w:hAnsi="Courier New" w:cs="Courier New"/>
          <w:w w:val="95"/>
        </w:rPr>
        <w:t>transforma en una</w:t>
      </w:r>
      <w:r w:rsidRPr="00E313B9">
        <w:rPr>
          <w:rFonts w:ascii="Courier New" w:eastAsia="Courier New" w:hAnsi="Courier New" w:cs="Courier New"/>
        </w:rPr>
        <w:t xml:space="preserve"> instancia</w:t>
      </w:r>
      <w:r>
        <w:rPr>
          <w:rFonts w:ascii="Courier New" w:eastAsia="Courier New" w:hAnsi="Courier New" w:cs="Courier New"/>
        </w:rPr>
        <w:t xml:space="preserve"> injusta ya que se determina un valor por medio del ministro de </w:t>
      </w:r>
      <w:proofErr w:type="spellStart"/>
      <w:r>
        <w:rPr>
          <w:rFonts w:ascii="Courier New" w:eastAsia="Courier New" w:hAnsi="Courier New" w:cs="Courier New"/>
        </w:rPr>
        <w:t>fé</w:t>
      </w:r>
      <w:proofErr w:type="spellEnd"/>
      <w:r>
        <w:rPr>
          <w:rFonts w:ascii="Courier New" w:eastAsia="Courier New" w:hAnsi="Courier New" w:cs="Courier New"/>
        </w:rPr>
        <w:t xml:space="preserve">, pero este no emplea cálculos </w:t>
      </w:r>
      <w:r>
        <w:rPr>
          <w:rFonts w:ascii="Courier New" w:eastAsia="Courier New" w:hAnsi="Courier New" w:cs="Courier New"/>
        </w:rPr>
        <w:t xml:space="preserve">objetivos para fijar el monto. Así, el artículo 499 del Código de Procedimiento Civil fija el orden de prelación de los bienes que deben ser embargados, primeramente sobre el dinero; otros bienes muebles; bienes raíces y finalmente salarios  </w:t>
      </w:r>
      <w:r>
        <w:rPr>
          <w:rFonts w:ascii="Courier New" w:eastAsia="Courier New" w:hAnsi="Courier New" w:cs="Courier New"/>
        </w:rPr>
        <w:t xml:space="preserve">y pensiones. </w:t>
      </w:r>
    </w:p>
    <w:p w:rsidR="00343927" w:rsidRDefault="00343927" w:rsidP="00E313B9">
      <w:pPr>
        <w:pStyle w:val="normal0"/>
        <w:ind w:right="6" w:firstLine="720"/>
        <w:jc w:val="both"/>
        <w:rPr>
          <w:rFonts w:ascii="Courier New" w:eastAsia="Courier New" w:hAnsi="Courier New" w:cs="Courier New"/>
        </w:rPr>
      </w:pPr>
    </w:p>
    <w:p w:rsidR="00E313B9"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rPr>
        <w:t xml:space="preserve">El mismo cuerpo legal, en su artículo 450, establece la forma en que debe redactarse el acta al momento de realizar el embargo de los bienes, señalando lugar del embargo, bienes y características propias </w:t>
      </w:r>
      <w:r w:rsidRPr="00E313B9">
        <w:rPr>
          <w:rFonts w:ascii="Courier New" w:eastAsia="Courier New" w:hAnsi="Courier New" w:cs="Courier New"/>
          <w:w w:val="95"/>
        </w:rPr>
        <w:t>de cada uno de ellos. Cabe señalar que el mismo proc</w:t>
      </w:r>
      <w:r w:rsidRPr="00E313B9">
        <w:rPr>
          <w:rFonts w:ascii="Courier New" w:eastAsia="Courier New" w:hAnsi="Courier New" w:cs="Courier New"/>
          <w:w w:val="95"/>
        </w:rPr>
        <w:t>edimiento</w:t>
      </w:r>
      <w:r>
        <w:rPr>
          <w:rFonts w:ascii="Courier New" w:eastAsia="Courier New" w:hAnsi="Courier New" w:cs="Courier New"/>
        </w:rPr>
        <w:t xml:space="preserve"> ejecutivo establece que en caso que el acreedor no </w:t>
      </w:r>
      <w:proofErr w:type="gramStart"/>
      <w:r>
        <w:rPr>
          <w:rFonts w:ascii="Courier New" w:eastAsia="Courier New" w:hAnsi="Courier New" w:cs="Courier New"/>
        </w:rPr>
        <w:t>pueda</w:t>
      </w:r>
      <w:proofErr w:type="gramEnd"/>
      <w:r>
        <w:rPr>
          <w:rFonts w:ascii="Courier New" w:eastAsia="Courier New" w:hAnsi="Courier New" w:cs="Courier New"/>
        </w:rPr>
        <w:t xml:space="preserve"> pagarse con los bienes embargados, éste pueda solicitar la ampliación de dicho embargo, tal como señala el cuerpo legal que se pretende modificar. El artículo  </w:t>
      </w:r>
      <w:r>
        <w:rPr>
          <w:rFonts w:ascii="Courier New" w:eastAsia="Courier New" w:hAnsi="Courier New" w:cs="Courier New"/>
        </w:rPr>
        <w:t>482 del cuerpo legal ya referi</w:t>
      </w:r>
      <w:r>
        <w:rPr>
          <w:rFonts w:ascii="Courier New" w:eastAsia="Courier New" w:hAnsi="Courier New" w:cs="Courier New"/>
        </w:rPr>
        <w:t xml:space="preserve">do, señala que los bienes muebles pueden ser embargados y posteriormente vendidos a través de martillero público, sin la necesidad de tasar dichos bienes. </w:t>
      </w:r>
    </w:p>
    <w:p w:rsidR="00E313B9" w:rsidRDefault="00E313B9" w:rsidP="00E313B9">
      <w:pPr>
        <w:pStyle w:val="normal0"/>
        <w:ind w:right="6" w:firstLine="720"/>
        <w:jc w:val="both"/>
        <w:rPr>
          <w:rFonts w:ascii="Courier New" w:eastAsia="Courier New" w:hAnsi="Courier New" w:cs="Courier New"/>
        </w:rPr>
      </w:pPr>
    </w:p>
    <w:p w:rsidR="00E313B9"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rPr>
        <w:t>Esta falta de tasación previa significa un vacío legal que impide que el cobro de los títulos ejecuti</w:t>
      </w:r>
      <w:r>
        <w:rPr>
          <w:rFonts w:ascii="Courier New" w:eastAsia="Courier New" w:hAnsi="Courier New" w:cs="Courier New"/>
        </w:rPr>
        <w:t xml:space="preserve">vos y las acciones ejercidas contra el deudor sean </w:t>
      </w:r>
      <w:proofErr w:type="gramStart"/>
      <w:r>
        <w:rPr>
          <w:rFonts w:ascii="Courier New" w:eastAsia="Courier New" w:hAnsi="Courier New" w:cs="Courier New"/>
        </w:rPr>
        <w:t>objetivas</w:t>
      </w:r>
      <w:proofErr w:type="gramEnd"/>
      <w:r>
        <w:rPr>
          <w:rFonts w:ascii="Courier New" w:eastAsia="Courier New" w:hAnsi="Courier New" w:cs="Courier New"/>
        </w:rPr>
        <w:t xml:space="preserve">, sea por una valoración errónea por parte  </w:t>
      </w:r>
      <w:r>
        <w:rPr>
          <w:rFonts w:ascii="Courier New" w:eastAsia="Courier New" w:hAnsi="Courier New" w:cs="Courier New"/>
        </w:rPr>
        <w:t>del ministro de fe o por falta de defensa del deudor. Al introducir estas modificaciones al Código de Procedimiento Civil, se busca establecer un valor c</w:t>
      </w:r>
      <w:r>
        <w:rPr>
          <w:rFonts w:ascii="Courier New" w:eastAsia="Courier New" w:hAnsi="Courier New" w:cs="Courier New"/>
        </w:rPr>
        <w:t xml:space="preserve">omercial a las especies embargadas a fin de cautelar el patrimonio de deudor. </w:t>
      </w:r>
    </w:p>
    <w:p w:rsidR="00343927" w:rsidRDefault="00343927" w:rsidP="00E313B9">
      <w:pPr>
        <w:pStyle w:val="normal0"/>
        <w:ind w:right="6" w:firstLine="720"/>
        <w:jc w:val="both"/>
        <w:rPr>
          <w:rFonts w:ascii="Courier New" w:eastAsia="Courier New" w:hAnsi="Courier New" w:cs="Courier New"/>
        </w:rPr>
      </w:pPr>
    </w:p>
    <w:p w:rsidR="00343927"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b/>
        </w:rPr>
        <w:t xml:space="preserve">Por lo tanto; </w:t>
      </w:r>
      <w:r>
        <w:rPr>
          <w:rFonts w:ascii="Courier New" w:eastAsia="Courier New" w:hAnsi="Courier New" w:cs="Courier New"/>
        </w:rPr>
        <w:t>Por las razones expuestas previamente, los Honora</w:t>
      </w:r>
      <w:r>
        <w:rPr>
          <w:rFonts w:ascii="Courier New" w:eastAsia="Courier New" w:hAnsi="Courier New" w:cs="Courier New"/>
        </w:rPr>
        <w:t xml:space="preserve">bles  Diputados suscribientes vienen en presentar el presente proyecto de ley en los siguientes términos;  </w:t>
      </w:r>
    </w:p>
    <w:p w:rsidR="00E313B9" w:rsidRDefault="00E313B9">
      <w:pPr>
        <w:rPr>
          <w:rFonts w:ascii="Courier New" w:eastAsia="Courier New" w:hAnsi="Courier New" w:cs="Courier New"/>
        </w:rPr>
      </w:pPr>
      <w:r>
        <w:rPr>
          <w:rFonts w:ascii="Courier New" w:eastAsia="Courier New" w:hAnsi="Courier New" w:cs="Courier New"/>
        </w:rPr>
        <w:br w:type="page"/>
      </w:r>
    </w:p>
    <w:p w:rsidR="00343927" w:rsidRDefault="00343927" w:rsidP="00E313B9">
      <w:pPr>
        <w:pStyle w:val="normal0"/>
        <w:ind w:right="6"/>
        <w:jc w:val="both"/>
        <w:rPr>
          <w:rFonts w:ascii="Courier New" w:eastAsia="Courier New" w:hAnsi="Courier New" w:cs="Courier New"/>
        </w:rPr>
      </w:pPr>
    </w:p>
    <w:p w:rsidR="00E313B9" w:rsidRDefault="00E313B9" w:rsidP="00E313B9">
      <w:pPr>
        <w:pStyle w:val="normal0"/>
        <w:ind w:right="6"/>
        <w:jc w:val="both"/>
        <w:rPr>
          <w:rFonts w:ascii="Courier New" w:eastAsia="Courier New" w:hAnsi="Courier New" w:cs="Courier New"/>
          <w:b/>
        </w:rPr>
      </w:pPr>
    </w:p>
    <w:p w:rsidR="00343927" w:rsidRDefault="00E313B9" w:rsidP="00E313B9">
      <w:pPr>
        <w:pStyle w:val="normal0"/>
        <w:ind w:right="6" w:firstLine="720"/>
        <w:jc w:val="center"/>
        <w:rPr>
          <w:rFonts w:ascii="Courier New" w:eastAsia="Courier New" w:hAnsi="Courier New" w:cs="Courier New"/>
          <w:b/>
        </w:rPr>
      </w:pPr>
      <w:r>
        <w:rPr>
          <w:rFonts w:ascii="Courier New" w:eastAsia="Courier New" w:hAnsi="Courier New" w:cs="Courier New"/>
          <w:b/>
        </w:rPr>
        <w:t>Proyecto de ley.-</w:t>
      </w:r>
    </w:p>
    <w:p w:rsidR="00343927" w:rsidRDefault="00343927" w:rsidP="00E313B9">
      <w:pPr>
        <w:pStyle w:val="normal0"/>
        <w:ind w:right="6"/>
        <w:jc w:val="both"/>
        <w:rPr>
          <w:rFonts w:ascii="Courier New" w:eastAsia="Courier New" w:hAnsi="Courier New" w:cs="Courier New"/>
          <w:b/>
        </w:rPr>
      </w:pPr>
    </w:p>
    <w:p w:rsidR="00343927" w:rsidRDefault="00E313B9" w:rsidP="00E313B9">
      <w:pPr>
        <w:pStyle w:val="normal0"/>
        <w:ind w:right="6" w:firstLine="720"/>
        <w:jc w:val="both"/>
        <w:rPr>
          <w:rFonts w:ascii="Courier New" w:eastAsia="Courier New" w:hAnsi="Courier New" w:cs="Courier New"/>
          <w:b/>
        </w:rPr>
      </w:pPr>
      <w:r>
        <w:rPr>
          <w:rFonts w:ascii="Courier New" w:eastAsia="Courier New" w:hAnsi="Courier New" w:cs="Courier New"/>
          <w:b/>
        </w:rPr>
        <w:t xml:space="preserve">Artículo Único.- Introdúcense las siguientes modificaciones en el Código de Procedimiento Civil </w:t>
      </w:r>
    </w:p>
    <w:p w:rsidR="00343927" w:rsidRDefault="00343927" w:rsidP="00E313B9">
      <w:pPr>
        <w:pStyle w:val="normal0"/>
        <w:ind w:right="6"/>
        <w:jc w:val="both"/>
        <w:rPr>
          <w:rFonts w:ascii="Courier New" w:eastAsia="Courier New" w:hAnsi="Courier New" w:cs="Courier New"/>
          <w:b/>
        </w:rPr>
      </w:pPr>
    </w:p>
    <w:p w:rsidR="00343927" w:rsidRDefault="00E313B9" w:rsidP="00E313B9">
      <w:pPr>
        <w:pStyle w:val="normal0"/>
        <w:ind w:right="6" w:firstLine="720"/>
        <w:jc w:val="both"/>
        <w:rPr>
          <w:rFonts w:ascii="Courier New" w:eastAsia="Courier New" w:hAnsi="Courier New" w:cs="Courier New"/>
        </w:rPr>
      </w:pPr>
      <w:r>
        <w:rPr>
          <w:rFonts w:ascii="Courier New" w:eastAsia="Courier New" w:hAnsi="Courier New" w:cs="Courier New"/>
          <w:b/>
        </w:rPr>
        <w:t xml:space="preserve">a.)  </w:t>
      </w:r>
      <w:r>
        <w:rPr>
          <w:rFonts w:ascii="Courier New" w:eastAsia="Courier New" w:hAnsi="Courier New" w:cs="Courier New"/>
        </w:rPr>
        <w:t>Para modificar en el artículo 450 inciso tercero a continuar de la frase “ según ellos sea posible”, inc</w:t>
      </w:r>
      <w:r>
        <w:rPr>
          <w:rFonts w:ascii="Courier New" w:eastAsia="Courier New" w:hAnsi="Courier New" w:cs="Courier New"/>
        </w:rPr>
        <w:t xml:space="preserve">luir lo siguiente; “Dicho valor será calculado en base al valor comercial de cada bien, considerando la depreciación normal ocasionada por el transcurso del tiempo y el deterioro, basándose en cálculos objetivos” </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b/>
        </w:rPr>
        <w:tab/>
        <w:t xml:space="preserve">b.) </w:t>
      </w:r>
      <w:r>
        <w:rPr>
          <w:rFonts w:ascii="Courier New" w:eastAsia="Courier New" w:hAnsi="Courier New" w:cs="Courier New"/>
        </w:rPr>
        <w:t xml:space="preserve">Para reemplazar en el artículo 482 </w:t>
      </w:r>
      <w:r>
        <w:rPr>
          <w:rFonts w:ascii="Courier New" w:eastAsia="Courier New" w:hAnsi="Courier New" w:cs="Courier New"/>
        </w:rPr>
        <w:t>la frase “sin</w:t>
      </w:r>
      <w:r>
        <w:rPr>
          <w:rFonts w:ascii="Courier New" w:eastAsia="Courier New" w:hAnsi="Courier New" w:cs="Courier New"/>
        </w:rPr>
        <w:t xml:space="preserve"> necesida</w:t>
      </w:r>
      <w:r>
        <w:rPr>
          <w:rFonts w:ascii="Courier New" w:eastAsia="Courier New" w:hAnsi="Courier New" w:cs="Courier New"/>
        </w:rPr>
        <w:t xml:space="preserve">d de tasación” por la frase;  “previa tasación comercial” </w:t>
      </w:r>
    </w:p>
    <w:p w:rsidR="00343927" w:rsidRPr="00E313B9" w:rsidRDefault="00E313B9" w:rsidP="00E313B9">
      <w:pPr>
        <w:pStyle w:val="normal0"/>
        <w:ind w:right="6"/>
        <w:jc w:val="both"/>
        <w:rPr>
          <w:rFonts w:ascii="Courier New" w:eastAsia="Courier New" w:hAnsi="Courier New" w:cs="Courier New"/>
          <w:strike/>
        </w:rPr>
      </w:pPr>
      <w:r w:rsidRPr="00E313B9">
        <w:rPr>
          <w:rFonts w:ascii="Courier New" w:eastAsia="Courier New" w:hAnsi="Courier New" w:cs="Courier New"/>
          <w:b/>
          <w:strike/>
        </w:rPr>
        <w:tab/>
      </w:r>
      <w:proofErr w:type="gramStart"/>
      <w:r w:rsidRPr="00E313B9">
        <w:rPr>
          <w:rFonts w:ascii="Courier New" w:eastAsia="Courier New" w:hAnsi="Courier New" w:cs="Courier New"/>
          <w:b/>
          <w:strike/>
        </w:rPr>
        <w:t>c</w:t>
      </w:r>
      <w:proofErr w:type="gramEnd"/>
      <w:r w:rsidRPr="00E313B9">
        <w:rPr>
          <w:rFonts w:ascii="Courier New" w:eastAsia="Courier New" w:hAnsi="Courier New" w:cs="Courier New"/>
          <w:b/>
          <w:strike/>
        </w:rPr>
        <w:t xml:space="preserve">.) </w:t>
      </w:r>
      <w:r w:rsidRPr="00E313B9">
        <w:rPr>
          <w:rFonts w:ascii="Courier New" w:eastAsia="Courier New" w:hAnsi="Courier New" w:cs="Courier New"/>
          <w:strike/>
        </w:rPr>
        <w:t>Para eliminar la frase “sin necesidad de tasación” por la siguiente frase; “previa tasación comercial”</w:t>
      </w:r>
    </w:p>
    <w:p w:rsidR="00343927" w:rsidRPr="00E313B9" w:rsidRDefault="00E313B9" w:rsidP="00E313B9">
      <w:pPr>
        <w:pStyle w:val="normal0"/>
        <w:ind w:right="6"/>
        <w:jc w:val="both"/>
        <w:rPr>
          <w:rFonts w:ascii="Courier New" w:eastAsia="Courier New" w:hAnsi="Courier New" w:cs="Courier New"/>
          <w:strike/>
        </w:rPr>
      </w:pPr>
      <w:r w:rsidRPr="00E313B9">
        <w:rPr>
          <w:rFonts w:ascii="Courier New" w:eastAsia="Courier New" w:hAnsi="Courier New" w:cs="Courier New"/>
          <w:b/>
          <w:strike/>
        </w:rPr>
        <w:tab/>
        <w:t xml:space="preserve">d.)  </w:t>
      </w:r>
      <w:r w:rsidRPr="00E313B9">
        <w:rPr>
          <w:rFonts w:ascii="Courier New" w:eastAsia="Courier New" w:hAnsi="Courier New" w:cs="Courier New"/>
          <w:strike/>
        </w:rPr>
        <w:t>Para eliminar la frase “</w:t>
      </w:r>
      <w:r w:rsidRPr="00E313B9">
        <w:rPr>
          <w:rFonts w:ascii="Courier New" w:eastAsia="Courier New" w:hAnsi="Courier New" w:cs="Courier New"/>
          <w:strike/>
        </w:rPr>
        <w:t>sin previa tasación” por la siguiente; “previa tasación c</w:t>
      </w:r>
      <w:r w:rsidRPr="00E313B9">
        <w:rPr>
          <w:rFonts w:ascii="Courier New" w:eastAsia="Courier New" w:hAnsi="Courier New" w:cs="Courier New"/>
          <w:strike/>
        </w:rPr>
        <w:t>omercial”</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rPr>
        <w:tab/>
      </w:r>
      <w:proofErr w:type="gramStart"/>
      <w:r>
        <w:rPr>
          <w:rFonts w:ascii="Courier New" w:eastAsia="Courier New" w:hAnsi="Courier New" w:cs="Courier New"/>
          <w:b/>
        </w:rPr>
        <w:t>c</w:t>
      </w:r>
      <w:proofErr w:type="gramEnd"/>
      <w:r>
        <w:rPr>
          <w:rFonts w:ascii="Courier New" w:eastAsia="Courier New" w:hAnsi="Courier New" w:cs="Courier New"/>
          <w:b/>
        </w:rPr>
        <w:t xml:space="preserve">.) </w:t>
      </w:r>
      <w:r>
        <w:rPr>
          <w:rFonts w:ascii="Courier New" w:eastAsia="Courier New" w:hAnsi="Courier New" w:cs="Courier New"/>
        </w:rPr>
        <w:t>Para agregar un inciso segundo al artículo 485 en el siguiente sentido. “Respecto de los bienes señalados en los tres artículos anterior, la tasación comercial se hará sobre lo indicado en la tabla de vida útil de los bienes físicos del acti</w:t>
      </w:r>
      <w:r>
        <w:rPr>
          <w:rFonts w:ascii="Courier New" w:eastAsia="Courier New" w:hAnsi="Courier New" w:cs="Courier New"/>
        </w:rPr>
        <w:t xml:space="preserve">vo inmovilizado del Servicio de Impuestos Internos o un instrumento que lo reemplace, además de la depreciación normal que tienen los bienes” </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d</w:t>
      </w:r>
      <w:r>
        <w:rPr>
          <w:rFonts w:ascii="Courier New" w:eastAsia="Courier New" w:hAnsi="Courier New" w:cs="Courier New"/>
          <w:b/>
        </w:rPr>
        <w:t>.)</w:t>
      </w:r>
      <w:r>
        <w:rPr>
          <w:rFonts w:ascii="Courier New" w:eastAsia="Courier New" w:hAnsi="Courier New" w:cs="Courier New"/>
        </w:rPr>
        <w:t xml:space="preserve"> Para reemplazar</w:t>
      </w:r>
      <w:r>
        <w:rPr>
          <w:rFonts w:ascii="Courier New" w:eastAsia="Courier New" w:hAnsi="Courier New" w:cs="Courier New"/>
        </w:rPr>
        <w:t xml:space="preserve"> en el inciso segundo del artículo 486 la frase “En este caso la tasación” por la siguiente ora</w:t>
      </w:r>
      <w:r>
        <w:rPr>
          <w:rFonts w:ascii="Courier New" w:eastAsia="Courier New" w:hAnsi="Courier New" w:cs="Courier New"/>
        </w:rPr>
        <w:t>ción “Para</w:t>
      </w:r>
      <w:r>
        <w:rPr>
          <w:rFonts w:ascii="Courier New" w:eastAsia="Courier New" w:hAnsi="Courier New" w:cs="Courier New"/>
        </w:rPr>
        <w:t xml:space="preserve"> efectos de determinar la tasación comercial, está” </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e</w:t>
      </w:r>
      <w:r>
        <w:rPr>
          <w:rFonts w:ascii="Courier New" w:eastAsia="Courier New" w:hAnsi="Courier New" w:cs="Courier New"/>
          <w:b/>
        </w:rPr>
        <w:t>.)</w:t>
      </w:r>
      <w:r>
        <w:rPr>
          <w:rFonts w:ascii="Courier New" w:eastAsia="Courier New" w:hAnsi="Courier New" w:cs="Courier New"/>
        </w:rPr>
        <w:t xml:space="preserve"> Para eliminar el Artículo 489 en el inciso primero segunda parte, la frase “quince</w:t>
      </w:r>
      <w:r>
        <w:rPr>
          <w:rFonts w:ascii="Courier New" w:eastAsia="Courier New" w:hAnsi="Courier New" w:cs="Courier New"/>
        </w:rPr>
        <w:t xml:space="preserve"> días de anticipación” reemplazándola</w:t>
      </w:r>
      <w:r>
        <w:rPr>
          <w:rFonts w:ascii="Courier New" w:eastAsia="Courier New" w:hAnsi="Courier New" w:cs="Courier New"/>
        </w:rPr>
        <w:t xml:space="preserve"> por  “treinta días de anticipación” </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f</w:t>
      </w:r>
      <w:r>
        <w:rPr>
          <w:rFonts w:ascii="Courier New" w:eastAsia="Courier New" w:hAnsi="Courier New" w:cs="Courier New"/>
          <w:b/>
        </w:rPr>
        <w:t>.)</w:t>
      </w:r>
      <w:r>
        <w:rPr>
          <w:rFonts w:ascii="Courier New" w:eastAsia="Courier New" w:hAnsi="Courier New" w:cs="Courier New"/>
        </w:rPr>
        <w:t xml:space="preserve"> Para eliminar del Artícu</w:t>
      </w:r>
      <w:r>
        <w:rPr>
          <w:rFonts w:ascii="Courier New" w:eastAsia="Courier New" w:hAnsi="Courier New" w:cs="Courier New"/>
        </w:rPr>
        <w:t>lo 493 la frase “</w:t>
      </w:r>
      <w:r>
        <w:rPr>
          <w:rFonts w:ascii="Courier New" w:eastAsia="Courier New" w:hAnsi="Courier New" w:cs="Courier New"/>
        </w:rPr>
        <w:t>dos tercios” reemplazándola</w:t>
      </w:r>
      <w:r>
        <w:rPr>
          <w:rFonts w:ascii="Courier New" w:eastAsia="Courier New" w:hAnsi="Courier New" w:cs="Courier New"/>
        </w:rPr>
        <w:t xml:space="preserve"> por  “tres cuartos” </w:t>
      </w:r>
    </w:p>
    <w:p w:rsidR="00343927" w:rsidRDefault="00E313B9" w:rsidP="00E313B9">
      <w:pPr>
        <w:pStyle w:val="normal0"/>
        <w:ind w:right="6"/>
        <w:jc w:val="both"/>
        <w:rPr>
          <w:rFonts w:ascii="Courier New" w:eastAsia="Courier New" w:hAnsi="Courier New" w:cs="Courier New"/>
        </w:rPr>
      </w:pPr>
      <w:r>
        <w:rPr>
          <w:rFonts w:ascii="Courier New" w:eastAsia="Courier New" w:hAnsi="Courier New" w:cs="Courier New"/>
        </w:rPr>
        <w:tab/>
      </w:r>
      <w:r>
        <w:rPr>
          <w:rFonts w:ascii="Courier New" w:eastAsia="Courier New" w:hAnsi="Courier New" w:cs="Courier New"/>
          <w:b/>
        </w:rPr>
        <w:t>g</w:t>
      </w:r>
      <w:r>
        <w:rPr>
          <w:rFonts w:ascii="Courier New" w:eastAsia="Courier New" w:hAnsi="Courier New" w:cs="Courier New"/>
          <w:b/>
        </w:rPr>
        <w:t>.)</w:t>
      </w:r>
      <w:r>
        <w:rPr>
          <w:rFonts w:ascii="Courier New" w:eastAsia="Courier New" w:hAnsi="Courier New" w:cs="Courier New"/>
        </w:rPr>
        <w:t xml:space="preserve"> Para eliminar del artículo 499 numero 1° la frase “dos tercios” y reemplazar la frase “tres</w:t>
      </w:r>
      <w:r>
        <w:rPr>
          <w:rFonts w:ascii="Courier New" w:eastAsia="Courier New" w:hAnsi="Courier New" w:cs="Courier New"/>
        </w:rPr>
        <w:t xml:space="preserve"> cuartos”. </w:t>
      </w:r>
    </w:p>
    <w:p w:rsidR="00343927" w:rsidRDefault="00343927" w:rsidP="00E313B9">
      <w:pPr>
        <w:pStyle w:val="normal0"/>
        <w:ind w:right="6"/>
        <w:jc w:val="both"/>
        <w:rPr>
          <w:rFonts w:ascii="Courier New" w:eastAsia="Courier New" w:hAnsi="Courier New" w:cs="Courier New"/>
        </w:rPr>
      </w:pPr>
    </w:p>
    <w:p w:rsidR="00343927" w:rsidRDefault="00343927" w:rsidP="00E313B9">
      <w:pPr>
        <w:pStyle w:val="normal0"/>
        <w:ind w:right="6"/>
        <w:jc w:val="both"/>
        <w:rPr>
          <w:rFonts w:ascii="Courier New" w:eastAsia="Courier New" w:hAnsi="Courier New" w:cs="Courier New"/>
        </w:rPr>
      </w:pPr>
    </w:p>
    <w:p w:rsidR="00343927" w:rsidRDefault="00343927" w:rsidP="00E313B9">
      <w:pPr>
        <w:pStyle w:val="normal0"/>
        <w:ind w:right="6"/>
        <w:jc w:val="center"/>
        <w:rPr>
          <w:rFonts w:ascii="Courier New" w:eastAsia="Courier New" w:hAnsi="Courier New" w:cs="Courier New"/>
        </w:rPr>
      </w:pPr>
    </w:p>
    <w:p w:rsidR="00343927" w:rsidRDefault="00343927" w:rsidP="00E313B9">
      <w:pPr>
        <w:pStyle w:val="normal0"/>
        <w:ind w:right="6"/>
        <w:jc w:val="center"/>
        <w:rPr>
          <w:rFonts w:ascii="Courier New" w:eastAsia="Courier New" w:hAnsi="Courier New" w:cs="Courier New"/>
        </w:rPr>
      </w:pPr>
    </w:p>
    <w:p w:rsidR="00343927" w:rsidRDefault="00E313B9" w:rsidP="00E313B9">
      <w:pPr>
        <w:pStyle w:val="normal0"/>
        <w:ind w:right="6"/>
        <w:jc w:val="center"/>
        <w:rPr>
          <w:b/>
        </w:rPr>
      </w:pPr>
      <w:r>
        <w:rPr>
          <w:b/>
        </w:rPr>
        <w:t>RENATO GARIN GONZALEZ</w:t>
      </w:r>
    </w:p>
    <w:p w:rsidR="00343927" w:rsidRDefault="00E313B9" w:rsidP="00E313B9">
      <w:pPr>
        <w:pStyle w:val="normal0"/>
        <w:ind w:right="6"/>
        <w:jc w:val="center"/>
        <w:rPr>
          <w:rFonts w:ascii="Courier New" w:eastAsia="Courier New" w:hAnsi="Courier New" w:cs="Courier New"/>
        </w:rPr>
      </w:pPr>
      <w:r>
        <w:rPr>
          <w:b/>
        </w:rPr>
        <w:t>H.D DE LA REPÚBLICA</w:t>
      </w:r>
    </w:p>
    <w:sectPr w:rsidR="00343927" w:rsidSect="00E313B9">
      <w:pgSz w:w="12242" w:h="18722" w:code="1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343927"/>
    <w:rsid w:val="00343927"/>
    <w:rsid w:val="00E313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343927"/>
    <w:pPr>
      <w:keepNext/>
      <w:keepLines/>
      <w:spacing w:before="400" w:after="120"/>
      <w:outlineLvl w:val="0"/>
    </w:pPr>
    <w:rPr>
      <w:sz w:val="40"/>
      <w:szCs w:val="40"/>
    </w:rPr>
  </w:style>
  <w:style w:type="paragraph" w:styleId="Ttulo2">
    <w:name w:val="heading 2"/>
    <w:basedOn w:val="normal0"/>
    <w:next w:val="normal0"/>
    <w:rsid w:val="00343927"/>
    <w:pPr>
      <w:keepNext/>
      <w:keepLines/>
      <w:spacing w:before="360" w:after="120"/>
      <w:outlineLvl w:val="1"/>
    </w:pPr>
    <w:rPr>
      <w:sz w:val="32"/>
      <w:szCs w:val="32"/>
    </w:rPr>
  </w:style>
  <w:style w:type="paragraph" w:styleId="Ttulo3">
    <w:name w:val="heading 3"/>
    <w:basedOn w:val="normal0"/>
    <w:next w:val="normal0"/>
    <w:rsid w:val="00343927"/>
    <w:pPr>
      <w:keepNext/>
      <w:keepLines/>
      <w:spacing w:before="320" w:after="80"/>
      <w:outlineLvl w:val="2"/>
    </w:pPr>
    <w:rPr>
      <w:color w:val="434343"/>
      <w:sz w:val="28"/>
      <w:szCs w:val="28"/>
    </w:rPr>
  </w:style>
  <w:style w:type="paragraph" w:styleId="Ttulo4">
    <w:name w:val="heading 4"/>
    <w:basedOn w:val="normal0"/>
    <w:next w:val="normal0"/>
    <w:rsid w:val="00343927"/>
    <w:pPr>
      <w:keepNext/>
      <w:keepLines/>
      <w:spacing w:before="280" w:after="80"/>
      <w:outlineLvl w:val="3"/>
    </w:pPr>
    <w:rPr>
      <w:color w:val="666666"/>
      <w:sz w:val="24"/>
      <w:szCs w:val="24"/>
    </w:rPr>
  </w:style>
  <w:style w:type="paragraph" w:styleId="Ttulo5">
    <w:name w:val="heading 5"/>
    <w:basedOn w:val="normal0"/>
    <w:next w:val="normal0"/>
    <w:rsid w:val="00343927"/>
    <w:pPr>
      <w:keepNext/>
      <w:keepLines/>
      <w:spacing w:before="240" w:after="80"/>
      <w:outlineLvl w:val="4"/>
    </w:pPr>
    <w:rPr>
      <w:color w:val="666666"/>
    </w:rPr>
  </w:style>
  <w:style w:type="paragraph" w:styleId="Ttulo6">
    <w:name w:val="heading 6"/>
    <w:basedOn w:val="normal0"/>
    <w:next w:val="normal0"/>
    <w:rsid w:val="00343927"/>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43927"/>
  </w:style>
  <w:style w:type="table" w:customStyle="1" w:styleId="TableNormal">
    <w:name w:val="Table Normal"/>
    <w:rsid w:val="00343927"/>
    <w:tblPr>
      <w:tblCellMar>
        <w:top w:w="0" w:type="dxa"/>
        <w:left w:w="0" w:type="dxa"/>
        <w:bottom w:w="0" w:type="dxa"/>
        <w:right w:w="0" w:type="dxa"/>
      </w:tblCellMar>
    </w:tblPr>
  </w:style>
  <w:style w:type="paragraph" w:styleId="Ttulo">
    <w:name w:val="Title"/>
    <w:basedOn w:val="normal0"/>
    <w:next w:val="normal0"/>
    <w:rsid w:val="00343927"/>
    <w:pPr>
      <w:keepNext/>
      <w:keepLines/>
      <w:spacing w:after="60"/>
    </w:pPr>
    <w:rPr>
      <w:sz w:val="52"/>
      <w:szCs w:val="52"/>
    </w:rPr>
  </w:style>
  <w:style w:type="paragraph" w:styleId="Subttulo">
    <w:name w:val="Subtitle"/>
    <w:basedOn w:val="normal0"/>
    <w:next w:val="normal0"/>
    <w:rsid w:val="0034392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3786</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2019-07-09T15:50:00Z</dcterms:created>
  <dcterms:modified xsi:type="dcterms:W3CDTF">2019-07-09T16:00:00Z</dcterms:modified>
</cp:coreProperties>
</file>