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D3" w:rsidRPr="009B7F1B" w:rsidRDefault="000417D3" w:rsidP="00315DC2">
      <w:pPr>
        <w:spacing w:line="360" w:lineRule="auto"/>
        <w:ind w:right="-234"/>
        <w:jc w:val="center"/>
        <w:rPr>
          <w:rFonts w:asciiTheme="majorHAnsi" w:hAnsiTheme="majorHAnsi" w:cstheme="majorHAnsi"/>
          <w:b/>
          <w:sz w:val="24"/>
          <w:szCs w:val="24"/>
          <w:shd w:val="clear" w:color="auto" w:fill="FEFEFE"/>
        </w:rPr>
      </w:pPr>
      <w:r w:rsidRPr="009B7F1B">
        <w:rPr>
          <w:rFonts w:asciiTheme="majorHAnsi" w:hAnsiTheme="majorHAnsi" w:cstheme="majorHAnsi"/>
          <w:b/>
          <w:noProof/>
          <w:sz w:val="24"/>
          <w:szCs w:val="24"/>
          <w:shd w:val="clear" w:color="auto" w:fill="FEFEFE"/>
          <w:lang w:val="es-ES" w:eastAsia="es-ES"/>
        </w:rPr>
        <w:drawing>
          <wp:inline distT="0" distB="0" distL="0" distR="0">
            <wp:extent cx="996950" cy="996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ma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D9E" w:rsidRDefault="00315DC2" w:rsidP="00315DC2">
      <w:pPr>
        <w:spacing w:line="360" w:lineRule="auto"/>
        <w:ind w:right="-234"/>
        <w:jc w:val="both"/>
        <w:rPr>
          <w:rFonts w:asciiTheme="majorHAnsi" w:hAnsiTheme="majorHAnsi" w:cstheme="majorHAnsi"/>
          <w:b/>
          <w:sz w:val="24"/>
          <w:szCs w:val="24"/>
          <w:shd w:val="clear" w:color="auto" w:fill="FEFEFE"/>
        </w:rPr>
      </w:pPr>
      <w:r w:rsidRPr="00315DC2">
        <w:rPr>
          <w:rFonts w:asciiTheme="majorHAnsi" w:hAnsiTheme="majorHAnsi" w:cstheme="majorHAnsi"/>
          <w:b/>
          <w:sz w:val="24"/>
          <w:szCs w:val="24"/>
          <w:shd w:val="clear" w:color="auto" w:fill="FEFEFE"/>
        </w:rPr>
        <w:t>Modifica el Código Orgánico de Tribunales para ampliar y fijar plazo a las actuaciones notariales en que tengan interés quienes gocen del privilegio de pobreza</w:t>
      </w:r>
    </w:p>
    <w:p w:rsidR="00315DC2" w:rsidRDefault="00315DC2" w:rsidP="00315DC2">
      <w:pPr>
        <w:spacing w:line="360" w:lineRule="auto"/>
        <w:ind w:right="-234"/>
        <w:jc w:val="both"/>
        <w:rPr>
          <w:rFonts w:asciiTheme="majorHAnsi" w:hAnsiTheme="majorHAnsi" w:cstheme="majorHAnsi"/>
          <w:b/>
          <w:sz w:val="24"/>
          <w:szCs w:val="24"/>
          <w:shd w:val="clear" w:color="auto" w:fill="FEFEFE"/>
        </w:rPr>
      </w:pPr>
    </w:p>
    <w:p w:rsidR="00315DC2" w:rsidRDefault="00315DC2" w:rsidP="00315DC2">
      <w:pPr>
        <w:spacing w:line="360" w:lineRule="auto"/>
        <w:ind w:right="-234"/>
        <w:jc w:val="center"/>
        <w:rPr>
          <w:rFonts w:asciiTheme="majorHAnsi" w:hAnsiTheme="majorHAnsi" w:cstheme="majorHAnsi"/>
          <w:b/>
          <w:sz w:val="24"/>
          <w:szCs w:val="24"/>
          <w:shd w:val="clear" w:color="auto" w:fill="FEFEFE"/>
        </w:rPr>
      </w:pPr>
      <w:r>
        <w:rPr>
          <w:rFonts w:asciiTheme="majorHAnsi" w:hAnsiTheme="majorHAnsi" w:cstheme="majorHAnsi"/>
          <w:b/>
          <w:sz w:val="24"/>
          <w:szCs w:val="24"/>
          <w:shd w:val="clear" w:color="auto" w:fill="FEFEFE"/>
        </w:rPr>
        <w:t>Boletín N° 12761-07</w:t>
      </w:r>
    </w:p>
    <w:p w:rsidR="00315DC2" w:rsidRPr="009B7F1B" w:rsidRDefault="00315DC2" w:rsidP="00315DC2">
      <w:pPr>
        <w:spacing w:line="360" w:lineRule="auto"/>
        <w:ind w:right="-234"/>
        <w:jc w:val="both"/>
        <w:rPr>
          <w:rFonts w:asciiTheme="majorHAnsi" w:hAnsiTheme="majorHAnsi" w:cstheme="majorHAnsi"/>
          <w:b/>
          <w:sz w:val="24"/>
          <w:szCs w:val="24"/>
          <w:shd w:val="clear" w:color="auto" w:fill="FEFEFE"/>
        </w:rPr>
      </w:pPr>
    </w:p>
    <w:p w:rsidR="00802D9E" w:rsidRPr="009B7F1B" w:rsidRDefault="00FA3F10" w:rsidP="00315DC2">
      <w:pPr>
        <w:spacing w:line="360" w:lineRule="auto"/>
        <w:ind w:right="-234"/>
        <w:jc w:val="both"/>
        <w:rPr>
          <w:rFonts w:asciiTheme="majorHAnsi" w:hAnsiTheme="majorHAnsi" w:cstheme="majorHAnsi"/>
          <w:sz w:val="24"/>
          <w:szCs w:val="24"/>
          <w:shd w:val="clear" w:color="auto" w:fill="FEFEFE"/>
        </w:rPr>
      </w:pPr>
      <w:r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Consideraciones</w:t>
      </w:r>
      <w:r w:rsidR="009D4129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;</w:t>
      </w:r>
    </w:p>
    <w:p w:rsidR="00AB4CA8" w:rsidRPr="009B7F1B" w:rsidRDefault="00A8597B" w:rsidP="00315DC2">
      <w:pPr>
        <w:spacing w:line="360" w:lineRule="auto"/>
        <w:ind w:right="-234"/>
        <w:jc w:val="both"/>
        <w:rPr>
          <w:rFonts w:asciiTheme="majorHAnsi" w:hAnsiTheme="majorHAnsi" w:cstheme="majorHAnsi"/>
          <w:sz w:val="24"/>
          <w:szCs w:val="24"/>
          <w:shd w:val="clear" w:color="auto" w:fill="FEFEFE"/>
        </w:rPr>
      </w:pPr>
      <w:r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La asistencia jurídica gratuita</w:t>
      </w:r>
      <w:r w:rsidR="008A49B1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, es considerada</w:t>
      </w:r>
      <w:r w:rsidR="009854AF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, </w:t>
      </w:r>
      <w:r w:rsidR="000C7F14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no solo un</w:t>
      </w:r>
      <w:r w:rsidR="009854AF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servicio </w:t>
      </w:r>
      <w:r w:rsidR="000C7F14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asistencial</w:t>
      </w:r>
      <w:r w:rsidR="009854AF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íntimamente vinculado con el combate de la pobreza</w:t>
      </w:r>
      <w:r w:rsidR="000C7F14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431102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sino,</w:t>
      </w:r>
      <w:r w:rsidR="000C7F14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además</w:t>
      </w:r>
      <w:r w:rsidR="00AE3BF7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, garantiza</w:t>
      </w:r>
      <w:r w:rsidR="00363045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tanto</w:t>
      </w:r>
      <w:r w:rsidR="00AE3BF7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el acceso a la justicia</w:t>
      </w:r>
      <w:r w:rsidR="00363045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como el derecho fundamental a la tutela judicial efectiva</w:t>
      </w:r>
      <w:r w:rsidR="009F708D" w:rsidRPr="009B7F1B">
        <w:rPr>
          <w:rStyle w:val="Refdenotaalpie"/>
          <w:rFonts w:asciiTheme="majorHAnsi" w:hAnsiTheme="majorHAnsi" w:cstheme="majorHAnsi"/>
          <w:sz w:val="24"/>
          <w:szCs w:val="24"/>
          <w:shd w:val="clear" w:color="auto" w:fill="FEFEFE"/>
        </w:rPr>
        <w:footnoteReference w:id="1"/>
      </w:r>
      <w:r w:rsidR="009F708D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.</w:t>
      </w:r>
    </w:p>
    <w:p w:rsidR="00840214" w:rsidRPr="009B7F1B" w:rsidRDefault="00AB4CA8" w:rsidP="00315DC2">
      <w:pPr>
        <w:spacing w:line="360" w:lineRule="auto"/>
        <w:ind w:right="-234"/>
        <w:jc w:val="both"/>
        <w:rPr>
          <w:rFonts w:asciiTheme="majorHAnsi" w:hAnsiTheme="majorHAnsi" w:cstheme="majorHAnsi"/>
          <w:sz w:val="24"/>
          <w:szCs w:val="24"/>
          <w:shd w:val="clear" w:color="auto" w:fill="FEFEFE"/>
        </w:rPr>
      </w:pPr>
      <w:r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Ahora bien, n</w:t>
      </w:r>
      <w:r w:rsidR="009D6C8E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uestra </w:t>
      </w:r>
      <w:r w:rsidR="000A5FC1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C</w:t>
      </w:r>
      <w:r w:rsidR="009D6C8E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arta </w:t>
      </w:r>
      <w:r w:rsidR="000A5FC1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F</w:t>
      </w:r>
      <w:r w:rsidR="009D6C8E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undamental </w:t>
      </w:r>
      <w:r w:rsidR="00DE6474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en su </w:t>
      </w:r>
      <w:r w:rsidR="00167593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artículo</w:t>
      </w:r>
      <w:r w:rsidR="00DE6474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19</w:t>
      </w:r>
      <w:r w:rsidR="00167593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N°3,</w:t>
      </w:r>
      <w:r w:rsidR="00F24564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establece</w:t>
      </w:r>
      <w:r w:rsidR="00167593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la igual protección de la ley en el ejercicio de sus derechos, señala </w:t>
      </w:r>
      <w:r w:rsidR="00632B8A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además, </w:t>
      </w:r>
      <w:r w:rsidR="00167593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en su inciso 2,</w:t>
      </w:r>
      <w:r w:rsidR="00AE1A32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que toda persona tiene derecho a defensa jurídic</w:t>
      </w:r>
      <w:r w:rsidR="00FE3B6F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a</w:t>
      </w:r>
      <w:r w:rsidR="005A5C3E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en la forma que la ley señale y ninguna autoridad o </w:t>
      </w:r>
      <w:proofErr w:type="gramStart"/>
      <w:r w:rsidR="005A5C3E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individuo</w:t>
      </w:r>
      <w:proofErr w:type="gramEnd"/>
      <w:r w:rsidR="005A5C3E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podrá impedir, restringir o perturbar</w:t>
      </w:r>
      <w:r w:rsidR="00724E6A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la debida intervención del letrado, si hubiere sido requerida</w:t>
      </w:r>
      <w:r w:rsidR="00DE62B0">
        <w:rPr>
          <w:rFonts w:asciiTheme="majorHAnsi" w:hAnsiTheme="majorHAnsi" w:cstheme="majorHAnsi"/>
          <w:sz w:val="24"/>
          <w:szCs w:val="24"/>
          <w:shd w:val="clear" w:color="auto" w:fill="FEFEFE"/>
        </w:rPr>
        <w:t>.</w:t>
      </w:r>
      <w:r w:rsidR="000352B7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632B8A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Asimismo, es importante indicar </w:t>
      </w:r>
      <w:r w:rsidR="00507252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que</w:t>
      </w:r>
      <w:r w:rsidR="00676674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una de las bases de organización de los tribun</w:t>
      </w:r>
      <w:r w:rsidR="00C90524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ales es el principio </w:t>
      </w:r>
      <w:r w:rsidR="00840214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fundamental </w:t>
      </w:r>
      <w:r w:rsidR="00C90524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de gratuidad, </w:t>
      </w:r>
      <w:r w:rsidR="00840214" w:rsidRPr="009B7F1B">
        <w:rPr>
          <w:rFonts w:asciiTheme="majorHAnsi" w:hAnsiTheme="majorHAnsi" w:cstheme="majorHAnsi"/>
          <w:i/>
          <w:sz w:val="24"/>
          <w:szCs w:val="24"/>
          <w:shd w:val="clear" w:color="auto" w:fill="FEFEFE"/>
        </w:rPr>
        <w:t>el cual consiste en que la administración de justicia debe ser esencialmente gratuita</w:t>
      </w:r>
      <w:r w:rsidR="00840214" w:rsidRPr="009B7F1B">
        <w:rPr>
          <w:rStyle w:val="Refdenotaalpie"/>
          <w:rFonts w:asciiTheme="majorHAnsi" w:hAnsiTheme="majorHAnsi" w:cstheme="majorHAnsi"/>
          <w:sz w:val="24"/>
          <w:szCs w:val="24"/>
          <w:shd w:val="clear" w:color="auto" w:fill="FEFEFE"/>
        </w:rPr>
        <w:footnoteReference w:id="2"/>
      </w:r>
      <w:r w:rsidR="00B81CFB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.</w:t>
      </w:r>
    </w:p>
    <w:p w:rsidR="00840214" w:rsidRPr="009B7F1B" w:rsidRDefault="00507252" w:rsidP="00315DC2">
      <w:pPr>
        <w:spacing w:line="360" w:lineRule="auto"/>
        <w:ind w:right="-234"/>
        <w:jc w:val="both"/>
        <w:rPr>
          <w:rFonts w:asciiTheme="majorHAnsi" w:hAnsiTheme="majorHAnsi" w:cstheme="majorHAnsi"/>
          <w:sz w:val="24"/>
          <w:szCs w:val="24"/>
          <w:shd w:val="clear" w:color="auto" w:fill="FEFEFE"/>
        </w:rPr>
      </w:pPr>
      <w:r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Lo anterior, se traduce en justicia igualitaria para todos, sin perjuicio de quien solicite acceder a ella. Esto se ve reflejado en asuntos administrativos y jurídicos a través del</w:t>
      </w:r>
      <w:r w:rsidR="00B46A97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632B8A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llamado </w:t>
      </w:r>
      <w:r w:rsidR="00B46A97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beneficio</w:t>
      </w:r>
      <w:r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7460BD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“Privilegio </w:t>
      </w:r>
      <w:r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de </w:t>
      </w:r>
      <w:r w:rsidR="007460BD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P</w:t>
      </w:r>
      <w:r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obreza</w:t>
      </w:r>
      <w:r w:rsidR="007460BD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”</w:t>
      </w:r>
      <w:r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7460BD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el cual </w:t>
      </w:r>
      <w:r w:rsidR="00AD7CD1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regula</w:t>
      </w:r>
      <w:r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nuestro legislador en el Código de </w:t>
      </w:r>
      <w:r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lastRenderedPageBreak/>
        <w:t>Procedimiento Civil y el Código Orgánico de Tribunales</w:t>
      </w:r>
      <w:r w:rsidR="00B46A97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, </w:t>
      </w:r>
      <w:r w:rsidR="007460BD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exención</w:t>
      </w:r>
      <w:r w:rsidR="00BA6521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,</w:t>
      </w:r>
      <w:r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que puede</w:t>
      </w:r>
      <w:r w:rsidR="00B46A97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ser concebid</w:t>
      </w:r>
      <w:r w:rsidR="007460BD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a</w:t>
      </w:r>
      <w:r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por Ley o por Sentencia Judicial. </w:t>
      </w:r>
    </w:p>
    <w:p w:rsidR="005A561A" w:rsidRPr="009B7F1B" w:rsidRDefault="00307364" w:rsidP="00315DC2">
      <w:pPr>
        <w:spacing w:line="360" w:lineRule="auto"/>
        <w:ind w:right="-234"/>
        <w:jc w:val="both"/>
        <w:rPr>
          <w:rFonts w:asciiTheme="majorHAnsi" w:hAnsiTheme="majorHAnsi" w:cstheme="majorHAnsi"/>
          <w:sz w:val="24"/>
          <w:szCs w:val="24"/>
          <w:shd w:val="clear" w:color="auto" w:fill="FEFEFE"/>
        </w:rPr>
      </w:pPr>
      <w:r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Ahora bien, </w:t>
      </w:r>
      <w:r w:rsidR="00CE3E9F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en relación con</w:t>
      </w:r>
      <w:r w:rsidR="001877E6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los derechos</w:t>
      </w:r>
      <w:r w:rsidR="00DE62B0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arancelarios</w:t>
      </w:r>
      <w:r w:rsidR="001877E6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que tienen quienes gozan de llamado</w:t>
      </w:r>
      <w:r w:rsidR="009378D6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D72919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“</w:t>
      </w:r>
      <w:r w:rsidR="009378D6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privilegio de pobreza</w:t>
      </w:r>
      <w:r w:rsidR="00D72919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”</w:t>
      </w:r>
      <w:r w:rsidR="00141332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, </w:t>
      </w:r>
      <w:r w:rsidR="00FB22C9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se puede ver materializado</w:t>
      </w:r>
      <w:r w:rsidR="00C34692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9378D6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por </w:t>
      </w:r>
      <w:r w:rsidR="00261DD3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medio de </w:t>
      </w:r>
      <w:r w:rsidR="003C7FA8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diferentes instituciones</w:t>
      </w:r>
      <w:r w:rsidR="00C16B14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judiciales</w:t>
      </w:r>
      <w:r w:rsidR="00E61345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, tales son;</w:t>
      </w:r>
      <w:r w:rsidR="003C7FA8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E609C1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defensa de letrados a través de </w:t>
      </w:r>
      <w:r w:rsidR="00A87B2B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D</w:t>
      </w:r>
      <w:r w:rsidR="00D13255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efensorías </w:t>
      </w:r>
      <w:r w:rsidR="00A87B2B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P</w:t>
      </w:r>
      <w:r w:rsidR="00D13255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enales</w:t>
      </w:r>
      <w:r w:rsidR="003C7FA8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A87B2B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P</w:t>
      </w:r>
      <w:r w:rsidR="003C7FA8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úb</w:t>
      </w:r>
      <w:r w:rsidR="005C3A4F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l</w:t>
      </w:r>
      <w:r w:rsidR="003C7FA8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icas</w:t>
      </w:r>
      <w:r w:rsidR="00E609C1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y</w:t>
      </w:r>
      <w:r w:rsidR="003C7FA8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A87B2B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C</w:t>
      </w:r>
      <w:r w:rsidR="003C7FA8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orporaciones de </w:t>
      </w:r>
      <w:r w:rsidR="00A87B2B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A</w:t>
      </w:r>
      <w:r w:rsidR="003C7FA8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sistencia </w:t>
      </w:r>
      <w:r w:rsidR="00A87B2B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J</w:t>
      </w:r>
      <w:r w:rsidR="003C7FA8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udicial</w:t>
      </w:r>
      <w:r w:rsidR="00E609C1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. E</w:t>
      </w:r>
      <w:r w:rsidR="00CF3271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n cuanto a</w:t>
      </w:r>
      <w:r w:rsidR="001A0FFA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las</w:t>
      </w:r>
      <w:r w:rsidR="00CF3271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diligencias</w:t>
      </w:r>
      <w:r w:rsidR="00F44C44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1A0FFA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ejercidas </w:t>
      </w:r>
      <w:r w:rsidR="00F44C44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por otros órganos prestadores de servicios</w:t>
      </w:r>
      <w:r w:rsidR="00CF3271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CE3E9F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al sistema judicial, </w:t>
      </w:r>
      <w:r w:rsidR="00DA41D7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encontramos </w:t>
      </w:r>
      <w:r w:rsidR="00204AE9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el </w:t>
      </w:r>
      <w:r w:rsidR="00A87B2B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C</w:t>
      </w:r>
      <w:r w:rsidR="00204AE9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onservador de </w:t>
      </w:r>
      <w:r w:rsidR="00A87B2B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B</w:t>
      </w:r>
      <w:r w:rsidR="00204AE9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ienes </w:t>
      </w:r>
      <w:r w:rsidR="00A87B2B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R</w:t>
      </w:r>
      <w:r w:rsidR="00204AE9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aíces, </w:t>
      </w:r>
      <w:r w:rsidR="00A87B2B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R</w:t>
      </w:r>
      <w:r w:rsidR="00204AE9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egistro </w:t>
      </w:r>
      <w:r w:rsidR="00A87B2B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C</w:t>
      </w:r>
      <w:r w:rsidR="00204AE9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ivil</w:t>
      </w:r>
      <w:r w:rsidR="004828D5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, </w:t>
      </w:r>
      <w:r w:rsidR="00A87B2B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N</w:t>
      </w:r>
      <w:r w:rsidR="00204AE9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otarias</w:t>
      </w:r>
      <w:r w:rsidR="00A87B2B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, Archivero Judicial </w:t>
      </w:r>
      <w:r w:rsidR="00D93B7E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y toda</w:t>
      </w:r>
      <w:r w:rsidR="0002029F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s</w:t>
      </w:r>
      <w:r w:rsidR="00D93B7E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aquella</w:t>
      </w:r>
      <w:r w:rsidR="0002029F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s</w:t>
      </w:r>
      <w:r w:rsidR="00D93B7E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entidad</w:t>
      </w:r>
      <w:r w:rsidR="0002029F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es</w:t>
      </w:r>
      <w:r w:rsidR="00D93B7E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02029F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públicas</w:t>
      </w:r>
      <w:r w:rsidR="003F3ED2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a l</w:t>
      </w:r>
      <w:r w:rsidR="0002029F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as</w:t>
      </w:r>
      <w:r w:rsidR="003F3ED2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cual</w:t>
      </w:r>
      <w:r w:rsidR="0002029F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es</w:t>
      </w:r>
      <w:r w:rsidR="003F3ED2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15007F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se solicitan</w:t>
      </w:r>
      <w:r w:rsidR="0002029F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trámites</w:t>
      </w:r>
      <w:r w:rsidR="003F3ED2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para el esclarecimiento </w:t>
      </w:r>
      <w:r w:rsidR="0002029F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y </w:t>
      </w:r>
      <w:r w:rsidR="00BD79E5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mejor servicio </w:t>
      </w:r>
      <w:r w:rsidR="003F3ED2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de</w:t>
      </w:r>
      <w:r w:rsidR="00994381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justicia</w:t>
      </w:r>
      <w:r w:rsidR="00DA7202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.</w:t>
      </w:r>
      <w:r w:rsidR="00B06DC9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 </w:t>
      </w:r>
    </w:p>
    <w:p w:rsidR="000F1F6D" w:rsidRPr="009B7F1B" w:rsidRDefault="00902524" w:rsidP="00315DC2">
      <w:pPr>
        <w:spacing w:line="360" w:lineRule="auto"/>
        <w:ind w:right="-234"/>
        <w:jc w:val="both"/>
        <w:rPr>
          <w:rFonts w:asciiTheme="majorHAnsi" w:hAnsiTheme="majorHAnsi" w:cstheme="majorHAnsi"/>
          <w:sz w:val="24"/>
          <w:szCs w:val="24"/>
          <w:shd w:val="clear" w:color="auto" w:fill="FEFEFE"/>
        </w:rPr>
      </w:pPr>
      <w:r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Consecuencialmente con lo anterior,</w:t>
      </w:r>
      <w:r w:rsidR="004F2634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es </w:t>
      </w:r>
      <w:r w:rsidR="00EB6CF1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importante</w:t>
      </w:r>
      <w:r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mencionar que</w:t>
      </w:r>
      <w:r w:rsidR="00A9498A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, respecto a</w:t>
      </w:r>
      <w:r w:rsidR="00862B01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D8639E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trámites</w:t>
      </w:r>
      <w:r w:rsidR="00862B01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EB6CF1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con privilegio de pobreza </w:t>
      </w:r>
      <w:r w:rsidR="00D8639E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realizados por notarias</w:t>
      </w:r>
      <w:r w:rsidR="00C74B8F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BA6521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poseen</w:t>
      </w:r>
      <w:r w:rsidR="00862B01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una </w:t>
      </w:r>
      <w:r w:rsidR="00A9498A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excesiva</w:t>
      </w:r>
      <w:r w:rsidR="00C74B8F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demora</w:t>
      </w:r>
      <w:r w:rsidR="00C16191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, </w:t>
      </w:r>
      <w:r w:rsidR="00C74B8F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en relación con</w:t>
      </w:r>
      <w:r w:rsidR="00A9498A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315DC2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 </w:t>
      </w:r>
      <w:r w:rsidR="00A9498A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las</w:t>
      </w:r>
      <w:r w:rsidR="00C16191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actuaciones </w:t>
      </w:r>
      <w:r w:rsidR="00A9498A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onerosas y </w:t>
      </w:r>
      <w:r w:rsidR="00D75822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privadas </w:t>
      </w:r>
      <w:r w:rsidR="00153E65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que cada una de las notarías ejerce</w:t>
      </w:r>
      <w:r w:rsidR="00DD3610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, las que tienen prioridad por sobre las gratuitas</w:t>
      </w:r>
      <w:r w:rsidR="00C74B8F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. Lo anterior,</w:t>
      </w:r>
      <w:r w:rsidR="00DD3610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097C0C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entrampa</w:t>
      </w:r>
      <w:r w:rsidR="00A9498A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en sobremanera</w:t>
      </w:r>
      <w:r w:rsidR="00097C0C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la certeza jurídica</w:t>
      </w:r>
      <w:r w:rsidR="00315DC2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 </w:t>
      </w:r>
      <w:r w:rsidR="00097C0C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de nuestro derecho</w:t>
      </w:r>
      <w:r w:rsidR="005A140D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y segrega a quienes no tienen los medios </w:t>
      </w:r>
      <w:r w:rsidR="00F825B4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económicos</w:t>
      </w:r>
      <w:r w:rsidR="003C1208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, causando</w:t>
      </w:r>
      <w:r w:rsidR="00315DC2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3C1208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C74B8F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tardanza</w:t>
      </w:r>
      <w:r w:rsidR="003C1208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en sus actuaciones legales y judiciales</w:t>
      </w:r>
      <w:r w:rsidR="00097C0C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.</w:t>
      </w:r>
    </w:p>
    <w:p w:rsidR="00580F4D" w:rsidRPr="009B7F1B" w:rsidRDefault="00580F4D" w:rsidP="00315DC2">
      <w:pPr>
        <w:spacing w:line="360" w:lineRule="auto"/>
        <w:ind w:right="-234"/>
        <w:jc w:val="both"/>
        <w:rPr>
          <w:rFonts w:asciiTheme="majorHAnsi" w:hAnsiTheme="majorHAnsi" w:cstheme="majorHAnsi"/>
          <w:sz w:val="24"/>
          <w:szCs w:val="24"/>
          <w:shd w:val="clear" w:color="auto" w:fill="FEFEFE"/>
        </w:rPr>
      </w:pPr>
    </w:p>
    <w:p w:rsidR="00580F4D" w:rsidRPr="009B7F1B" w:rsidRDefault="00580F4D" w:rsidP="00315DC2">
      <w:pPr>
        <w:spacing w:line="360" w:lineRule="auto"/>
        <w:ind w:right="-234"/>
        <w:jc w:val="both"/>
        <w:rPr>
          <w:rFonts w:asciiTheme="majorHAnsi" w:hAnsiTheme="majorHAnsi" w:cstheme="majorHAnsi"/>
          <w:b/>
          <w:bCs/>
          <w:sz w:val="24"/>
          <w:szCs w:val="24"/>
          <w:shd w:val="clear" w:color="auto" w:fill="FEFEFE"/>
        </w:rPr>
      </w:pPr>
      <w:r w:rsidRPr="009B7F1B">
        <w:rPr>
          <w:rFonts w:asciiTheme="majorHAnsi" w:hAnsiTheme="majorHAnsi" w:cstheme="majorHAnsi"/>
          <w:b/>
          <w:bCs/>
          <w:sz w:val="24"/>
          <w:szCs w:val="24"/>
          <w:shd w:val="clear" w:color="auto" w:fill="FEFEFE"/>
        </w:rPr>
        <w:t>IDEA MATRIZ</w:t>
      </w:r>
    </w:p>
    <w:p w:rsidR="00087B5A" w:rsidRPr="009B7F1B" w:rsidRDefault="00A548CB" w:rsidP="00315DC2">
      <w:pPr>
        <w:spacing w:line="360" w:lineRule="auto"/>
        <w:ind w:right="-234"/>
        <w:jc w:val="both"/>
        <w:rPr>
          <w:rFonts w:asciiTheme="majorHAnsi" w:hAnsiTheme="majorHAnsi" w:cstheme="majorHAnsi"/>
          <w:sz w:val="24"/>
          <w:szCs w:val="24"/>
          <w:shd w:val="clear" w:color="auto" w:fill="FEFEFE"/>
        </w:rPr>
      </w:pPr>
      <w:r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La presente iniciativa buscar perfeccionar </w:t>
      </w:r>
      <w:r w:rsidR="003C1208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el</w:t>
      </w:r>
      <w:r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553AA9">
        <w:rPr>
          <w:rFonts w:asciiTheme="majorHAnsi" w:hAnsiTheme="majorHAnsi" w:cstheme="majorHAnsi"/>
          <w:sz w:val="24"/>
          <w:szCs w:val="24"/>
          <w:shd w:val="clear" w:color="auto" w:fill="FEFEFE"/>
        </w:rPr>
        <w:t>C</w:t>
      </w:r>
      <w:r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ódigo </w:t>
      </w:r>
      <w:r w:rsidR="00553AA9">
        <w:rPr>
          <w:rFonts w:asciiTheme="majorHAnsi" w:hAnsiTheme="majorHAnsi" w:cstheme="majorHAnsi"/>
          <w:sz w:val="24"/>
          <w:szCs w:val="24"/>
          <w:shd w:val="clear" w:color="auto" w:fill="FEFEFE"/>
        </w:rPr>
        <w:t>O</w:t>
      </w:r>
      <w:r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rgánico de </w:t>
      </w:r>
      <w:r w:rsidR="00553AA9">
        <w:rPr>
          <w:rFonts w:asciiTheme="majorHAnsi" w:hAnsiTheme="majorHAnsi" w:cstheme="majorHAnsi"/>
          <w:sz w:val="24"/>
          <w:szCs w:val="24"/>
          <w:shd w:val="clear" w:color="auto" w:fill="FEFEFE"/>
        </w:rPr>
        <w:t>T</w:t>
      </w:r>
      <w:r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ribunales, </w:t>
      </w:r>
      <w:r w:rsidR="00C74B8F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concretamente</w:t>
      </w:r>
      <w:r w:rsidR="00315DC2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F825B4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lo relativo a las </w:t>
      </w:r>
      <w:r w:rsidR="00E2240D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notarías</w:t>
      </w:r>
      <w:r w:rsidR="00553AA9">
        <w:rPr>
          <w:rFonts w:asciiTheme="majorHAnsi" w:hAnsiTheme="majorHAnsi" w:cstheme="majorHAnsi"/>
          <w:sz w:val="24"/>
          <w:szCs w:val="24"/>
          <w:shd w:val="clear" w:color="auto" w:fill="FEFEFE"/>
        </w:rPr>
        <w:t>, estableciendo</w:t>
      </w:r>
      <w:r w:rsidR="00F31788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una regulación</w:t>
      </w:r>
      <w:r w:rsidR="006F15BE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F31788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más </w:t>
      </w:r>
      <w:r w:rsidR="006F15BE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eficaz</w:t>
      </w:r>
      <w:r w:rsidR="00F31788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y expedita para</w:t>
      </w:r>
      <w:r w:rsidR="006F15BE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los trámites </w:t>
      </w:r>
      <w:r w:rsidR="00E2240D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gratu</w:t>
      </w:r>
      <w:r w:rsidR="00A00B4E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itos</w:t>
      </w:r>
      <w:r w:rsidR="00324F28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que</w:t>
      </w:r>
      <w:r w:rsidR="00E42010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realizan </w:t>
      </w:r>
      <w:r w:rsidR="00AB4CA8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las </w:t>
      </w:r>
      <w:r w:rsidR="00E42010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personas que gozan </w:t>
      </w:r>
      <w:r w:rsidR="009F2C76">
        <w:rPr>
          <w:rFonts w:asciiTheme="majorHAnsi" w:hAnsiTheme="majorHAnsi" w:cstheme="majorHAnsi"/>
          <w:sz w:val="24"/>
          <w:szCs w:val="24"/>
          <w:shd w:val="clear" w:color="auto" w:fill="FEFEFE"/>
        </w:rPr>
        <w:t>del “privilegio de pobreza”</w:t>
      </w:r>
      <w:r w:rsidR="00F31788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, aquello</w:t>
      </w:r>
      <w:r w:rsidR="00324F28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para el mejor funcionamiento de la justicia y en general </w:t>
      </w:r>
      <w:r w:rsidR="0064536D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de los servicios públicos</w:t>
      </w:r>
      <w:r w:rsidR="00087B5A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, </w:t>
      </w:r>
      <w:r w:rsidR="00F55A5E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instaurando</w:t>
      </w:r>
      <w:r w:rsidR="00087B5A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que dichos tramites exentos de pago</w:t>
      </w:r>
      <w:r w:rsidR="003C1208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como</w:t>
      </w:r>
      <w:r w:rsidR="00C74B8F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lo son</w:t>
      </w:r>
      <w:r w:rsidR="003C1208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; </w:t>
      </w:r>
      <w:r w:rsidR="00AF7C2B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escrituras de dación en pago, escrituras de compra ve</w:t>
      </w:r>
      <w:r w:rsidR="00960B28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nta</w:t>
      </w:r>
      <w:r w:rsidR="00504BB5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, </w:t>
      </w:r>
      <w:r w:rsidR="00AF7C2B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mandatos, </w:t>
      </w:r>
      <w:r w:rsidR="000E2F70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entre otros,</w:t>
      </w:r>
      <w:r w:rsidR="003E21EA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087B5A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no </w:t>
      </w:r>
      <w:r w:rsidR="00D34951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demoren</w:t>
      </w:r>
      <w:r w:rsidR="000E2F70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más de lo que tarda </w:t>
      </w:r>
      <w:r w:rsidR="00087B5A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un </w:t>
      </w:r>
      <w:r w:rsidR="003C1208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trámite</w:t>
      </w:r>
      <w:r w:rsidR="00087B5A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oneroso y particular.</w:t>
      </w:r>
    </w:p>
    <w:p w:rsidR="00A00B4E" w:rsidRPr="009B7F1B" w:rsidRDefault="00A00B4E" w:rsidP="00315DC2">
      <w:pPr>
        <w:spacing w:line="360" w:lineRule="auto"/>
        <w:ind w:right="-234"/>
        <w:jc w:val="both"/>
        <w:rPr>
          <w:rFonts w:asciiTheme="majorHAnsi" w:hAnsiTheme="majorHAnsi" w:cstheme="majorHAnsi"/>
          <w:sz w:val="24"/>
          <w:szCs w:val="24"/>
          <w:shd w:val="clear" w:color="auto" w:fill="FEFEFE"/>
        </w:rPr>
      </w:pPr>
    </w:p>
    <w:p w:rsidR="00DB45B5" w:rsidRPr="009B7F1B" w:rsidRDefault="00DB45B5" w:rsidP="00315DC2">
      <w:pPr>
        <w:spacing w:line="360" w:lineRule="auto"/>
        <w:ind w:right="-234"/>
        <w:jc w:val="both"/>
        <w:rPr>
          <w:rFonts w:asciiTheme="majorHAnsi" w:hAnsiTheme="majorHAnsi" w:cstheme="majorHAnsi"/>
          <w:sz w:val="24"/>
          <w:szCs w:val="24"/>
          <w:shd w:val="clear" w:color="auto" w:fill="FEFEFE"/>
        </w:rPr>
      </w:pPr>
    </w:p>
    <w:p w:rsidR="00DB45B5" w:rsidRPr="009B7F1B" w:rsidRDefault="00DB45B5" w:rsidP="00315DC2">
      <w:pPr>
        <w:spacing w:line="360" w:lineRule="auto"/>
        <w:ind w:right="-234"/>
        <w:jc w:val="both"/>
        <w:rPr>
          <w:rFonts w:asciiTheme="majorHAnsi" w:hAnsiTheme="majorHAnsi" w:cstheme="majorHAnsi"/>
          <w:sz w:val="24"/>
          <w:szCs w:val="24"/>
          <w:shd w:val="clear" w:color="auto" w:fill="FEFEFE"/>
        </w:rPr>
      </w:pPr>
    </w:p>
    <w:p w:rsidR="001669B3" w:rsidRPr="009B7F1B" w:rsidRDefault="001669B3" w:rsidP="00315DC2">
      <w:pPr>
        <w:spacing w:line="360" w:lineRule="auto"/>
        <w:ind w:right="-234"/>
        <w:jc w:val="both"/>
        <w:rPr>
          <w:rFonts w:asciiTheme="majorHAnsi" w:hAnsiTheme="majorHAnsi" w:cstheme="majorHAnsi"/>
          <w:sz w:val="24"/>
          <w:szCs w:val="24"/>
          <w:shd w:val="clear" w:color="auto" w:fill="FEFEFE"/>
        </w:rPr>
      </w:pPr>
    </w:p>
    <w:p w:rsidR="003D6744" w:rsidRPr="009B7F1B" w:rsidRDefault="00E97A48" w:rsidP="00315DC2">
      <w:pPr>
        <w:spacing w:line="360" w:lineRule="auto"/>
        <w:ind w:right="-234"/>
        <w:jc w:val="center"/>
        <w:rPr>
          <w:rFonts w:asciiTheme="majorHAnsi" w:hAnsiTheme="majorHAnsi" w:cstheme="majorHAnsi"/>
          <w:b/>
          <w:sz w:val="24"/>
          <w:szCs w:val="24"/>
          <w:shd w:val="clear" w:color="auto" w:fill="FEFEFE"/>
        </w:rPr>
      </w:pPr>
      <w:r w:rsidRPr="009B7F1B">
        <w:rPr>
          <w:rFonts w:asciiTheme="majorHAnsi" w:hAnsiTheme="majorHAnsi" w:cstheme="majorHAnsi"/>
          <w:b/>
          <w:sz w:val="24"/>
          <w:szCs w:val="24"/>
          <w:shd w:val="clear" w:color="auto" w:fill="FEFEFE"/>
        </w:rPr>
        <w:t>PROYECTO DE LEY</w:t>
      </w:r>
    </w:p>
    <w:p w:rsidR="001669B3" w:rsidRPr="009B7F1B" w:rsidRDefault="001669B3" w:rsidP="00315DC2">
      <w:pPr>
        <w:spacing w:line="360" w:lineRule="auto"/>
        <w:ind w:right="-234"/>
        <w:jc w:val="both"/>
        <w:rPr>
          <w:rFonts w:asciiTheme="majorHAnsi" w:hAnsiTheme="majorHAnsi" w:cstheme="majorHAnsi"/>
          <w:b/>
          <w:sz w:val="24"/>
          <w:szCs w:val="24"/>
          <w:shd w:val="clear" w:color="auto" w:fill="FEFEFE"/>
        </w:rPr>
      </w:pPr>
    </w:p>
    <w:p w:rsidR="00314A2B" w:rsidRPr="009B7F1B" w:rsidRDefault="006839C0" w:rsidP="00315DC2">
      <w:pPr>
        <w:spacing w:line="360" w:lineRule="auto"/>
        <w:ind w:right="-234"/>
        <w:jc w:val="both"/>
        <w:rPr>
          <w:rFonts w:asciiTheme="majorHAnsi" w:hAnsiTheme="majorHAnsi" w:cstheme="majorHAnsi"/>
          <w:sz w:val="24"/>
          <w:szCs w:val="24"/>
          <w:shd w:val="clear" w:color="auto" w:fill="FEFEFE"/>
        </w:rPr>
      </w:pPr>
      <w:r w:rsidRPr="009B7F1B">
        <w:rPr>
          <w:rFonts w:asciiTheme="majorHAnsi" w:hAnsiTheme="majorHAnsi" w:cstheme="majorHAnsi"/>
          <w:b/>
          <w:sz w:val="24"/>
          <w:szCs w:val="24"/>
          <w:shd w:val="clear" w:color="auto" w:fill="FEFEFE"/>
        </w:rPr>
        <w:t>ARTICULO UNICO</w:t>
      </w:r>
      <w:r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. Modifíquese el Código Orgánico de Tribunales</w:t>
      </w:r>
      <w:r w:rsidR="007721F0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 xml:space="preserve"> </w:t>
      </w:r>
      <w:r w:rsidR="006113CF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en el siguiente sentido</w:t>
      </w:r>
      <w:r w:rsidR="007721F0" w:rsidRPr="009B7F1B">
        <w:rPr>
          <w:rFonts w:asciiTheme="majorHAnsi" w:hAnsiTheme="majorHAnsi" w:cstheme="majorHAnsi"/>
          <w:sz w:val="24"/>
          <w:szCs w:val="24"/>
          <w:shd w:val="clear" w:color="auto" w:fill="FEFEFE"/>
        </w:rPr>
        <w:t>;</w:t>
      </w:r>
    </w:p>
    <w:p w:rsidR="00E97A48" w:rsidRPr="009B7F1B" w:rsidRDefault="00AF7A68" w:rsidP="00315DC2">
      <w:pPr>
        <w:pStyle w:val="Prrafodelista"/>
        <w:numPr>
          <w:ilvl w:val="0"/>
          <w:numId w:val="3"/>
        </w:numPr>
        <w:spacing w:line="360" w:lineRule="auto"/>
        <w:ind w:right="-234"/>
        <w:jc w:val="both"/>
        <w:rPr>
          <w:rFonts w:asciiTheme="majorHAnsi" w:hAnsiTheme="majorHAnsi" w:cstheme="majorHAnsi"/>
          <w:sz w:val="24"/>
          <w:szCs w:val="24"/>
        </w:rPr>
      </w:pPr>
      <w:r w:rsidRPr="009B7F1B">
        <w:rPr>
          <w:rFonts w:asciiTheme="majorHAnsi" w:hAnsiTheme="majorHAnsi" w:cstheme="majorHAnsi"/>
          <w:sz w:val="24"/>
          <w:szCs w:val="24"/>
        </w:rPr>
        <w:t xml:space="preserve">Incorpórese en el inciso primero, del articulo 602, a continuación de la </w:t>
      </w:r>
      <w:r w:rsidR="00A62B87" w:rsidRPr="009B7F1B">
        <w:rPr>
          <w:rFonts w:asciiTheme="majorHAnsi" w:hAnsiTheme="majorHAnsi" w:cstheme="majorHAnsi"/>
          <w:sz w:val="24"/>
          <w:szCs w:val="24"/>
        </w:rPr>
        <w:t>palabra</w:t>
      </w:r>
      <w:r w:rsidR="00C50D15" w:rsidRPr="009B7F1B">
        <w:rPr>
          <w:rFonts w:asciiTheme="majorHAnsi" w:hAnsiTheme="majorHAnsi" w:cstheme="majorHAnsi"/>
          <w:sz w:val="24"/>
          <w:szCs w:val="24"/>
        </w:rPr>
        <w:t xml:space="preserve"> “interesados”</w:t>
      </w:r>
      <w:r w:rsidR="00845264" w:rsidRPr="009B7F1B">
        <w:rPr>
          <w:rFonts w:asciiTheme="majorHAnsi" w:hAnsiTheme="majorHAnsi" w:cstheme="majorHAnsi"/>
          <w:sz w:val="24"/>
          <w:szCs w:val="24"/>
        </w:rPr>
        <w:t>,</w:t>
      </w:r>
      <w:r w:rsidR="00A62B87" w:rsidRPr="009B7F1B">
        <w:rPr>
          <w:rFonts w:asciiTheme="majorHAnsi" w:hAnsiTheme="majorHAnsi" w:cstheme="majorHAnsi"/>
          <w:sz w:val="24"/>
          <w:szCs w:val="24"/>
        </w:rPr>
        <w:t xml:space="preserve"> la frase “</w:t>
      </w:r>
      <w:r w:rsidR="007E19DB" w:rsidRPr="009B7F1B">
        <w:rPr>
          <w:rFonts w:asciiTheme="majorHAnsi" w:hAnsiTheme="majorHAnsi" w:cstheme="majorHAnsi"/>
          <w:sz w:val="24"/>
          <w:szCs w:val="24"/>
        </w:rPr>
        <w:t xml:space="preserve">las </w:t>
      </w:r>
      <w:r w:rsidR="00A62B87" w:rsidRPr="009B7F1B">
        <w:rPr>
          <w:rFonts w:asciiTheme="majorHAnsi" w:hAnsiTheme="majorHAnsi" w:cstheme="majorHAnsi"/>
          <w:sz w:val="24"/>
          <w:szCs w:val="24"/>
        </w:rPr>
        <w:t>escrituras</w:t>
      </w:r>
      <w:r w:rsidR="00602BC4">
        <w:rPr>
          <w:rFonts w:asciiTheme="majorHAnsi" w:hAnsiTheme="majorHAnsi" w:cstheme="majorHAnsi"/>
          <w:sz w:val="24"/>
          <w:szCs w:val="24"/>
        </w:rPr>
        <w:t xml:space="preserve"> de compraventas, </w:t>
      </w:r>
      <w:r w:rsidR="000B51B0">
        <w:rPr>
          <w:rFonts w:asciiTheme="majorHAnsi" w:hAnsiTheme="majorHAnsi" w:cstheme="majorHAnsi"/>
          <w:sz w:val="24"/>
          <w:szCs w:val="24"/>
        </w:rPr>
        <w:t>dación</w:t>
      </w:r>
      <w:r w:rsidR="00A62B87" w:rsidRPr="009B7F1B">
        <w:rPr>
          <w:rFonts w:asciiTheme="majorHAnsi" w:hAnsiTheme="majorHAnsi" w:cstheme="majorHAnsi"/>
          <w:sz w:val="24"/>
          <w:szCs w:val="24"/>
        </w:rPr>
        <w:t xml:space="preserve">, </w:t>
      </w:r>
      <w:r w:rsidR="00C874A8">
        <w:rPr>
          <w:rFonts w:asciiTheme="majorHAnsi" w:hAnsiTheme="majorHAnsi" w:cstheme="majorHAnsi"/>
          <w:sz w:val="24"/>
          <w:szCs w:val="24"/>
        </w:rPr>
        <w:t xml:space="preserve">cesión, </w:t>
      </w:r>
      <w:r w:rsidR="00A62B87" w:rsidRPr="009B7F1B">
        <w:rPr>
          <w:rFonts w:asciiTheme="majorHAnsi" w:hAnsiTheme="majorHAnsi" w:cstheme="majorHAnsi"/>
          <w:sz w:val="24"/>
          <w:szCs w:val="24"/>
        </w:rPr>
        <w:t xml:space="preserve">mandatos, certificados, </w:t>
      </w:r>
      <w:r w:rsidR="00FE2B9C" w:rsidRPr="009B7F1B">
        <w:rPr>
          <w:rFonts w:asciiTheme="majorHAnsi" w:hAnsiTheme="majorHAnsi" w:cstheme="majorHAnsi"/>
          <w:sz w:val="24"/>
          <w:szCs w:val="24"/>
        </w:rPr>
        <w:t>además, en particular …”</w:t>
      </w:r>
      <w:bookmarkStart w:id="0" w:name="_GoBack"/>
      <w:bookmarkEnd w:id="0"/>
    </w:p>
    <w:p w:rsidR="00864FB2" w:rsidRPr="009B7F1B" w:rsidRDefault="00864FB2" w:rsidP="00315DC2">
      <w:pPr>
        <w:pStyle w:val="Prrafodelista"/>
        <w:numPr>
          <w:ilvl w:val="0"/>
          <w:numId w:val="3"/>
        </w:numPr>
        <w:spacing w:line="360" w:lineRule="auto"/>
        <w:ind w:right="-234"/>
        <w:jc w:val="both"/>
        <w:rPr>
          <w:rFonts w:asciiTheme="majorHAnsi" w:hAnsiTheme="majorHAnsi" w:cstheme="majorHAnsi"/>
          <w:sz w:val="24"/>
          <w:szCs w:val="24"/>
        </w:rPr>
      </w:pPr>
      <w:r w:rsidRPr="009B7F1B">
        <w:rPr>
          <w:rFonts w:asciiTheme="majorHAnsi" w:hAnsiTheme="majorHAnsi" w:cstheme="majorHAnsi"/>
          <w:sz w:val="24"/>
          <w:szCs w:val="24"/>
        </w:rPr>
        <w:t xml:space="preserve">Incorpórese </w:t>
      </w:r>
      <w:r w:rsidR="005631D8" w:rsidRPr="009B7F1B">
        <w:rPr>
          <w:rFonts w:asciiTheme="majorHAnsi" w:hAnsiTheme="majorHAnsi" w:cstheme="majorHAnsi"/>
          <w:sz w:val="24"/>
          <w:szCs w:val="24"/>
        </w:rPr>
        <w:t>en el art</w:t>
      </w:r>
      <w:r w:rsidR="005B5C7E" w:rsidRPr="009B7F1B">
        <w:rPr>
          <w:rFonts w:asciiTheme="majorHAnsi" w:hAnsiTheme="majorHAnsi" w:cstheme="majorHAnsi"/>
          <w:sz w:val="24"/>
          <w:szCs w:val="24"/>
        </w:rPr>
        <w:t>iculo 602, un inciso final nuevo, del siguiente tenor:</w:t>
      </w:r>
    </w:p>
    <w:p w:rsidR="005B5C7E" w:rsidRPr="009B7F1B" w:rsidRDefault="005B5C7E" w:rsidP="00315DC2">
      <w:pPr>
        <w:pStyle w:val="Prrafodelista"/>
        <w:spacing w:line="360" w:lineRule="auto"/>
        <w:ind w:right="-234"/>
        <w:jc w:val="both"/>
        <w:rPr>
          <w:rFonts w:asciiTheme="majorHAnsi" w:hAnsiTheme="majorHAnsi" w:cstheme="majorHAnsi"/>
          <w:sz w:val="24"/>
          <w:szCs w:val="24"/>
        </w:rPr>
      </w:pPr>
      <w:r w:rsidRPr="009B7F1B">
        <w:rPr>
          <w:rFonts w:asciiTheme="majorHAnsi" w:hAnsiTheme="majorHAnsi" w:cstheme="majorHAnsi"/>
          <w:sz w:val="24"/>
          <w:szCs w:val="24"/>
        </w:rPr>
        <w:t xml:space="preserve">“Con todo, los tramites </w:t>
      </w:r>
      <w:r w:rsidR="00D33821" w:rsidRPr="009B7F1B">
        <w:rPr>
          <w:rFonts w:asciiTheme="majorHAnsi" w:hAnsiTheme="majorHAnsi" w:cstheme="majorHAnsi"/>
          <w:sz w:val="24"/>
          <w:szCs w:val="24"/>
        </w:rPr>
        <w:t>establecidos en el inciso precedente no podrán exceder</w:t>
      </w:r>
      <w:r w:rsidR="001015FD" w:rsidRPr="009B7F1B">
        <w:rPr>
          <w:rFonts w:asciiTheme="majorHAnsi" w:hAnsiTheme="majorHAnsi" w:cstheme="majorHAnsi"/>
          <w:sz w:val="24"/>
          <w:szCs w:val="24"/>
        </w:rPr>
        <w:t xml:space="preserve"> de 7 días corrido</w:t>
      </w:r>
      <w:r w:rsidR="00BB7DF2" w:rsidRPr="009B7F1B">
        <w:rPr>
          <w:rFonts w:asciiTheme="majorHAnsi" w:hAnsiTheme="majorHAnsi" w:cstheme="majorHAnsi"/>
          <w:sz w:val="24"/>
          <w:szCs w:val="24"/>
        </w:rPr>
        <w:t>s</w:t>
      </w:r>
      <w:r w:rsidR="001015FD" w:rsidRPr="009B7F1B">
        <w:rPr>
          <w:rFonts w:asciiTheme="majorHAnsi" w:hAnsiTheme="majorHAnsi" w:cstheme="majorHAnsi"/>
          <w:sz w:val="24"/>
          <w:szCs w:val="24"/>
        </w:rPr>
        <w:t>,</w:t>
      </w:r>
      <w:r w:rsidR="00B857A3" w:rsidRPr="009B7F1B">
        <w:rPr>
          <w:rFonts w:asciiTheme="majorHAnsi" w:hAnsiTheme="majorHAnsi" w:cstheme="majorHAnsi"/>
          <w:sz w:val="24"/>
          <w:szCs w:val="24"/>
        </w:rPr>
        <w:t xml:space="preserve"> desde el tiempo de su </w:t>
      </w:r>
      <w:r w:rsidR="00845264" w:rsidRPr="009B7F1B">
        <w:rPr>
          <w:rFonts w:asciiTheme="majorHAnsi" w:hAnsiTheme="majorHAnsi" w:cstheme="majorHAnsi"/>
          <w:sz w:val="24"/>
          <w:szCs w:val="24"/>
        </w:rPr>
        <w:t>solicitud</w:t>
      </w:r>
      <w:r w:rsidR="0062686E" w:rsidRPr="009B7F1B">
        <w:rPr>
          <w:rFonts w:asciiTheme="majorHAnsi" w:hAnsiTheme="majorHAnsi" w:cstheme="majorHAnsi"/>
          <w:sz w:val="24"/>
          <w:szCs w:val="24"/>
        </w:rPr>
        <w:t>, salvo</w:t>
      </w:r>
      <w:r w:rsidR="00086425" w:rsidRPr="009B7F1B">
        <w:rPr>
          <w:rFonts w:asciiTheme="majorHAnsi" w:hAnsiTheme="majorHAnsi" w:cstheme="majorHAnsi"/>
          <w:sz w:val="24"/>
          <w:szCs w:val="24"/>
        </w:rPr>
        <w:t xml:space="preserve"> </w:t>
      </w:r>
      <w:r w:rsidR="008815EE" w:rsidRPr="009B7F1B">
        <w:rPr>
          <w:rFonts w:asciiTheme="majorHAnsi" w:hAnsiTheme="majorHAnsi" w:cstheme="majorHAnsi"/>
          <w:sz w:val="24"/>
          <w:szCs w:val="24"/>
        </w:rPr>
        <w:t xml:space="preserve">que </w:t>
      </w:r>
      <w:r w:rsidR="00086425" w:rsidRPr="009B7F1B">
        <w:rPr>
          <w:rFonts w:asciiTheme="majorHAnsi" w:hAnsiTheme="majorHAnsi" w:cstheme="majorHAnsi"/>
          <w:sz w:val="24"/>
          <w:szCs w:val="24"/>
        </w:rPr>
        <w:t xml:space="preserve">por su propia naturaleza sea necesario un </w:t>
      </w:r>
      <w:r w:rsidR="00674D77" w:rsidRPr="009B7F1B">
        <w:rPr>
          <w:rFonts w:asciiTheme="majorHAnsi" w:hAnsiTheme="majorHAnsi" w:cstheme="majorHAnsi"/>
          <w:sz w:val="24"/>
          <w:szCs w:val="24"/>
        </w:rPr>
        <w:t>plazo</w:t>
      </w:r>
      <w:r w:rsidR="00086425" w:rsidRPr="009B7F1B">
        <w:rPr>
          <w:rFonts w:asciiTheme="majorHAnsi" w:hAnsiTheme="majorHAnsi" w:cstheme="majorHAnsi"/>
          <w:sz w:val="24"/>
          <w:szCs w:val="24"/>
        </w:rPr>
        <w:t xml:space="preserve"> mayor”.</w:t>
      </w:r>
      <w:r w:rsidR="00BB7DF2" w:rsidRPr="009B7F1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D6744" w:rsidRPr="009B7F1B" w:rsidRDefault="003D6744" w:rsidP="00315DC2">
      <w:pPr>
        <w:spacing w:line="360" w:lineRule="auto"/>
        <w:ind w:right="-234"/>
        <w:jc w:val="both"/>
        <w:rPr>
          <w:rFonts w:asciiTheme="majorHAnsi" w:hAnsiTheme="majorHAnsi" w:cstheme="majorHAnsi"/>
          <w:sz w:val="24"/>
          <w:szCs w:val="24"/>
        </w:rPr>
      </w:pPr>
    </w:p>
    <w:p w:rsidR="007A575F" w:rsidRPr="009B7F1B" w:rsidRDefault="007A575F" w:rsidP="00315DC2">
      <w:pPr>
        <w:spacing w:line="360" w:lineRule="auto"/>
        <w:ind w:right="-234"/>
        <w:rPr>
          <w:rFonts w:asciiTheme="majorHAnsi" w:hAnsiTheme="majorHAnsi" w:cstheme="majorHAnsi"/>
          <w:sz w:val="24"/>
          <w:szCs w:val="24"/>
        </w:rPr>
      </w:pPr>
    </w:p>
    <w:p w:rsidR="00BA6521" w:rsidRPr="009B7F1B" w:rsidRDefault="00BA6521" w:rsidP="00315DC2">
      <w:pPr>
        <w:spacing w:line="360" w:lineRule="auto"/>
        <w:ind w:right="-234"/>
        <w:rPr>
          <w:rFonts w:asciiTheme="majorHAnsi" w:hAnsiTheme="majorHAnsi" w:cstheme="majorHAnsi"/>
          <w:sz w:val="24"/>
          <w:szCs w:val="24"/>
        </w:rPr>
      </w:pPr>
    </w:p>
    <w:p w:rsidR="00BA6521" w:rsidRPr="009B7F1B" w:rsidRDefault="00BA6521" w:rsidP="00315DC2">
      <w:pPr>
        <w:spacing w:line="360" w:lineRule="auto"/>
        <w:ind w:right="-23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B7F1B">
        <w:rPr>
          <w:rFonts w:asciiTheme="majorHAnsi" w:hAnsiTheme="majorHAnsi" w:cstheme="majorHAnsi"/>
          <w:b/>
          <w:bCs/>
          <w:sz w:val="24"/>
          <w:szCs w:val="24"/>
        </w:rPr>
        <w:t>PAULINA NÚÑEZ URRUTIA</w:t>
      </w:r>
    </w:p>
    <w:p w:rsidR="00BA6521" w:rsidRPr="009B7F1B" w:rsidRDefault="00BA6521" w:rsidP="00315DC2">
      <w:pPr>
        <w:spacing w:line="360" w:lineRule="auto"/>
        <w:ind w:right="-23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B7F1B">
        <w:rPr>
          <w:rFonts w:asciiTheme="majorHAnsi" w:hAnsiTheme="majorHAnsi" w:cstheme="majorHAnsi"/>
          <w:b/>
          <w:bCs/>
          <w:sz w:val="24"/>
          <w:szCs w:val="24"/>
        </w:rPr>
        <w:t>DIPUTADA</w:t>
      </w:r>
    </w:p>
    <w:sectPr w:rsidR="00BA6521" w:rsidRPr="009B7F1B" w:rsidSect="00DB45B5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3E" w:rsidRDefault="00B9793E" w:rsidP="00840214">
      <w:pPr>
        <w:spacing w:after="0" w:line="240" w:lineRule="auto"/>
      </w:pPr>
      <w:r>
        <w:separator/>
      </w:r>
    </w:p>
  </w:endnote>
  <w:endnote w:type="continuationSeparator" w:id="0">
    <w:p w:rsidR="00B9793E" w:rsidRDefault="00B9793E" w:rsidP="0084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9085301"/>
      <w:docPartObj>
        <w:docPartGallery w:val="Page Numbers (Bottom of Page)"/>
        <w:docPartUnique/>
      </w:docPartObj>
    </w:sdtPr>
    <w:sdtContent>
      <w:p w:rsidR="00802D9E" w:rsidRDefault="00A326C1">
        <w:pPr>
          <w:pStyle w:val="Piedepgina"/>
          <w:jc w:val="right"/>
        </w:pPr>
        <w:r>
          <w:fldChar w:fldCharType="begin"/>
        </w:r>
        <w:r w:rsidR="00802D9E">
          <w:instrText>PAGE   \* MERGEFORMAT</w:instrText>
        </w:r>
        <w:r>
          <w:fldChar w:fldCharType="separate"/>
        </w:r>
        <w:r w:rsidR="00315DC2" w:rsidRPr="00315DC2">
          <w:rPr>
            <w:noProof/>
            <w:lang w:val="es-ES"/>
          </w:rPr>
          <w:t>1</w:t>
        </w:r>
        <w:r>
          <w:fldChar w:fldCharType="end"/>
        </w:r>
      </w:p>
    </w:sdtContent>
  </w:sdt>
  <w:p w:rsidR="00802D9E" w:rsidRDefault="00802D9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3E" w:rsidRDefault="00B9793E" w:rsidP="00840214">
      <w:pPr>
        <w:spacing w:after="0" w:line="240" w:lineRule="auto"/>
      </w:pPr>
      <w:r>
        <w:separator/>
      </w:r>
    </w:p>
  </w:footnote>
  <w:footnote w:type="continuationSeparator" w:id="0">
    <w:p w:rsidR="00B9793E" w:rsidRDefault="00B9793E" w:rsidP="00840214">
      <w:pPr>
        <w:spacing w:after="0" w:line="240" w:lineRule="auto"/>
      </w:pPr>
      <w:r>
        <w:continuationSeparator/>
      </w:r>
    </w:p>
  </w:footnote>
  <w:footnote w:id="1">
    <w:p w:rsidR="009F708D" w:rsidRDefault="009F708D">
      <w:pPr>
        <w:pStyle w:val="Textonotapie"/>
      </w:pPr>
      <w:r>
        <w:rPr>
          <w:rStyle w:val="Refdenotaalpie"/>
        </w:rPr>
        <w:footnoteRef/>
      </w:r>
      <w:r>
        <w:t xml:space="preserve"> Maqueo </w:t>
      </w:r>
      <w:r w:rsidR="00802D9E">
        <w:t>Ramírez</w:t>
      </w:r>
      <w:r>
        <w:t>, María S. Una Revisión de la Asistencia Jurídica Gratuita de</w:t>
      </w:r>
      <w:r w:rsidR="00802D9E">
        <w:t>s</w:t>
      </w:r>
      <w:r>
        <w:t xml:space="preserve">de el Análisis Económico y el Derecho Constitucional, en Instituto de Investigaciones Jurídicas de la UNAM (2013), </w:t>
      </w:r>
      <w:r w:rsidR="00A52D41">
        <w:t xml:space="preserve">p. </w:t>
      </w:r>
      <w:r>
        <w:t>1.</w:t>
      </w:r>
    </w:p>
  </w:footnote>
  <w:footnote w:id="2">
    <w:p w:rsidR="00840214" w:rsidRDefault="0084021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B77874">
        <w:t xml:space="preserve">Mario </w:t>
      </w:r>
      <w:proofErr w:type="spellStart"/>
      <w:r w:rsidR="00B77874">
        <w:t>Casarino</w:t>
      </w:r>
      <w:proofErr w:type="spellEnd"/>
      <w:r w:rsidR="00B77874">
        <w:t xml:space="preserve"> </w:t>
      </w:r>
      <w:proofErr w:type="spellStart"/>
      <w:r w:rsidR="00B77874">
        <w:t>Vitervo</w:t>
      </w:r>
      <w:proofErr w:type="spellEnd"/>
      <w:r w:rsidR="00E41EB4">
        <w:t xml:space="preserve">. </w:t>
      </w:r>
      <w:r w:rsidR="00B77874">
        <w:t>Manual de Derecho Procesal</w:t>
      </w:r>
      <w:r w:rsidR="00E41EB4">
        <w:t>. Tomo 1. Sexta edición</w:t>
      </w:r>
      <w:r w:rsidR="005A3278">
        <w:t xml:space="preserve">. Editorial Jurídica de Chile. </w:t>
      </w:r>
      <w:r w:rsidR="00A52D41">
        <w:t>p.</w:t>
      </w:r>
      <w:r w:rsidR="005A3278">
        <w:t xml:space="preserve"> 62.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40D"/>
    <w:multiLevelType w:val="multilevel"/>
    <w:tmpl w:val="4F18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E014A"/>
    <w:multiLevelType w:val="hybridMultilevel"/>
    <w:tmpl w:val="9DA2D046"/>
    <w:lvl w:ilvl="0" w:tplc="2E8652D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24E9C"/>
    <w:multiLevelType w:val="hybridMultilevel"/>
    <w:tmpl w:val="F7BEF4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C0E"/>
    <w:rsid w:val="0002029F"/>
    <w:rsid w:val="000352B7"/>
    <w:rsid w:val="000417D3"/>
    <w:rsid w:val="000516FF"/>
    <w:rsid w:val="00060647"/>
    <w:rsid w:val="00072BA8"/>
    <w:rsid w:val="0008345B"/>
    <w:rsid w:val="00086425"/>
    <w:rsid w:val="00087B5A"/>
    <w:rsid w:val="00097C0C"/>
    <w:rsid w:val="000A00E6"/>
    <w:rsid w:val="000A5FC1"/>
    <w:rsid w:val="000B51B0"/>
    <w:rsid w:val="000C7F14"/>
    <w:rsid w:val="000E0621"/>
    <w:rsid w:val="000E2F70"/>
    <w:rsid w:val="000F1F6D"/>
    <w:rsid w:val="000F26D2"/>
    <w:rsid w:val="001015FD"/>
    <w:rsid w:val="0013061D"/>
    <w:rsid w:val="00141332"/>
    <w:rsid w:val="0015007F"/>
    <w:rsid w:val="00153E65"/>
    <w:rsid w:val="001669B3"/>
    <w:rsid w:val="00167593"/>
    <w:rsid w:val="001877E6"/>
    <w:rsid w:val="0019631B"/>
    <w:rsid w:val="001A0FFA"/>
    <w:rsid w:val="001C6291"/>
    <w:rsid w:val="001D3DEC"/>
    <w:rsid w:val="001E4C0E"/>
    <w:rsid w:val="002004BA"/>
    <w:rsid w:val="00204AE9"/>
    <w:rsid w:val="002403D1"/>
    <w:rsid w:val="0025459E"/>
    <w:rsid w:val="00261DD3"/>
    <w:rsid w:val="002803C6"/>
    <w:rsid w:val="002C1B05"/>
    <w:rsid w:val="002C6EF4"/>
    <w:rsid w:val="002E0D2F"/>
    <w:rsid w:val="002E3DE9"/>
    <w:rsid w:val="003016A3"/>
    <w:rsid w:val="00307364"/>
    <w:rsid w:val="00314A2B"/>
    <w:rsid w:val="00315DC2"/>
    <w:rsid w:val="00324F28"/>
    <w:rsid w:val="003464CD"/>
    <w:rsid w:val="00363045"/>
    <w:rsid w:val="003C1208"/>
    <w:rsid w:val="003C7FA8"/>
    <w:rsid w:val="003D268D"/>
    <w:rsid w:val="003D6744"/>
    <w:rsid w:val="003E21EA"/>
    <w:rsid w:val="003F3ED2"/>
    <w:rsid w:val="003F6547"/>
    <w:rsid w:val="00431102"/>
    <w:rsid w:val="00472DE9"/>
    <w:rsid w:val="004828D5"/>
    <w:rsid w:val="004B7382"/>
    <w:rsid w:val="004B78F1"/>
    <w:rsid w:val="004F2634"/>
    <w:rsid w:val="00504BB5"/>
    <w:rsid w:val="00507252"/>
    <w:rsid w:val="005501BF"/>
    <w:rsid w:val="00551652"/>
    <w:rsid w:val="00551E89"/>
    <w:rsid w:val="00553AA9"/>
    <w:rsid w:val="00553E19"/>
    <w:rsid w:val="00557A3D"/>
    <w:rsid w:val="00561774"/>
    <w:rsid w:val="005631D8"/>
    <w:rsid w:val="00574EAC"/>
    <w:rsid w:val="00580F4D"/>
    <w:rsid w:val="00584DD9"/>
    <w:rsid w:val="005967E7"/>
    <w:rsid w:val="005A140D"/>
    <w:rsid w:val="005A3278"/>
    <w:rsid w:val="005A561A"/>
    <w:rsid w:val="005A5C3E"/>
    <w:rsid w:val="005B40DB"/>
    <w:rsid w:val="005B5C7E"/>
    <w:rsid w:val="005C3A4F"/>
    <w:rsid w:val="005D7339"/>
    <w:rsid w:val="005F210B"/>
    <w:rsid w:val="00602BC4"/>
    <w:rsid w:val="006073F4"/>
    <w:rsid w:val="006113CF"/>
    <w:rsid w:val="00613C4A"/>
    <w:rsid w:val="0062686E"/>
    <w:rsid w:val="00632424"/>
    <w:rsid w:val="00632B8A"/>
    <w:rsid w:val="00644E34"/>
    <w:rsid w:val="0064536D"/>
    <w:rsid w:val="00657CD6"/>
    <w:rsid w:val="00670103"/>
    <w:rsid w:val="00673BF5"/>
    <w:rsid w:val="00674D77"/>
    <w:rsid w:val="00676674"/>
    <w:rsid w:val="006839C0"/>
    <w:rsid w:val="006B64CE"/>
    <w:rsid w:val="006B74C8"/>
    <w:rsid w:val="006C6794"/>
    <w:rsid w:val="006E7351"/>
    <w:rsid w:val="006F15BE"/>
    <w:rsid w:val="007023B6"/>
    <w:rsid w:val="00706D09"/>
    <w:rsid w:val="00715794"/>
    <w:rsid w:val="00724CC6"/>
    <w:rsid w:val="00724E6A"/>
    <w:rsid w:val="007447A3"/>
    <w:rsid w:val="007460BD"/>
    <w:rsid w:val="007578BE"/>
    <w:rsid w:val="007721F0"/>
    <w:rsid w:val="0078408A"/>
    <w:rsid w:val="007A575F"/>
    <w:rsid w:val="007B6806"/>
    <w:rsid w:val="007D09F6"/>
    <w:rsid w:val="007E0E1F"/>
    <w:rsid w:val="007E19DB"/>
    <w:rsid w:val="00802D9E"/>
    <w:rsid w:val="00840214"/>
    <w:rsid w:val="00845264"/>
    <w:rsid w:val="00861CFF"/>
    <w:rsid w:val="00862B01"/>
    <w:rsid w:val="00864FB2"/>
    <w:rsid w:val="00865ECA"/>
    <w:rsid w:val="00873641"/>
    <w:rsid w:val="008815EE"/>
    <w:rsid w:val="008A49B1"/>
    <w:rsid w:val="008B5A6B"/>
    <w:rsid w:val="00902524"/>
    <w:rsid w:val="009178EA"/>
    <w:rsid w:val="009378D6"/>
    <w:rsid w:val="00960B28"/>
    <w:rsid w:val="009854AF"/>
    <w:rsid w:val="00994381"/>
    <w:rsid w:val="009B7F1B"/>
    <w:rsid w:val="009D0AA9"/>
    <w:rsid w:val="009D4129"/>
    <w:rsid w:val="009D6C8E"/>
    <w:rsid w:val="009F2C76"/>
    <w:rsid w:val="009F708D"/>
    <w:rsid w:val="00A00B4E"/>
    <w:rsid w:val="00A326C1"/>
    <w:rsid w:val="00A51490"/>
    <w:rsid w:val="00A52D41"/>
    <w:rsid w:val="00A548CB"/>
    <w:rsid w:val="00A62B87"/>
    <w:rsid w:val="00A64860"/>
    <w:rsid w:val="00A7580B"/>
    <w:rsid w:val="00A8597B"/>
    <w:rsid w:val="00A87B2B"/>
    <w:rsid w:val="00A910A7"/>
    <w:rsid w:val="00A94419"/>
    <w:rsid w:val="00A9498A"/>
    <w:rsid w:val="00AA00F3"/>
    <w:rsid w:val="00AB2804"/>
    <w:rsid w:val="00AB4CA8"/>
    <w:rsid w:val="00AD1C55"/>
    <w:rsid w:val="00AD4A1D"/>
    <w:rsid w:val="00AD7CD1"/>
    <w:rsid w:val="00AE1A32"/>
    <w:rsid w:val="00AE3BF7"/>
    <w:rsid w:val="00AF7A68"/>
    <w:rsid w:val="00AF7C2B"/>
    <w:rsid w:val="00B06DC9"/>
    <w:rsid w:val="00B305A9"/>
    <w:rsid w:val="00B46A97"/>
    <w:rsid w:val="00B77874"/>
    <w:rsid w:val="00B81CFB"/>
    <w:rsid w:val="00B857A3"/>
    <w:rsid w:val="00B87A94"/>
    <w:rsid w:val="00B9793E"/>
    <w:rsid w:val="00BA6521"/>
    <w:rsid w:val="00BB7DF2"/>
    <w:rsid w:val="00BD79E5"/>
    <w:rsid w:val="00C136D9"/>
    <w:rsid w:val="00C16191"/>
    <w:rsid w:val="00C16B14"/>
    <w:rsid w:val="00C34692"/>
    <w:rsid w:val="00C50D15"/>
    <w:rsid w:val="00C60871"/>
    <w:rsid w:val="00C66634"/>
    <w:rsid w:val="00C74B8F"/>
    <w:rsid w:val="00C874A8"/>
    <w:rsid w:val="00C90524"/>
    <w:rsid w:val="00C97ECC"/>
    <w:rsid w:val="00CB7A87"/>
    <w:rsid w:val="00CE3E9F"/>
    <w:rsid w:val="00CF3271"/>
    <w:rsid w:val="00D12D91"/>
    <w:rsid w:val="00D13255"/>
    <w:rsid w:val="00D33821"/>
    <w:rsid w:val="00D34951"/>
    <w:rsid w:val="00D72919"/>
    <w:rsid w:val="00D75822"/>
    <w:rsid w:val="00D84FA4"/>
    <w:rsid w:val="00D8639E"/>
    <w:rsid w:val="00D8794F"/>
    <w:rsid w:val="00D92A2F"/>
    <w:rsid w:val="00D93B7E"/>
    <w:rsid w:val="00DA41D7"/>
    <w:rsid w:val="00DA7202"/>
    <w:rsid w:val="00DB45B5"/>
    <w:rsid w:val="00DC6F4C"/>
    <w:rsid w:val="00DD3610"/>
    <w:rsid w:val="00DE62B0"/>
    <w:rsid w:val="00DE6474"/>
    <w:rsid w:val="00E20197"/>
    <w:rsid w:val="00E2240D"/>
    <w:rsid w:val="00E41EB4"/>
    <w:rsid w:val="00E42010"/>
    <w:rsid w:val="00E53FC6"/>
    <w:rsid w:val="00E609C1"/>
    <w:rsid w:val="00E61345"/>
    <w:rsid w:val="00E626C8"/>
    <w:rsid w:val="00E63B5A"/>
    <w:rsid w:val="00E905C6"/>
    <w:rsid w:val="00E97A48"/>
    <w:rsid w:val="00EB6CF1"/>
    <w:rsid w:val="00EE2573"/>
    <w:rsid w:val="00F24564"/>
    <w:rsid w:val="00F310A9"/>
    <w:rsid w:val="00F31788"/>
    <w:rsid w:val="00F43FAC"/>
    <w:rsid w:val="00F44C44"/>
    <w:rsid w:val="00F55A5E"/>
    <w:rsid w:val="00F671BB"/>
    <w:rsid w:val="00F825B4"/>
    <w:rsid w:val="00FA3F10"/>
    <w:rsid w:val="00FB22C9"/>
    <w:rsid w:val="00FE2B9C"/>
    <w:rsid w:val="00FE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A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7D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0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214"/>
  </w:style>
  <w:style w:type="paragraph" w:styleId="Piedepgina">
    <w:name w:val="footer"/>
    <w:basedOn w:val="Normal"/>
    <w:link w:val="PiedepginaCar"/>
    <w:uiPriority w:val="99"/>
    <w:unhideWhenUsed/>
    <w:rsid w:val="00840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214"/>
  </w:style>
  <w:style w:type="paragraph" w:styleId="Textonotapie">
    <w:name w:val="footnote text"/>
    <w:basedOn w:val="Normal"/>
    <w:link w:val="TextonotapieCar"/>
    <w:uiPriority w:val="99"/>
    <w:semiHidden/>
    <w:unhideWhenUsed/>
    <w:rsid w:val="008402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021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02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7217-1590-4536-AF0D-B5F0A287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godoy</dc:creator>
  <cp:keywords/>
  <dc:description/>
  <cp:lastModifiedBy>Guillermo Diaz Vallejos</cp:lastModifiedBy>
  <cp:revision>237</cp:revision>
  <cp:lastPrinted>2019-06-19T17:18:00Z</cp:lastPrinted>
  <dcterms:created xsi:type="dcterms:W3CDTF">2019-03-19T18:39:00Z</dcterms:created>
  <dcterms:modified xsi:type="dcterms:W3CDTF">2019-07-10T00:06:00Z</dcterms:modified>
</cp:coreProperties>
</file>