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76" w:rsidRDefault="00605876" w:rsidP="004013F8">
      <w:pPr>
        <w:pStyle w:val="BodyText21"/>
        <w:numPr>
          <w:ilvl w:val="0"/>
          <w:numId w:val="0"/>
        </w:numPr>
        <w:tabs>
          <w:tab w:val="clear" w:pos="6030"/>
          <w:tab w:val="clear" w:pos="6379"/>
          <w:tab w:val="left" w:pos="736"/>
        </w:tabs>
        <w:spacing w:line="276" w:lineRule="auto"/>
        <w:jc w:val="both"/>
        <w:rPr>
          <w:rFonts w:ascii="Century Gothic" w:hAnsi="Century Gothic" w:cs="Gadugi"/>
          <w:b/>
          <w:bCs/>
        </w:rPr>
      </w:pPr>
      <w:r w:rsidRPr="00605876">
        <w:rPr>
          <w:rFonts w:ascii="Century Gothic" w:hAnsi="Century Gothic" w:cs="Gadugi"/>
          <w:b/>
          <w:bCs/>
        </w:rPr>
        <w:t xml:space="preserve">Modifica la ley N° 19.886, de Bases sobre contratos administrativos de suministro y prestación de servicios, para incorporar una nueva causal de inhabilidad para contratar con organismos del Estado </w:t>
      </w:r>
    </w:p>
    <w:p w:rsidR="00605876" w:rsidRDefault="00605876" w:rsidP="00605876">
      <w:pPr>
        <w:pStyle w:val="BodyText21"/>
        <w:numPr>
          <w:ilvl w:val="0"/>
          <w:numId w:val="0"/>
        </w:numPr>
        <w:tabs>
          <w:tab w:val="clear" w:pos="6030"/>
          <w:tab w:val="clear" w:pos="6379"/>
          <w:tab w:val="left" w:pos="736"/>
        </w:tabs>
        <w:spacing w:line="276" w:lineRule="auto"/>
        <w:jc w:val="center"/>
        <w:rPr>
          <w:rFonts w:ascii="Century Gothic" w:hAnsi="Century Gothic" w:cs="Gadugi"/>
          <w:b/>
          <w:bCs/>
        </w:rPr>
      </w:pPr>
      <w:r>
        <w:rPr>
          <w:rFonts w:ascii="Century Gothic" w:hAnsi="Century Gothic" w:cs="Gadugi"/>
          <w:b/>
          <w:bCs/>
        </w:rPr>
        <w:t>Boletín N° 12819-03</w:t>
      </w:r>
    </w:p>
    <w:p w:rsidR="004013F8" w:rsidRPr="00A73E49" w:rsidRDefault="004013F8" w:rsidP="004013F8">
      <w:pPr>
        <w:pStyle w:val="BodyText21"/>
        <w:numPr>
          <w:ilvl w:val="0"/>
          <w:numId w:val="0"/>
        </w:numPr>
        <w:tabs>
          <w:tab w:val="clear" w:pos="6030"/>
          <w:tab w:val="clear" w:pos="6379"/>
          <w:tab w:val="left" w:pos="736"/>
        </w:tabs>
        <w:spacing w:line="276" w:lineRule="auto"/>
        <w:jc w:val="both"/>
        <w:rPr>
          <w:rFonts w:ascii="Century Gothic" w:hAnsi="Century Gothic" w:cs="Gadugi"/>
        </w:rPr>
      </w:pPr>
      <w:r w:rsidRPr="00A73E49">
        <w:rPr>
          <w:rFonts w:ascii="Century Gothic" w:hAnsi="Century Gothic" w:cs="Gadugi"/>
        </w:rPr>
        <w:t>Antecedentes</w:t>
      </w:r>
    </w:p>
    <w:p w:rsidR="004013F8" w:rsidRPr="00A73E49" w:rsidRDefault="004013F8" w:rsidP="004013F8">
      <w:pPr>
        <w:pStyle w:val="BodyText21"/>
        <w:numPr>
          <w:ilvl w:val="0"/>
          <w:numId w:val="0"/>
        </w:numPr>
        <w:tabs>
          <w:tab w:val="clear" w:pos="6030"/>
          <w:tab w:val="clear" w:pos="6379"/>
          <w:tab w:val="left" w:pos="736"/>
        </w:tabs>
        <w:spacing w:line="276" w:lineRule="auto"/>
        <w:jc w:val="both"/>
        <w:rPr>
          <w:rFonts w:ascii="Century Gothic" w:hAnsi="Century Gothic" w:cs="Gadugi"/>
          <w:b/>
          <w:bCs/>
        </w:rPr>
      </w:pP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kern w:val="0"/>
          <w:lang w:eastAsia="es-CL" w:bidi="ar-SA"/>
        </w:rPr>
      </w:pPr>
      <w:r w:rsidRPr="00A73E49">
        <w:rPr>
          <w:rFonts w:ascii="Century Gothic" w:hAnsi="Century Gothic" w:cs="Gadugi"/>
        </w:rPr>
        <w:tab/>
        <w:t xml:space="preserve">Considerando que </w:t>
      </w:r>
      <w:r>
        <w:rPr>
          <w:rFonts w:ascii="Century Gothic" w:eastAsia="Times New Roman" w:hAnsi="Century Gothic" w:cs="CorporateCondensed"/>
          <w:kern w:val="0"/>
          <w:lang w:eastAsia="es-CL" w:bidi="ar-SA"/>
        </w:rPr>
        <w:t>l</w:t>
      </w:r>
      <w:r w:rsidRPr="00A73E49">
        <w:rPr>
          <w:rFonts w:ascii="Century Gothic" w:eastAsia="Times New Roman" w:hAnsi="Century Gothic" w:cs="CorporateCondensed"/>
          <w:kern w:val="0"/>
          <w:lang w:eastAsia="es-CL" w:bidi="ar-SA"/>
        </w:rPr>
        <w:t>a Ley de Bases sobre Contratos Administrativos de Suministro y Prestación de Servicios, la Ley N° 19.886, más conocida como Ley de Compras Públicas, cambió radicalmente la manera en que el Estado realiza sus compras</w:t>
      </w:r>
      <w:r>
        <w:rPr>
          <w:rFonts w:ascii="Century Gothic" w:eastAsia="Times New Roman" w:hAnsi="Century Gothic" w:cs="CorporateCondensed"/>
          <w:kern w:val="0"/>
          <w:lang w:eastAsia="es-CL" w:bidi="ar-SA"/>
        </w:rPr>
        <w:t xml:space="preserve"> al crear</w:t>
      </w:r>
      <w:r w:rsidRPr="00A73E49">
        <w:rPr>
          <w:rFonts w:ascii="Century Gothic" w:eastAsia="Times New Roman" w:hAnsi="Century Gothic" w:cs="CorporateCondensed"/>
          <w:kern w:val="0"/>
          <w:lang w:eastAsia="es-CL" w:bidi="ar-SA"/>
        </w:rPr>
        <w:t xml:space="preserve"> la </w:t>
      </w:r>
      <w:r w:rsidR="003057EB" w:rsidRPr="00A73E49">
        <w:rPr>
          <w:rFonts w:ascii="Century Gothic" w:eastAsia="Times New Roman" w:hAnsi="Century Gothic" w:cs="CorporateCondensed"/>
          <w:kern w:val="0"/>
          <w:lang w:eastAsia="es-CL" w:bidi="ar-SA"/>
        </w:rPr>
        <w:t>institución</w:t>
      </w:r>
      <w:r w:rsidRPr="00A73E49">
        <w:rPr>
          <w:rFonts w:ascii="Century Gothic" w:eastAsia="Times New Roman" w:hAnsi="Century Gothic" w:cs="CorporateCondensed"/>
          <w:kern w:val="0"/>
          <w:lang w:eastAsia="es-CL" w:bidi="ar-SA"/>
        </w:rPr>
        <w:t xml:space="preserve"> necesaria para velar por la transparencia y la eficiencia de las compras, preservar la igualdad de competencia y garantizar los derechos de los participantes. </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kern w:val="0"/>
          <w:lang w:eastAsia="es-CL" w:bidi="ar-SA"/>
        </w:rPr>
      </w:pP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r w:rsidRPr="00A73E49">
        <w:rPr>
          <w:rFonts w:ascii="Century Gothic" w:eastAsia="Times New Roman" w:hAnsi="Century Gothic" w:cs="CorporateCondensed"/>
          <w:color w:val="171411"/>
          <w:kern w:val="0"/>
          <w:lang w:eastAsia="es-CL" w:bidi="ar-SA"/>
        </w:rPr>
        <w:tab/>
        <w:t xml:space="preserve">Entre </w:t>
      </w:r>
      <w:r>
        <w:rPr>
          <w:rFonts w:ascii="Century Gothic" w:eastAsia="Times New Roman" w:hAnsi="Century Gothic" w:cs="CorporateCondensed"/>
          <w:color w:val="171411"/>
          <w:kern w:val="0"/>
          <w:lang w:eastAsia="es-CL" w:bidi="ar-SA"/>
        </w:rPr>
        <w:t>las</w:t>
      </w:r>
      <w:r w:rsidRPr="00A73E49">
        <w:rPr>
          <w:rFonts w:ascii="Century Gothic" w:eastAsia="Times New Roman" w:hAnsi="Century Gothic" w:cs="CorporateCondensed"/>
          <w:color w:val="171411"/>
          <w:kern w:val="0"/>
          <w:lang w:eastAsia="es-CL" w:bidi="ar-SA"/>
        </w:rPr>
        <w:t xml:space="preserve"> principales características que presenta </w:t>
      </w:r>
      <w:r>
        <w:rPr>
          <w:rFonts w:ascii="Century Gothic" w:eastAsia="Times New Roman" w:hAnsi="Century Gothic" w:cs="CorporateCondensed"/>
          <w:color w:val="171411"/>
          <w:kern w:val="0"/>
          <w:lang w:eastAsia="es-CL" w:bidi="ar-SA"/>
        </w:rPr>
        <w:t>dicha</w:t>
      </w:r>
      <w:r w:rsidRPr="00A73E49">
        <w:rPr>
          <w:rFonts w:ascii="Century Gothic" w:eastAsia="Times New Roman" w:hAnsi="Century Gothic" w:cs="CorporateCondensed"/>
          <w:color w:val="171411"/>
          <w:kern w:val="0"/>
          <w:lang w:eastAsia="es-CL" w:bidi="ar-SA"/>
        </w:rPr>
        <w:t xml:space="preserve"> ley, encontramos las siguientes:</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p>
    <w:p w:rsidR="004013F8" w:rsidRPr="00A73E49" w:rsidRDefault="004013F8" w:rsidP="004013F8">
      <w:pPr>
        <w:numPr>
          <w:ilvl w:val="0"/>
          <w:numId w:val="2"/>
        </w:num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r w:rsidRPr="00A73E49">
        <w:rPr>
          <w:rFonts w:ascii="Century Gothic" w:eastAsia="Times New Roman" w:hAnsi="Century Gothic" w:cs="CorporateCondensed"/>
          <w:color w:val="171411"/>
          <w:kern w:val="0"/>
          <w:lang w:eastAsia="es-CL" w:bidi="ar-SA"/>
        </w:rPr>
        <w:t>Introduce máxima transparencia y eficiencia en el mercado de las compras públicas.</w:t>
      </w:r>
    </w:p>
    <w:p w:rsidR="004013F8" w:rsidRPr="00A73E49" w:rsidRDefault="004013F8" w:rsidP="004013F8">
      <w:pPr>
        <w:suppressAutoHyphens w:val="0"/>
        <w:autoSpaceDE w:val="0"/>
        <w:autoSpaceDN w:val="0"/>
        <w:adjustRightInd w:val="0"/>
        <w:spacing w:line="276" w:lineRule="auto"/>
        <w:ind w:left="720"/>
        <w:jc w:val="both"/>
        <w:rPr>
          <w:rFonts w:ascii="Century Gothic" w:eastAsia="Times New Roman" w:hAnsi="Century Gothic" w:cs="CorporateCondensed"/>
          <w:color w:val="171411"/>
          <w:kern w:val="0"/>
          <w:lang w:eastAsia="es-CL" w:bidi="ar-SA"/>
        </w:rPr>
      </w:pPr>
    </w:p>
    <w:p w:rsidR="004013F8" w:rsidRPr="00A73E49" w:rsidRDefault="004013F8" w:rsidP="004013F8">
      <w:pPr>
        <w:numPr>
          <w:ilvl w:val="0"/>
          <w:numId w:val="2"/>
        </w:num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r w:rsidRPr="00A73E49">
        <w:rPr>
          <w:rFonts w:ascii="Century Gothic" w:eastAsia="Times New Roman" w:hAnsi="Century Gothic" w:cs="CorporateCondensed"/>
          <w:color w:val="171411"/>
          <w:kern w:val="0"/>
          <w:lang w:eastAsia="es-CL" w:bidi="ar-SA"/>
        </w:rPr>
        <w:t>Releva el rol de la gestión de abastecimiento en la gestión global de las Instituciones del Estado.</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p>
    <w:p w:rsidR="004013F8" w:rsidRPr="00A73E49" w:rsidRDefault="004013F8" w:rsidP="004013F8">
      <w:pPr>
        <w:numPr>
          <w:ilvl w:val="0"/>
          <w:numId w:val="2"/>
        </w:num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r w:rsidRPr="00A73E49">
        <w:rPr>
          <w:rFonts w:ascii="Century Gothic" w:eastAsia="Times New Roman" w:hAnsi="Century Gothic" w:cs="CorporateCondensed"/>
          <w:color w:val="171411"/>
          <w:kern w:val="0"/>
          <w:lang w:eastAsia="es-CL" w:bidi="ar-SA"/>
        </w:rPr>
        <w:t>Produce un ahorro significativo para el Estado al aumentar la eficiencia, productividad y rapidez de los procesos de compra de los servicios públicos.</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p>
    <w:p w:rsidR="004013F8" w:rsidRPr="00A73E49" w:rsidRDefault="004013F8" w:rsidP="004013F8">
      <w:pPr>
        <w:numPr>
          <w:ilvl w:val="0"/>
          <w:numId w:val="2"/>
        </w:num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r w:rsidRPr="00A73E49">
        <w:rPr>
          <w:rFonts w:ascii="Century Gothic" w:eastAsia="Times New Roman" w:hAnsi="Century Gothic" w:cs="CorporateCondensed"/>
          <w:color w:val="171411"/>
          <w:kern w:val="0"/>
          <w:lang w:eastAsia="es-CL" w:bidi="ar-SA"/>
        </w:rPr>
        <w:t xml:space="preserve">Impulsa la digitalización de los procesos de compras de los organismos públicos con su correspondiente impacto en el comercio electrónico y posicionamiento internacional del país. </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p>
    <w:p w:rsidR="004013F8" w:rsidRPr="00A73E49" w:rsidRDefault="004013F8" w:rsidP="004013F8">
      <w:pPr>
        <w:numPr>
          <w:ilvl w:val="0"/>
          <w:numId w:val="2"/>
        </w:num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r w:rsidRPr="00A73E49">
        <w:rPr>
          <w:rFonts w:ascii="Century Gothic" w:eastAsia="Times New Roman" w:hAnsi="Century Gothic" w:cs="CorporateCondensed"/>
          <w:color w:val="171411"/>
          <w:kern w:val="0"/>
          <w:lang w:eastAsia="es-CL" w:bidi="ar-SA"/>
        </w:rPr>
        <w:t>Gracias a esta ley aumentan las oportunidades de negocios para las empresas o personas naturales.</w:t>
      </w:r>
      <w:r w:rsidRPr="00A73E49">
        <w:rPr>
          <w:rStyle w:val="Refdenotaalpie"/>
          <w:rFonts w:ascii="Century Gothic" w:eastAsia="Times New Roman" w:hAnsi="Century Gothic" w:cs="CorporateCondensed"/>
          <w:color w:val="171411"/>
          <w:kern w:val="0"/>
          <w:lang w:eastAsia="es-CL" w:bidi="ar-SA"/>
        </w:rPr>
        <w:footnoteReference w:id="1"/>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p>
    <w:p w:rsidR="004013F8" w:rsidRPr="00A73E49" w:rsidRDefault="004013F8" w:rsidP="004013F8">
      <w:pPr>
        <w:suppressAutoHyphens w:val="0"/>
        <w:autoSpaceDE w:val="0"/>
        <w:autoSpaceDN w:val="0"/>
        <w:adjustRightInd w:val="0"/>
        <w:spacing w:line="276" w:lineRule="auto"/>
        <w:ind w:firstLine="709"/>
        <w:jc w:val="both"/>
        <w:rPr>
          <w:rFonts w:ascii="Century Gothic" w:eastAsia="Times New Roman" w:hAnsi="Century Gothic" w:cs="CorporateCondensed"/>
          <w:color w:val="171411"/>
          <w:kern w:val="0"/>
          <w:lang w:eastAsia="es-CL" w:bidi="ar-SA"/>
        </w:rPr>
      </w:pPr>
      <w:r w:rsidRPr="00A73E49">
        <w:rPr>
          <w:rFonts w:ascii="Century Gothic" w:eastAsia="Times New Roman" w:hAnsi="Century Gothic" w:cs="CorporateCondensed"/>
          <w:color w:val="171411"/>
          <w:kern w:val="0"/>
          <w:lang w:eastAsia="es-CL" w:bidi="ar-SA"/>
        </w:rPr>
        <w:lastRenderedPageBreak/>
        <w:t xml:space="preserve">Bien sabemos que la Administración del Estado, como ente servicial, no puede cumplir a cabalidad todas y cada una de las tareas encomendadas, </w:t>
      </w:r>
      <w:r>
        <w:rPr>
          <w:rFonts w:ascii="Century Gothic" w:eastAsia="Times New Roman" w:hAnsi="Century Gothic" w:cs="CorporateCondensed"/>
          <w:color w:val="171411"/>
          <w:kern w:val="0"/>
          <w:lang w:eastAsia="es-CL" w:bidi="ar-SA"/>
        </w:rPr>
        <w:t xml:space="preserve">y </w:t>
      </w:r>
      <w:r w:rsidRPr="00A73E49">
        <w:rPr>
          <w:rFonts w:ascii="Century Gothic" w:eastAsia="Times New Roman" w:hAnsi="Century Gothic" w:cs="CorporateCondensed"/>
          <w:color w:val="171411"/>
          <w:kern w:val="0"/>
          <w:lang w:eastAsia="es-CL" w:bidi="ar-SA"/>
        </w:rPr>
        <w:t xml:space="preserve">es por </w:t>
      </w:r>
      <w:r>
        <w:rPr>
          <w:rFonts w:ascii="Century Gothic" w:eastAsia="Times New Roman" w:hAnsi="Century Gothic" w:cs="CorporateCondensed"/>
          <w:color w:val="171411"/>
          <w:kern w:val="0"/>
          <w:lang w:eastAsia="es-CL" w:bidi="ar-SA"/>
        </w:rPr>
        <w:t>esto</w:t>
      </w:r>
      <w:r w:rsidRPr="00A73E49">
        <w:rPr>
          <w:rFonts w:ascii="Century Gothic" w:eastAsia="Times New Roman" w:hAnsi="Century Gothic" w:cs="CorporateCondensed"/>
          <w:color w:val="171411"/>
          <w:kern w:val="0"/>
          <w:lang w:eastAsia="es-CL" w:bidi="ar-SA"/>
        </w:rPr>
        <w:t xml:space="preserve"> que su mandato lo debe cumplir a través del convenio con entidades privadas, en este caso para el suministro de bienes o de servicios que se requieran para el desarrollo de sus funciones, como bien lo dice el artículo 1 de</w:t>
      </w:r>
      <w:r>
        <w:rPr>
          <w:rFonts w:ascii="Century Gothic" w:eastAsia="Times New Roman" w:hAnsi="Century Gothic" w:cs="CorporateCondensed"/>
          <w:color w:val="171411"/>
          <w:kern w:val="0"/>
          <w:lang w:eastAsia="es-CL" w:bidi="ar-SA"/>
        </w:rPr>
        <w:t xml:space="preserve">l mencionado </w:t>
      </w:r>
      <w:r w:rsidRPr="00A73E49">
        <w:rPr>
          <w:rFonts w:ascii="Century Gothic" w:eastAsia="Times New Roman" w:hAnsi="Century Gothic" w:cs="CorporateCondensed"/>
          <w:color w:val="171411"/>
          <w:kern w:val="0"/>
          <w:lang w:eastAsia="es-CL" w:bidi="ar-SA"/>
        </w:rPr>
        <w:t>cuerpo normativo.</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p>
    <w:p w:rsidR="004013F8" w:rsidRPr="00A73E49" w:rsidRDefault="004013F8" w:rsidP="004013F8">
      <w:pPr>
        <w:suppressAutoHyphens w:val="0"/>
        <w:autoSpaceDE w:val="0"/>
        <w:autoSpaceDN w:val="0"/>
        <w:adjustRightInd w:val="0"/>
        <w:spacing w:line="276" w:lineRule="auto"/>
        <w:ind w:firstLine="709"/>
        <w:jc w:val="both"/>
        <w:rPr>
          <w:rFonts w:ascii="Century Gothic" w:eastAsia="Times New Roman" w:hAnsi="Century Gothic" w:cs="CorporateCondensed"/>
          <w:color w:val="171411"/>
          <w:kern w:val="0"/>
          <w:lang w:eastAsia="es-CL" w:bidi="ar-SA"/>
        </w:rPr>
      </w:pPr>
      <w:r w:rsidRPr="00A73E49">
        <w:rPr>
          <w:rFonts w:ascii="Century Gothic" w:eastAsia="Times New Roman" w:hAnsi="Century Gothic" w:cs="CorporateCondensed"/>
          <w:color w:val="171411"/>
          <w:kern w:val="0"/>
          <w:lang w:eastAsia="es-CL" w:bidi="ar-SA"/>
        </w:rPr>
        <w:t xml:space="preserve">A propósito de lo antes dicho y considerando las oportunidades que ello genera para las empresas o personas naturales, es que surge la necesidad de legislar esta materia, debido al incumplimiento evidente que notamos en las contrataciones efectuadas por el Estado y el ingenio de </w:t>
      </w:r>
      <w:r>
        <w:rPr>
          <w:rFonts w:ascii="Century Gothic" w:eastAsia="Times New Roman" w:hAnsi="Century Gothic" w:cs="CorporateCondensed"/>
          <w:color w:val="171411"/>
          <w:kern w:val="0"/>
          <w:lang w:eastAsia="es-CL" w:bidi="ar-SA"/>
        </w:rPr>
        <w:t xml:space="preserve">algunos </w:t>
      </w:r>
      <w:r w:rsidRPr="00A73E49">
        <w:rPr>
          <w:rFonts w:ascii="Century Gothic" w:eastAsia="Times New Roman" w:hAnsi="Century Gothic" w:cs="CorporateCondensed"/>
          <w:color w:val="171411"/>
          <w:kern w:val="0"/>
          <w:lang w:eastAsia="es-CL" w:bidi="ar-SA"/>
        </w:rPr>
        <w:t>empresarios para evadir los controles estipulados a nivel legal y reglamentario. Ello, debido a que no obstante haber incumplido con el Estado (de distintas maneras), siguen inscritos en el registro o bien mutan jurídicamente, encontrando la manera de inscribirse nuevamente.</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p>
    <w:p w:rsidR="004013F8" w:rsidRPr="00A73E49" w:rsidRDefault="004013F8" w:rsidP="004013F8">
      <w:pPr>
        <w:suppressAutoHyphens w:val="0"/>
        <w:autoSpaceDE w:val="0"/>
        <w:autoSpaceDN w:val="0"/>
        <w:adjustRightInd w:val="0"/>
        <w:spacing w:line="276" w:lineRule="auto"/>
        <w:ind w:firstLine="709"/>
        <w:jc w:val="both"/>
        <w:rPr>
          <w:rFonts w:ascii="Century Gothic" w:eastAsia="Times New Roman" w:hAnsi="Century Gothic" w:cs="CorporateCondensed"/>
          <w:color w:val="171411"/>
          <w:kern w:val="0"/>
          <w:lang w:eastAsia="es-CL" w:bidi="ar-SA"/>
        </w:rPr>
      </w:pPr>
      <w:r w:rsidRPr="00A73E49">
        <w:rPr>
          <w:rFonts w:ascii="Century Gothic" w:eastAsia="Times New Roman" w:hAnsi="Century Gothic" w:cs="CorporateCondensed"/>
          <w:color w:val="171411"/>
          <w:kern w:val="0"/>
          <w:lang w:eastAsia="es-CL" w:bidi="ar-SA"/>
        </w:rPr>
        <w:t>En efecto, el objetivo central de la presente ley que buscamos modificar es garantizar el buen uso de los dineros fiscales. Y en un Estado de Derecho como el nuestro, para los ciudadanos: tener un conocimiento público de todas las compras del Estado.  La Constitución Política, en el artículo 8 establece “</w:t>
      </w:r>
      <w:r w:rsidRPr="00A73E49">
        <w:rPr>
          <w:rFonts w:ascii="Century Gothic" w:eastAsia="Times New Roman" w:hAnsi="Century Gothic" w:cs="CorporateCondensed"/>
          <w:i/>
          <w:iCs/>
          <w:color w:val="171411"/>
          <w:kern w:val="0"/>
          <w:lang w:eastAsia="es-CL" w:bidi="ar-SA"/>
        </w:rPr>
        <w:t>El ejercicio de las funciones públicas obliga a sus titulares a dar estricto cumplimiento al principio de probidad en todas sus actuaciones</w:t>
      </w:r>
      <w:r w:rsidRPr="00A73E49">
        <w:rPr>
          <w:rFonts w:ascii="Century Gothic" w:eastAsia="Times New Roman" w:hAnsi="Century Gothic" w:cs="CorporateCondensed"/>
          <w:color w:val="171411"/>
          <w:kern w:val="0"/>
          <w:lang w:eastAsia="es-CL" w:bidi="ar-SA"/>
        </w:rPr>
        <w:t>” y tratándose de las actuaciones de la Administración del Estado, encontramos el principio general de la transparencia, entendiendo que se expresa “</w:t>
      </w:r>
      <w:r w:rsidRPr="00A73E49">
        <w:rPr>
          <w:rFonts w:ascii="Century Gothic" w:eastAsia="Times New Roman" w:hAnsi="Century Gothic" w:cs="CorporateCondensed"/>
          <w:i/>
          <w:iCs/>
          <w:color w:val="171411"/>
          <w:kern w:val="0"/>
          <w:lang w:eastAsia="es-CL" w:bidi="ar-SA"/>
        </w:rPr>
        <w:t xml:space="preserve">en la posibilidad   para la generalidad de la comunidad de conocer las actuaciones de la Administración Pública. Se refiere no sólo aquellas actuaciones terminales, es decir, el acto administrativo, </w:t>
      </w:r>
      <w:r w:rsidRPr="00A73E49">
        <w:rPr>
          <w:rFonts w:ascii="Century Gothic" w:eastAsia="Times New Roman" w:hAnsi="Century Gothic" w:cs="CorporateCondensed"/>
          <w:i/>
          <w:iCs/>
          <w:color w:val="171411"/>
          <w:kern w:val="0"/>
          <w:u w:val="single"/>
          <w:lang w:eastAsia="es-CL" w:bidi="ar-SA"/>
        </w:rPr>
        <w:t>sino de aquellas actuaciones que se producen al interior de cualquier procedimiento administrativo</w:t>
      </w:r>
      <w:r w:rsidRPr="00A73E49">
        <w:rPr>
          <w:rFonts w:ascii="Century Gothic" w:eastAsia="Times New Roman" w:hAnsi="Century Gothic" w:cs="CorporateCondensed"/>
          <w:i/>
          <w:iCs/>
          <w:color w:val="171411"/>
          <w:kern w:val="0"/>
          <w:lang w:eastAsia="es-CL" w:bidi="ar-SA"/>
        </w:rPr>
        <w:t>…</w:t>
      </w:r>
      <w:r w:rsidRPr="00A73E49">
        <w:rPr>
          <w:rFonts w:ascii="Century Gothic" w:eastAsia="Times New Roman" w:hAnsi="Century Gothic" w:cs="CorporateCondensed"/>
          <w:color w:val="171411"/>
          <w:kern w:val="0"/>
          <w:lang w:eastAsia="es-CL" w:bidi="ar-SA"/>
        </w:rPr>
        <w:t>”</w:t>
      </w:r>
      <w:r w:rsidRPr="00A73E49">
        <w:rPr>
          <w:rStyle w:val="Refdenotaalpie"/>
          <w:rFonts w:ascii="Century Gothic" w:eastAsia="Times New Roman" w:hAnsi="Century Gothic" w:cs="CorporateCondensed"/>
          <w:color w:val="171411"/>
          <w:kern w:val="0"/>
          <w:lang w:eastAsia="es-CL" w:bidi="ar-SA"/>
        </w:rPr>
        <w:footnoteReference w:id="2"/>
      </w:r>
    </w:p>
    <w:p w:rsidR="004013F8" w:rsidRPr="00A73E49" w:rsidRDefault="004013F8" w:rsidP="004013F8">
      <w:pPr>
        <w:suppressAutoHyphens w:val="0"/>
        <w:autoSpaceDE w:val="0"/>
        <w:autoSpaceDN w:val="0"/>
        <w:adjustRightInd w:val="0"/>
        <w:spacing w:line="276" w:lineRule="auto"/>
        <w:ind w:firstLine="360"/>
        <w:jc w:val="both"/>
        <w:rPr>
          <w:rFonts w:ascii="Century Gothic" w:eastAsia="Times New Roman" w:hAnsi="Century Gothic" w:cs="CorporateCondensed"/>
          <w:color w:val="171411"/>
          <w:kern w:val="0"/>
          <w:lang w:eastAsia="es-CL" w:bidi="ar-SA"/>
        </w:rPr>
      </w:pP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lang w:eastAsia="es-CL" w:bidi="ar-SA"/>
        </w:rPr>
      </w:pPr>
    </w:p>
    <w:p w:rsidR="004013F8" w:rsidRPr="00A73E49" w:rsidRDefault="004013F8" w:rsidP="004013F8">
      <w:pPr>
        <w:suppressAutoHyphens w:val="0"/>
        <w:autoSpaceDE w:val="0"/>
        <w:autoSpaceDN w:val="0"/>
        <w:adjustRightInd w:val="0"/>
        <w:spacing w:line="276" w:lineRule="auto"/>
        <w:ind w:firstLine="709"/>
        <w:jc w:val="both"/>
        <w:rPr>
          <w:rFonts w:ascii="Century Gothic" w:eastAsia="Times New Roman" w:hAnsi="Century Gothic" w:cs="Courier"/>
          <w:kern w:val="0"/>
          <w:lang w:eastAsia="es-CL" w:bidi="ar-SA"/>
        </w:rPr>
      </w:pPr>
      <w:r>
        <w:rPr>
          <w:rFonts w:ascii="Century Gothic" w:eastAsia="Times New Roman" w:hAnsi="Century Gothic" w:cs="CorporateCondensed"/>
          <w:color w:val="171411"/>
          <w:kern w:val="0"/>
          <w:lang w:eastAsia="es-CL" w:bidi="ar-SA"/>
        </w:rPr>
        <w:t>De tal forma</w:t>
      </w:r>
      <w:r w:rsidRPr="00A73E49">
        <w:rPr>
          <w:rFonts w:ascii="Century Gothic" w:eastAsia="Times New Roman" w:hAnsi="Century Gothic" w:cs="CorporateCondensed"/>
          <w:color w:val="171411"/>
          <w:kern w:val="0"/>
          <w:lang w:eastAsia="es-CL" w:bidi="ar-SA"/>
        </w:rPr>
        <w:t xml:space="preserve"> y teniendo a la vista lo prescrito en el artículo 4 de la ley 19.886, a propósito de los requisitos para contratar con la Administración,  se desprende que las inhabilidades para contratar son las siguientes: </w:t>
      </w:r>
      <w:r w:rsidRPr="00A73E49">
        <w:rPr>
          <w:rFonts w:ascii="Century Gothic" w:eastAsia="Times New Roman" w:hAnsi="Century Gothic" w:cs="CorporateCondensed"/>
          <w:i/>
          <w:iCs/>
          <w:color w:val="171411"/>
          <w:kern w:val="0"/>
          <w:lang w:eastAsia="es-CL" w:bidi="ar-SA"/>
        </w:rPr>
        <w:t xml:space="preserve">“…quienes </w:t>
      </w:r>
      <w:r w:rsidRPr="00A73E49">
        <w:rPr>
          <w:rFonts w:ascii="Century Gothic" w:eastAsia="Times New Roman" w:hAnsi="Century Gothic" w:cs="Courier"/>
          <w:i/>
          <w:iCs/>
          <w:kern w:val="0"/>
          <w:lang w:eastAsia="es-CL" w:bidi="ar-SA"/>
        </w:rPr>
        <w:t xml:space="preserve">dentro de los dos años </w:t>
      </w:r>
      <w:r w:rsidRPr="00A73E49">
        <w:rPr>
          <w:rFonts w:ascii="Century Gothic" w:hAnsi="Century Gothic"/>
          <w:i/>
          <w:iCs/>
        </w:rPr>
        <w:t xml:space="preserve"> </w:t>
      </w:r>
      <w:r w:rsidRPr="00A73E49">
        <w:rPr>
          <w:rFonts w:ascii="Century Gothic" w:eastAsia="Times New Roman" w:hAnsi="Century Gothic" w:cs="Courier"/>
          <w:i/>
          <w:iCs/>
          <w:kern w:val="0"/>
          <w:lang w:eastAsia="es-CL" w:bidi="ar-SA"/>
        </w:rPr>
        <w:t xml:space="preserve">anteriores al momento de la presentación de la oferta, de la formulación de la propuesta o de la suscripción de la convención, según se trate de licitaciones públicas, privadas o contratación directa, hayan sido condenados por prácticas antisindicales o infracción a los derechos fundamentales del trabajador, o por delitos concursales establecidos en el </w:t>
      </w:r>
      <w:r w:rsidRPr="00A73E49">
        <w:rPr>
          <w:rFonts w:ascii="Century Gothic" w:eastAsia="Times New Roman" w:hAnsi="Century Gothic" w:cs="Courier"/>
          <w:i/>
          <w:iCs/>
          <w:kern w:val="0"/>
          <w:lang w:eastAsia="es-CL" w:bidi="ar-SA"/>
        </w:rPr>
        <w:lastRenderedPageBreak/>
        <w:t>Código Penal</w:t>
      </w:r>
      <w:r w:rsidRPr="00A73E49">
        <w:rPr>
          <w:rFonts w:ascii="Century Gothic" w:eastAsia="Times New Roman" w:hAnsi="Century Gothic" w:cs="Courier"/>
          <w:kern w:val="0"/>
          <w:lang w:eastAsia="es-CL" w:bidi="ar-SA"/>
        </w:rPr>
        <w:t>.” Sin embargo, el artículo 4 en general, a nuestro juicio no considera otras materias igual</w:t>
      </w:r>
      <w:r>
        <w:rPr>
          <w:rFonts w:ascii="Century Gothic" w:eastAsia="Times New Roman" w:hAnsi="Century Gothic" w:cs="Courier"/>
          <w:kern w:val="0"/>
          <w:lang w:eastAsia="es-CL" w:bidi="ar-SA"/>
        </w:rPr>
        <w:t>mente</w:t>
      </w:r>
      <w:r w:rsidRPr="00A73E49">
        <w:rPr>
          <w:rFonts w:ascii="Century Gothic" w:eastAsia="Times New Roman" w:hAnsi="Century Gothic" w:cs="Courier"/>
          <w:kern w:val="0"/>
          <w:lang w:eastAsia="es-CL" w:bidi="ar-SA"/>
        </w:rPr>
        <w:t xml:space="preserve"> relevantes que no sólo tienen que ver con la situación financiera de las personas naturales o jurídicas, sino que tienen que ver con la incorporación en el registro de las mismas personas que por diversos motivos, no cumplieron con algunos de los requisitos establecidos en el contrato o en las bases de licitación y cambian el giro de la empresa, para poder participar en un nuevo proceso licitatorio.</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urier"/>
          <w:kern w:val="0"/>
          <w:lang w:eastAsia="es-CL" w:bidi="ar-SA"/>
        </w:rPr>
      </w:pP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urier"/>
          <w:kern w:val="0"/>
          <w:lang w:eastAsia="es-CL" w:bidi="ar-SA"/>
        </w:rPr>
      </w:pPr>
      <w:r w:rsidRPr="00A73E49">
        <w:rPr>
          <w:rFonts w:ascii="Century Gothic" w:eastAsia="Times New Roman" w:hAnsi="Century Gothic" w:cs="Courier"/>
          <w:kern w:val="0"/>
          <w:lang w:eastAsia="es-CL" w:bidi="ar-SA"/>
        </w:rPr>
        <w:tab/>
        <w:t>Siendo así, el artículo 16 de la ley 19.886 dispone la existencia de este registro de contratistas, que como ha señalado el profesor Jorge Bermúdez Soto; “</w:t>
      </w:r>
      <w:r w:rsidRPr="00A73E49">
        <w:rPr>
          <w:rFonts w:ascii="Century Gothic" w:eastAsia="Times New Roman" w:hAnsi="Century Gothic" w:cs="Courier"/>
          <w:i/>
          <w:iCs/>
          <w:kern w:val="0"/>
          <w:lang w:eastAsia="es-CL" w:bidi="ar-SA"/>
        </w:rPr>
        <w:t>es un límite a la aceptación de oferentes dentro de un proceso de licitatorio, el cual se encuentra a cargo de la Dirección de Compras y</w:t>
      </w:r>
      <w:r>
        <w:rPr>
          <w:rFonts w:ascii="Century Gothic" w:eastAsia="Times New Roman" w:hAnsi="Century Gothic" w:cs="Courier"/>
          <w:i/>
          <w:iCs/>
          <w:kern w:val="0"/>
          <w:lang w:eastAsia="es-CL" w:bidi="ar-SA"/>
        </w:rPr>
        <w:t xml:space="preserve"> </w:t>
      </w:r>
      <w:r w:rsidRPr="00A73E49">
        <w:rPr>
          <w:rFonts w:ascii="Century Gothic" w:eastAsia="Times New Roman" w:hAnsi="Century Gothic" w:cs="Courier"/>
          <w:i/>
          <w:iCs/>
          <w:kern w:val="0"/>
          <w:lang w:eastAsia="es-CL" w:bidi="ar-SA"/>
        </w:rPr>
        <w:t>Contratación Pública, que se encuentra en la página de intern</w:t>
      </w:r>
      <w:r>
        <w:rPr>
          <w:rFonts w:ascii="Century Gothic" w:eastAsia="Times New Roman" w:hAnsi="Century Gothic" w:cs="Courier"/>
          <w:i/>
          <w:iCs/>
          <w:kern w:val="0"/>
          <w:lang w:eastAsia="es-CL" w:bidi="ar-SA"/>
        </w:rPr>
        <w:t>et mercadopublic.cl.</w:t>
      </w:r>
      <w:r>
        <w:rPr>
          <w:rStyle w:val="Refdenotaalpie"/>
          <w:rFonts w:ascii="Century Gothic" w:eastAsia="Times New Roman" w:hAnsi="Century Gothic" w:cs="Courier"/>
          <w:i/>
          <w:iCs/>
          <w:kern w:val="0"/>
          <w:lang w:eastAsia="es-CL" w:bidi="ar-SA"/>
        </w:rPr>
        <w:footnoteReference w:id="3"/>
      </w:r>
      <w:r>
        <w:rPr>
          <w:rFonts w:ascii="Century Gothic" w:eastAsia="Times New Roman" w:hAnsi="Century Gothic" w:cs="Courier"/>
          <w:i/>
          <w:iCs/>
          <w:kern w:val="0"/>
          <w:lang w:eastAsia="es-CL" w:bidi="ar-SA"/>
        </w:rPr>
        <w:t xml:space="preserve"> </w:t>
      </w:r>
      <w:r w:rsidRPr="00A73E49">
        <w:rPr>
          <w:rFonts w:ascii="Century Gothic" w:eastAsia="Times New Roman" w:hAnsi="Century Gothic" w:cs="Courier"/>
          <w:kern w:val="0"/>
          <w:lang w:eastAsia="es-CL" w:bidi="ar-SA"/>
        </w:rPr>
        <w:t xml:space="preserve">Sin embargo, pese a existir esta limitación, el ingenio de empresarios que contratan con el Estado permite que ocurran situaciones como las que evidenciamos en muchos servicios públicos, que no solo tienen que ver con el incumplimiento contractual, si no que va más allá y dice relación con la calidad del servicio entregado. </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urier"/>
          <w:kern w:val="0"/>
          <w:lang w:eastAsia="es-CL" w:bidi="ar-SA"/>
        </w:rPr>
      </w:pP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urier"/>
          <w:kern w:val="0"/>
          <w:lang w:eastAsia="es-CL" w:bidi="ar-SA"/>
        </w:rPr>
      </w:pPr>
      <w:r w:rsidRPr="00A73E49">
        <w:rPr>
          <w:rFonts w:ascii="Century Gothic" w:eastAsia="Times New Roman" w:hAnsi="Century Gothic" w:cs="Courier"/>
          <w:kern w:val="0"/>
          <w:lang w:eastAsia="es-CL" w:bidi="ar-SA"/>
        </w:rPr>
        <w:tab/>
        <w:t xml:space="preserve">Producto de lo anterior, y con la finalidad de mejorar los controles establecidos para quienes contraten con la Administración del Estado, para entregar más certeza a los ciudadanos respecto del buen </w:t>
      </w:r>
      <w:r w:rsidR="00605876">
        <w:rPr>
          <w:rFonts w:ascii="Century Gothic" w:eastAsia="Times New Roman" w:hAnsi="Century Gothic" w:cs="Courier"/>
          <w:kern w:val="0"/>
          <w:lang w:eastAsia="es-CL" w:bidi="ar-SA"/>
        </w:rPr>
        <w:t>u</w:t>
      </w:r>
      <w:r w:rsidRPr="00A73E49">
        <w:rPr>
          <w:rFonts w:ascii="Century Gothic" w:eastAsia="Times New Roman" w:hAnsi="Century Gothic" w:cs="Courier"/>
          <w:kern w:val="0"/>
          <w:lang w:eastAsia="es-CL" w:bidi="ar-SA"/>
        </w:rPr>
        <w:t>so de los recursos públicos y garantizar que los empresarios y las empresas no burlen los procesos licitatorios, es que venimos a presentar el siguiente proyecto de ley.</w:t>
      </w:r>
    </w:p>
    <w:p w:rsidR="004013F8" w:rsidRPr="00A73E49" w:rsidRDefault="004013F8" w:rsidP="004013F8">
      <w:pPr>
        <w:suppressAutoHyphens w:val="0"/>
        <w:autoSpaceDE w:val="0"/>
        <w:autoSpaceDN w:val="0"/>
        <w:adjustRightInd w:val="0"/>
        <w:spacing w:line="276" w:lineRule="auto"/>
        <w:jc w:val="both"/>
        <w:rPr>
          <w:rFonts w:ascii="Century Gothic" w:eastAsia="Times New Roman" w:hAnsi="Century Gothic" w:cs="CorporateCondensed"/>
          <w:color w:val="171411"/>
          <w:kern w:val="0"/>
          <w:sz w:val="22"/>
          <w:szCs w:val="22"/>
          <w:lang w:eastAsia="es-CL" w:bidi="ar-SA"/>
        </w:rPr>
      </w:pPr>
    </w:p>
    <w:p w:rsidR="004013F8" w:rsidRDefault="004013F8" w:rsidP="004013F8">
      <w:pPr>
        <w:pStyle w:val="BodyText21"/>
        <w:numPr>
          <w:ilvl w:val="0"/>
          <w:numId w:val="0"/>
        </w:numPr>
        <w:tabs>
          <w:tab w:val="clear" w:pos="6030"/>
          <w:tab w:val="clear" w:pos="6379"/>
        </w:tabs>
        <w:spacing w:line="276" w:lineRule="auto"/>
        <w:jc w:val="both"/>
        <w:rPr>
          <w:rFonts w:ascii="Century Gothic" w:hAnsi="Century Gothic" w:cs="Gadugi"/>
          <w:u w:val="single"/>
        </w:rPr>
      </w:pPr>
      <w:r w:rsidRPr="00A73E49">
        <w:rPr>
          <w:rFonts w:ascii="Century Gothic" w:hAnsi="Century Gothic" w:cs="Gadugi"/>
          <w:u w:val="single"/>
        </w:rPr>
        <w:t>Idea matriz</w:t>
      </w:r>
    </w:p>
    <w:p w:rsidR="004013F8" w:rsidRPr="00A73E49" w:rsidRDefault="004013F8" w:rsidP="004013F8">
      <w:pPr>
        <w:pStyle w:val="BodyText21"/>
        <w:numPr>
          <w:ilvl w:val="0"/>
          <w:numId w:val="0"/>
        </w:numPr>
        <w:tabs>
          <w:tab w:val="clear" w:pos="6030"/>
          <w:tab w:val="clear" w:pos="6379"/>
        </w:tabs>
        <w:spacing w:line="276" w:lineRule="auto"/>
        <w:jc w:val="both"/>
        <w:rPr>
          <w:rFonts w:ascii="Century Gothic" w:hAnsi="Century Gothic" w:cs="Gadugi"/>
          <w:u w:val="single"/>
        </w:rPr>
      </w:pPr>
    </w:p>
    <w:p w:rsidR="004013F8" w:rsidRPr="00A73E49" w:rsidRDefault="004013F8" w:rsidP="004013F8">
      <w:pPr>
        <w:suppressAutoHyphens w:val="0"/>
        <w:autoSpaceDE w:val="0"/>
        <w:autoSpaceDN w:val="0"/>
        <w:adjustRightInd w:val="0"/>
        <w:spacing w:line="276" w:lineRule="auto"/>
        <w:ind w:firstLine="709"/>
        <w:jc w:val="both"/>
        <w:rPr>
          <w:rFonts w:ascii="Century Gothic" w:eastAsia="Times New Roman" w:hAnsi="Century Gothic" w:cs="Courier"/>
          <w:kern w:val="0"/>
          <w:lang w:eastAsia="es-CL" w:bidi="ar-SA"/>
        </w:rPr>
      </w:pPr>
      <w:r w:rsidRPr="00A73E49">
        <w:rPr>
          <w:rFonts w:ascii="Century Gothic" w:hAnsi="Century Gothic" w:cs="Gadugi"/>
        </w:rPr>
        <w:t xml:space="preserve">El siguiente proyecto de ley tiene por objetivo, modificar el artículo 16 de la ley 19.886 sobre </w:t>
      </w:r>
      <w:r w:rsidRPr="00A73E49">
        <w:rPr>
          <w:rFonts w:ascii="Century Gothic" w:eastAsia="Times New Roman" w:hAnsi="Century Gothic" w:cs="Courier"/>
          <w:kern w:val="0"/>
          <w:lang w:eastAsia="es-CL" w:bidi="ar-SA"/>
        </w:rPr>
        <w:t>contratos administrativos de suministro y prestación de servicios, con la finalidad de excluir de contratar con la Administración del Estado, a tod</w:t>
      </w:r>
      <w:r w:rsidR="00AE7729">
        <w:rPr>
          <w:rFonts w:ascii="Century Gothic" w:eastAsia="Times New Roman" w:hAnsi="Century Gothic" w:cs="Courier"/>
          <w:kern w:val="0"/>
          <w:lang w:eastAsia="es-CL" w:bidi="ar-SA"/>
        </w:rPr>
        <w:t>o</w:t>
      </w:r>
      <w:r w:rsidRPr="00A73E49">
        <w:rPr>
          <w:rFonts w:ascii="Century Gothic" w:eastAsia="Times New Roman" w:hAnsi="Century Gothic" w:cs="Courier"/>
          <w:kern w:val="0"/>
          <w:lang w:eastAsia="es-CL" w:bidi="ar-SA"/>
        </w:rPr>
        <w:t>s</w:t>
      </w:r>
      <w:r w:rsidR="00AE7729">
        <w:rPr>
          <w:rFonts w:ascii="Century Gothic" w:eastAsia="Times New Roman" w:hAnsi="Century Gothic" w:cs="Courier"/>
          <w:kern w:val="0"/>
          <w:lang w:eastAsia="es-CL" w:bidi="ar-SA"/>
        </w:rPr>
        <w:t xml:space="preserve"> los dueños</w:t>
      </w:r>
      <w:r w:rsidR="00A5548A">
        <w:rPr>
          <w:rFonts w:ascii="Century Gothic" w:eastAsia="Times New Roman" w:hAnsi="Century Gothic" w:cs="Courier"/>
          <w:kern w:val="0"/>
          <w:lang w:eastAsia="es-CL" w:bidi="ar-SA"/>
        </w:rPr>
        <w:t xml:space="preserve"> mayoritarios</w:t>
      </w:r>
      <w:r w:rsidR="00AE7729">
        <w:rPr>
          <w:rFonts w:ascii="Century Gothic" w:eastAsia="Times New Roman" w:hAnsi="Century Gothic" w:cs="Courier"/>
          <w:kern w:val="0"/>
          <w:lang w:eastAsia="es-CL" w:bidi="ar-SA"/>
        </w:rPr>
        <w:t xml:space="preserve"> o socios mayoritarios</w:t>
      </w:r>
      <w:r w:rsidR="00A5548A">
        <w:rPr>
          <w:rFonts w:ascii="Century Gothic" w:eastAsia="Times New Roman" w:hAnsi="Century Gothic" w:cs="Courier"/>
          <w:kern w:val="0"/>
          <w:lang w:eastAsia="es-CL" w:bidi="ar-SA"/>
        </w:rPr>
        <w:t xml:space="preserve"> y controladores,</w:t>
      </w:r>
      <w:r w:rsidR="00AE7729">
        <w:rPr>
          <w:rFonts w:ascii="Century Gothic" w:eastAsia="Times New Roman" w:hAnsi="Century Gothic" w:cs="Courier"/>
          <w:kern w:val="0"/>
          <w:lang w:eastAsia="es-CL" w:bidi="ar-SA"/>
        </w:rPr>
        <w:t xml:space="preserve"> </w:t>
      </w:r>
      <w:r w:rsidRPr="00A73E49">
        <w:rPr>
          <w:rFonts w:ascii="Century Gothic" w:eastAsia="Times New Roman" w:hAnsi="Century Gothic" w:cs="Courier"/>
          <w:kern w:val="0"/>
          <w:lang w:eastAsia="es-CL" w:bidi="ar-SA"/>
        </w:rPr>
        <w:t xml:space="preserve"> </w:t>
      </w:r>
      <w:r w:rsidR="00AE7729">
        <w:rPr>
          <w:rFonts w:ascii="Century Gothic" w:eastAsia="Times New Roman" w:hAnsi="Century Gothic" w:cs="Courier"/>
          <w:kern w:val="0"/>
          <w:lang w:eastAsia="es-CL" w:bidi="ar-SA"/>
        </w:rPr>
        <w:t xml:space="preserve">que por medio de una </w:t>
      </w:r>
      <w:r w:rsidRPr="00A73E49">
        <w:rPr>
          <w:rFonts w:ascii="Century Gothic" w:eastAsia="Times New Roman" w:hAnsi="Century Gothic" w:cs="Courier"/>
          <w:kern w:val="0"/>
          <w:lang w:eastAsia="es-CL" w:bidi="ar-SA"/>
        </w:rPr>
        <w:t>persona jurídica</w:t>
      </w:r>
      <w:r w:rsidR="00AE7729">
        <w:rPr>
          <w:rFonts w:ascii="Century Gothic" w:eastAsia="Times New Roman" w:hAnsi="Century Gothic" w:cs="Courier"/>
          <w:kern w:val="0"/>
          <w:lang w:eastAsia="es-CL" w:bidi="ar-SA"/>
        </w:rPr>
        <w:t xml:space="preserve">, previamente </w:t>
      </w:r>
      <w:r w:rsidRPr="00A73E49">
        <w:rPr>
          <w:rFonts w:ascii="Century Gothic" w:eastAsia="Times New Roman" w:hAnsi="Century Gothic" w:cs="Courier"/>
          <w:kern w:val="0"/>
          <w:lang w:eastAsia="es-CL" w:bidi="ar-SA"/>
        </w:rPr>
        <w:t xml:space="preserve"> </w:t>
      </w:r>
      <w:r w:rsidR="00AE7729">
        <w:rPr>
          <w:rFonts w:ascii="Century Gothic" w:eastAsia="Times New Roman" w:hAnsi="Century Gothic" w:cs="Courier"/>
          <w:kern w:val="0"/>
          <w:lang w:eastAsia="es-CL" w:bidi="ar-SA"/>
        </w:rPr>
        <w:t xml:space="preserve">hayan incumplido otro contrato con la Administración </w:t>
      </w:r>
      <w:r w:rsidRPr="00A73E49">
        <w:rPr>
          <w:rFonts w:ascii="Century Gothic" w:eastAsia="Times New Roman" w:hAnsi="Century Gothic" w:cs="Courier"/>
          <w:kern w:val="0"/>
          <w:lang w:eastAsia="es-CL" w:bidi="ar-SA"/>
        </w:rPr>
        <w:t xml:space="preserve"> o</w:t>
      </w:r>
      <w:r w:rsidR="00AE7729">
        <w:rPr>
          <w:rFonts w:ascii="Century Gothic" w:eastAsia="Times New Roman" w:hAnsi="Century Gothic" w:cs="Courier"/>
          <w:kern w:val="0"/>
          <w:lang w:eastAsia="es-CL" w:bidi="ar-SA"/>
        </w:rPr>
        <w:t xml:space="preserve"> que la calidad del servicio haya sido</w:t>
      </w:r>
      <w:r w:rsidRPr="00A73E49">
        <w:rPr>
          <w:rFonts w:ascii="Century Gothic" w:eastAsia="Times New Roman" w:hAnsi="Century Gothic" w:cs="Courier"/>
          <w:kern w:val="0"/>
          <w:lang w:eastAsia="es-CL" w:bidi="ar-SA"/>
        </w:rPr>
        <w:t xml:space="preserve"> deficien</w:t>
      </w:r>
      <w:r w:rsidR="00AE7729">
        <w:rPr>
          <w:rFonts w:ascii="Century Gothic" w:eastAsia="Times New Roman" w:hAnsi="Century Gothic" w:cs="Courier"/>
          <w:kern w:val="0"/>
          <w:lang w:eastAsia="es-CL" w:bidi="ar-SA"/>
        </w:rPr>
        <w:t xml:space="preserve">te, motivos por los cuales se encuentren inhabilitados y </w:t>
      </w:r>
      <w:r w:rsidRPr="00A73E49">
        <w:rPr>
          <w:rFonts w:ascii="Century Gothic" w:eastAsia="Times New Roman" w:hAnsi="Century Gothic" w:cs="Courier"/>
          <w:kern w:val="0"/>
          <w:lang w:eastAsia="es-CL" w:bidi="ar-SA"/>
        </w:rPr>
        <w:t xml:space="preserve"> decid</w:t>
      </w:r>
      <w:r w:rsidR="00AE7729">
        <w:rPr>
          <w:rFonts w:ascii="Century Gothic" w:eastAsia="Times New Roman" w:hAnsi="Century Gothic" w:cs="Courier"/>
          <w:kern w:val="0"/>
          <w:lang w:eastAsia="es-CL" w:bidi="ar-SA"/>
        </w:rPr>
        <w:t xml:space="preserve">an </w:t>
      </w:r>
      <w:r w:rsidRPr="00A73E49">
        <w:rPr>
          <w:rFonts w:ascii="Century Gothic" w:eastAsia="Times New Roman" w:hAnsi="Century Gothic" w:cs="Courier"/>
          <w:kern w:val="0"/>
          <w:lang w:eastAsia="es-CL" w:bidi="ar-SA"/>
        </w:rPr>
        <w:t xml:space="preserve">cambiar el giro de </w:t>
      </w:r>
      <w:r w:rsidR="00AE7729">
        <w:rPr>
          <w:rFonts w:ascii="Century Gothic" w:eastAsia="Times New Roman" w:hAnsi="Century Gothic" w:cs="Courier"/>
          <w:kern w:val="0"/>
          <w:lang w:eastAsia="es-CL" w:bidi="ar-SA"/>
        </w:rPr>
        <w:t>su</w:t>
      </w:r>
      <w:r w:rsidRPr="00A73E49">
        <w:rPr>
          <w:rFonts w:ascii="Century Gothic" w:eastAsia="Times New Roman" w:hAnsi="Century Gothic" w:cs="Courier"/>
          <w:kern w:val="0"/>
          <w:lang w:eastAsia="es-CL" w:bidi="ar-SA"/>
        </w:rPr>
        <w:t xml:space="preserve"> empresa, para poder cumplir con el requisito de estar inscrito en el registro de contratistas.</w:t>
      </w:r>
    </w:p>
    <w:p w:rsidR="004013F8" w:rsidRDefault="004013F8" w:rsidP="004013F8">
      <w:pPr>
        <w:pStyle w:val="BodyText21"/>
        <w:numPr>
          <w:ilvl w:val="0"/>
          <w:numId w:val="0"/>
        </w:numPr>
        <w:tabs>
          <w:tab w:val="clear" w:pos="6030"/>
          <w:tab w:val="clear" w:pos="6379"/>
        </w:tabs>
        <w:spacing w:line="276" w:lineRule="auto"/>
        <w:jc w:val="both"/>
        <w:rPr>
          <w:rFonts w:ascii="Century Gothic" w:hAnsi="Century Gothic" w:cs="Gadugi"/>
        </w:rPr>
      </w:pPr>
    </w:p>
    <w:p w:rsidR="004013F8" w:rsidRDefault="004013F8" w:rsidP="004013F8">
      <w:pPr>
        <w:pStyle w:val="BodyText21"/>
        <w:numPr>
          <w:ilvl w:val="0"/>
          <w:numId w:val="0"/>
        </w:numPr>
        <w:tabs>
          <w:tab w:val="clear" w:pos="6030"/>
          <w:tab w:val="clear" w:pos="6379"/>
        </w:tabs>
        <w:spacing w:line="276" w:lineRule="auto"/>
        <w:jc w:val="both"/>
        <w:rPr>
          <w:rFonts w:ascii="Century Gothic" w:hAnsi="Century Gothic" w:cs="Gadugi"/>
        </w:rPr>
      </w:pPr>
    </w:p>
    <w:p w:rsidR="004013F8" w:rsidRPr="00A73E49" w:rsidRDefault="004013F8" w:rsidP="004013F8">
      <w:pPr>
        <w:pStyle w:val="BodyText21"/>
        <w:numPr>
          <w:ilvl w:val="0"/>
          <w:numId w:val="0"/>
        </w:numPr>
        <w:tabs>
          <w:tab w:val="clear" w:pos="6030"/>
          <w:tab w:val="clear" w:pos="6379"/>
        </w:tabs>
        <w:spacing w:line="276" w:lineRule="auto"/>
        <w:jc w:val="both"/>
        <w:rPr>
          <w:rFonts w:ascii="Century Gothic" w:hAnsi="Century Gothic" w:cs="Gadugi"/>
        </w:rPr>
      </w:pPr>
    </w:p>
    <w:p w:rsidR="004013F8" w:rsidRPr="00A73E49" w:rsidRDefault="004013F8" w:rsidP="004013F8">
      <w:pPr>
        <w:tabs>
          <w:tab w:val="left" w:pos="-1440"/>
          <w:tab w:val="left" w:pos="-720"/>
          <w:tab w:val="left" w:pos="2268"/>
        </w:tabs>
        <w:spacing w:line="276" w:lineRule="auto"/>
        <w:jc w:val="center"/>
        <w:rPr>
          <w:rFonts w:ascii="Century Gothic" w:hAnsi="Century Gothic"/>
          <w:u w:val="single"/>
        </w:rPr>
      </w:pPr>
      <w:r w:rsidRPr="00A73E49">
        <w:rPr>
          <w:rFonts w:ascii="Century Gothic" w:hAnsi="Century Gothic" w:cs="Gadugi"/>
          <w:b/>
          <w:spacing w:val="-3"/>
          <w:u w:val="single"/>
        </w:rPr>
        <w:t>PROYECTO DE LEY</w:t>
      </w:r>
    </w:p>
    <w:p w:rsidR="004013F8" w:rsidRPr="00A73E49" w:rsidRDefault="004013F8" w:rsidP="004013F8">
      <w:pPr>
        <w:tabs>
          <w:tab w:val="left" w:pos="-1440"/>
          <w:tab w:val="left" w:pos="-720"/>
          <w:tab w:val="left" w:pos="2268"/>
        </w:tabs>
        <w:spacing w:line="276" w:lineRule="auto"/>
        <w:jc w:val="both"/>
        <w:rPr>
          <w:rFonts w:ascii="Century Gothic" w:hAnsi="Century Gothic"/>
        </w:rPr>
      </w:pPr>
    </w:p>
    <w:p w:rsidR="004013F8" w:rsidRPr="00A73E49" w:rsidRDefault="004013F8" w:rsidP="004013F8">
      <w:pPr>
        <w:tabs>
          <w:tab w:val="left" w:pos="-1440"/>
          <w:tab w:val="left" w:pos="-720"/>
          <w:tab w:val="left" w:pos="2268"/>
        </w:tabs>
        <w:spacing w:line="276" w:lineRule="auto"/>
        <w:jc w:val="both"/>
        <w:rPr>
          <w:rFonts w:ascii="Century Gothic" w:hAnsi="Century Gothic"/>
        </w:rPr>
      </w:pPr>
    </w:p>
    <w:p w:rsidR="004013F8" w:rsidRPr="00A73E49" w:rsidRDefault="004013F8" w:rsidP="004013F8">
      <w:pPr>
        <w:spacing w:line="276" w:lineRule="auto"/>
        <w:ind w:left="360"/>
        <w:jc w:val="both"/>
        <w:rPr>
          <w:rStyle w:val="Ninguno"/>
          <w:rFonts w:ascii="Century Gothic" w:hAnsi="Century Gothic"/>
        </w:rPr>
      </w:pPr>
      <w:r w:rsidRPr="00A73E49">
        <w:rPr>
          <w:rStyle w:val="Ninguno"/>
          <w:rFonts w:ascii="Century Gothic" w:hAnsi="Century Gothic"/>
          <w:b/>
          <w:bCs/>
        </w:rPr>
        <w:t>ARTÍCULO ÚNICO:</w:t>
      </w:r>
      <w:r w:rsidRPr="00A73E49">
        <w:rPr>
          <w:rStyle w:val="Ninguno"/>
          <w:rFonts w:ascii="Century Gothic" w:hAnsi="Century Gothic"/>
        </w:rPr>
        <w:t xml:space="preserve"> Agr</w:t>
      </w:r>
      <w:r>
        <w:rPr>
          <w:rStyle w:val="Ninguno"/>
          <w:rFonts w:ascii="Century Gothic" w:hAnsi="Century Gothic"/>
        </w:rPr>
        <w:t>é</w:t>
      </w:r>
      <w:r w:rsidRPr="00A73E49">
        <w:rPr>
          <w:rStyle w:val="Ninguno"/>
          <w:rFonts w:ascii="Century Gothic" w:hAnsi="Century Gothic"/>
        </w:rPr>
        <w:t>gase al artículo 16 inciso segundo, de la Ley 19.886 de Bases de contratos administrativos de suministro y prestación de servicios, entre la frase “organismos del Estado.”  Y “La Dirección de Compras” la siguiente frase:</w:t>
      </w:r>
    </w:p>
    <w:p w:rsidR="004013F8" w:rsidRPr="00A73E49" w:rsidRDefault="004013F8" w:rsidP="004013F8">
      <w:pPr>
        <w:spacing w:line="276" w:lineRule="auto"/>
        <w:ind w:left="360"/>
        <w:jc w:val="both"/>
        <w:rPr>
          <w:rStyle w:val="Ninguno"/>
          <w:rFonts w:ascii="Century Gothic" w:eastAsia="Bookman Old Style" w:hAnsi="Century Gothic" w:cs="Bookman Old Style"/>
        </w:rPr>
      </w:pPr>
    </w:p>
    <w:p w:rsidR="004013F8" w:rsidRDefault="004013F8" w:rsidP="004013F8">
      <w:pPr>
        <w:tabs>
          <w:tab w:val="left" w:pos="709"/>
          <w:tab w:val="left" w:pos="2268"/>
        </w:tabs>
        <w:ind w:left="709"/>
        <w:jc w:val="both"/>
      </w:pPr>
      <w:r w:rsidRPr="00DA093F">
        <w:rPr>
          <w:rStyle w:val="Ninguno"/>
          <w:rFonts w:ascii="Century Gothic" w:hAnsi="Century Gothic"/>
        </w:rPr>
        <w:t>“Ser</w:t>
      </w:r>
      <w:r>
        <w:rPr>
          <w:rStyle w:val="Ninguno"/>
          <w:rFonts w:ascii="Century Gothic" w:hAnsi="Century Gothic"/>
        </w:rPr>
        <w:t>á</w:t>
      </w:r>
      <w:r w:rsidRPr="00DA093F">
        <w:rPr>
          <w:rStyle w:val="Ninguno"/>
          <w:rFonts w:ascii="Century Gothic" w:hAnsi="Century Gothic"/>
        </w:rPr>
        <w:t xml:space="preserve"> circunstancia </w:t>
      </w:r>
      <w:proofErr w:type="spellStart"/>
      <w:r w:rsidRPr="00DA093F">
        <w:rPr>
          <w:rStyle w:val="Ninguno"/>
          <w:rFonts w:ascii="Century Gothic" w:hAnsi="Century Gothic"/>
        </w:rPr>
        <w:t>inhabilitante</w:t>
      </w:r>
      <w:proofErr w:type="spellEnd"/>
      <w:r w:rsidRPr="00DA093F">
        <w:rPr>
          <w:rStyle w:val="Ninguno"/>
          <w:rFonts w:ascii="Century Gothic" w:hAnsi="Century Gothic"/>
        </w:rPr>
        <w:t xml:space="preserve"> para pertenecer a dicho registro cuando los dueños hayan incumplido previamente otro contrato con la Administración del Estado por medio de una empresa donde sea o haya sido </w:t>
      </w:r>
      <w:r w:rsidR="00A5548A">
        <w:rPr>
          <w:rStyle w:val="Ninguno"/>
          <w:rFonts w:ascii="Century Gothic" w:hAnsi="Century Gothic"/>
        </w:rPr>
        <w:t xml:space="preserve">socio mayoritario, </w:t>
      </w:r>
      <w:r w:rsidRPr="00DA093F">
        <w:rPr>
          <w:rStyle w:val="Ninguno"/>
          <w:rFonts w:ascii="Century Gothic" w:hAnsi="Century Gothic"/>
        </w:rPr>
        <w:t>accionista mayoritario</w:t>
      </w:r>
      <w:r w:rsidR="00A5548A">
        <w:rPr>
          <w:rStyle w:val="Ninguno"/>
          <w:rFonts w:ascii="Century Gothic" w:hAnsi="Century Gothic"/>
        </w:rPr>
        <w:t xml:space="preserve"> o controlador de acuerdo a lo regulado en el artículo 97 de la ley 18.045</w:t>
      </w:r>
      <w:r w:rsidRPr="00DA093F">
        <w:rPr>
          <w:rStyle w:val="Ninguno"/>
          <w:rFonts w:ascii="Century Gothic" w:hAnsi="Century Gothic"/>
        </w:rPr>
        <w:t>.”</w:t>
      </w:r>
    </w:p>
    <w:p w:rsidR="004013F8" w:rsidRDefault="004013F8" w:rsidP="004013F8">
      <w:pPr>
        <w:tabs>
          <w:tab w:val="left" w:pos="-1440"/>
          <w:tab w:val="left" w:pos="-720"/>
          <w:tab w:val="left" w:pos="2268"/>
        </w:tabs>
      </w:pPr>
    </w:p>
    <w:p w:rsidR="004013F8" w:rsidRDefault="004013F8" w:rsidP="004013F8">
      <w:pPr>
        <w:tabs>
          <w:tab w:val="left" w:pos="-1440"/>
          <w:tab w:val="left" w:pos="-720"/>
          <w:tab w:val="left" w:pos="2268"/>
        </w:tabs>
      </w:pPr>
    </w:p>
    <w:p w:rsidR="004013F8" w:rsidRDefault="004013F8" w:rsidP="004013F8">
      <w:pPr>
        <w:tabs>
          <w:tab w:val="left" w:pos="-1440"/>
          <w:tab w:val="left" w:pos="-720"/>
          <w:tab w:val="left" w:pos="2268"/>
        </w:tabs>
      </w:pPr>
    </w:p>
    <w:p w:rsidR="004013F8" w:rsidRDefault="004013F8" w:rsidP="004013F8">
      <w:pPr>
        <w:tabs>
          <w:tab w:val="left" w:pos="-1440"/>
          <w:tab w:val="left" w:pos="-720"/>
          <w:tab w:val="left" w:pos="2268"/>
        </w:tabs>
      </w:pPr>
    </w:p>
    <w:p w:rsidR="004013F8" w:rsidRDefault="004013F8" w:rsidP="004013F8">
      <w:pPr>
        <w:tabs>
          <w:tab w:val="left" w:pos="-1440"/>
          <w:tab w:val="left" w:pos="-720"/>
          <w:tab w:val="left" w:pos="2268"/>
        </w:tabs>
      </w:pPr>
    </w:p>
    <w:p w:rsidR="004013F8" w:rsidRDefault="004013F8" w:rsidP="004013F8">
      <w:pPr>
        <w:tabs>
          <w:tab w:val="left" w:pos="-1440"/>
          <w:tab w:val="left" w:pos="-720"/>
          <w:tab w:val="left" w:pos="2268"/>
        </w:tabs>
      </w:pPr>
    </w:p>
    <w:p w:rsidR="004013F8" w:rsidRDefault="004013F8" w:rsidP="004013F8">
      <w:pPr>
        <w:tabs>
          <w:tab w:val="left" w:pos="-1440"/>
          <w:tab w:val="left" w:pos="-720"/>
          <w:tab w:val="left" w:pos="2268"/>
        </w:tabs>
      </w:pPr>
    </w:p>
    <w:p w:rsidR="004013F8" w:rsidRDefault="004013F8" w:rsidP="004013F8">
      <w:pPr>
        <w:tabs>
          <w:tab w:val="left" w:pos="-1440"/>
          <w:tab w:val="left" w:pos="-720"/>
          <w:tab w:val="left" w:pos="2268"/>
        </w:tabs>
        <w:jc w:val="center"/>
      </w:pPr>
      <w:r>
        <w:rPr>
          <w:rFonts w:ascii="Gadugi" w:hAnsi="Gadugi" w:cs="Gadugi"/>
          <w:b/>
          <w:spacing w:val="-3"/>
          <w:u w:val="single"/>
        </w:rPr>
        <w:t xml:space="preserve">Diego Paulsen </w:t>
      </w:r>
      <w:proofErr w:type="spellStart"/>
      <w:r>
        <w:rPr>
          <w:rFonts w:ascii="Gadugi" w:hAnsi="Gadugi" w:cs="Gadugi"/>
          <w:b/>
          <w:spacing w:val="-3"/>
          <w:u w:val="single"/>
        </w:rPr>
        <w:t>Kehr</w:t>
      </w:r>
      <w:proofErr w:type="spellEnd"/>
    </w:p>
    <w:p w:rsidR="004013F8" w:rsidRDefault="004013F8" w:rsidP="004013F8">
      <w:pPr>
        <w:tabs>
          <w:tab w:val="left" w:pos="-1440"/>
          <w:tab w:val="left" w:pos="-720"/>
          <w:tab w:val="left" w:pos="2268"/>
        </w:tabs>
      </w:pPr>
      <w:r>
        <w:rPr>
          <w:rFonts w:ascii="Gadugi" w:hAnsi="Gadugi" w:cs="Gadugi"/>
          <w:b/>
          <w:spacing w:val="-3"/>
        </w:rPr>
        <w:tab/>
      </w:r>
      <w:r>
        <w:rPr>
          <w:rFonts w:ascii="Gadugi" w:hAnsi="Gadugi" w:cs="Gadugi"/>
          <w:b/>
          <w:spacing w:val="-3"/>
        </w:rPr>
        <w:tab/>
      </w:r>
      <w:r>
        <w:rPr>
          <w:rFonts w:ascii="Gadugi" w:hAnsi="Gadugi" w:cs="Gadugi"/>
          <w:b/>
          <w:spacing w:val="-3"/>
        </w:rPr>
        <w:tab/>
      </w:r>
      <w:r>
        <w:rPr>
          <w:rFonts w:ascii="Gadugi" w:hAnsi="Gadugi" w:cs="Gadugi"/>
          <w:b/>
          <w:spacing w:val="-3"/>
        </w:rPr>
        <w:tab/>
      </w:r>
      <w:r>
        <w:rPr>
          <w:rFonts w:ascii="Gadugi" w:hAnsi="Gadugi" w:cs="Gadugi"/>
          <w:spacing w:val="-3"/>
        </w:rPr>
        <w:t>Diputado</w:t>
      </w:r>
    </w:p>
    <w:p w:rsidR="004013F8" w:rsidRDefault="004013F8" w:rsidP="004013F8">
      <w:pPr>
        <w:tabs>
          <w:tab w:val="left" w:pos="-1440"/>
          <w:tab w:val="left" w:pos="-720"/>
          <w:tab w:val="left" w:pos="2268"/>
        </w:tabs>
        <w:rPr>
          <w:rFonts w:ascii="Gadugi" w:hAnsi="Gadugi" w:cs="Gadugi"/>
        </w:rPr>
      </w:pPr>
    </w:p>
    <w:p w:rsidR="004013F8" w:rsidRDefault="004013F8" w:rsidP="004013F8">
      <w:pPr>
        <w:tabs>
          <w:tab w:val="left" w:pos="-816"/>
          <w:tab w:val="left" w:pos="-96"/>
          <w:tab w:val="left" w:pos="2892"/>
        </w:tabs>
        <w:overflowPunct w:val="0"/>
        <w:autoSpaceDE w:val="0"/>
        <w:spacing w:before="240" w:after="120"/>
        <w:ind w:left="624" w:firstLine="680"/>
        <w:textAlignment w:val="baseline"/>
        <w:rPr>
          <w:rFonts w:ascii="Gadugi" w:hAnsi="Gadugi" w:cs="Gadugi"/>
        </w:rPr>
      </w:pPr>
    </w:p>
    <w:p w:rsidR="001D626F" w:rsidRDefault="001D626F"/>
    <w:sectPr w:rsidR="001D626F" w:rsidSect="005D21E4">
      <w:pgSz w:w="12240" w:h="15840"/>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D7A" w:rsidRDefault="00D81D7A" w:rsidP="004013F8">
      <w:r>
        <w:separator/>
      </w:r>
    </w:p>
  </w:endnote>
  <w:endnote w:type="continuationSeparator" w:id="0">
    <w:p w:rsidR="00D81D7A" w:rsidRDefault="00D81D7A" w:rsidP="00401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orporateCondense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D7A" w:rsidRDefault="00D81D7A" w:rsidP="004013F8">
      <w:r>
        <w:separator/>
      </w:r>
    </w:p>
  </w:footnote>
  <w:footnote w:type="continuationSeparator" w:id="0">
    <w:p w:rsidR="00D81D7A" w:rsidRDefault="00D81D7A" w:rsidP="004013F8">
      <w:r>
        <w:continuationSeparator/>
      </w:r>
    </w:p>
  </w:footnote>
  <w:footnote w:id="1">
    <w:p w:rsidR="004013F8" w:rsidRDefault="004013F8" w:rsidP="004013F8">
      <w:pPr>
        <w:pStyle w:val="Textonotapie"/>
      </w:pPr>
      <w:r>
        <w:rPr>
          <w:rStyle w:val="Refdenotaalpie"/>
        </w:rPr>
        <w:footnoteRef/>
      </w:r>
      <w:r>
        <w:t xml:space="preserve"> Ley N° 19.886 de Compras Públicas y Reglamento “mayor eficiencia en las transacciones”, Ministerio de Hacienda, Pág. 6.</w:t>
      </w:r>
    </w:p>
  </w:footnote>
  <w:footnote w:id="2">
    <w:p w:rsidR="004013F8" w:rsidRDefault="004013F8" w:rsidP="004013F8">
      <w:pPr>
        <w:pStyle w:val="Textonotapie"/>
      </w:pPr>
      <w:r>
        <w:rPr>
          <w:rStyle w:val="Refdenotaalpie"/>
        </w:rPr>
        <w:footnoteRef/>
      </w:r>
      <w:r>
        <w:t xml:space="preserve"> Derecho Administrativo General, Jorge Bermúdez Soto, Transparencia y Publicidad, Pág. 191, Tercera Edición Actualizada.</w:t>
      </w:r>
    </w:p>
  </w:footnote>
  <w:footnote w:id="3">
    <w:p w:rsidR="004013F8" w:rsidRDefault="004013F8">
      <w:pPr>
        <w:pStyle w:val="Textonotapie"/>
      </w:pPr>
      <w:r>
        <w:rPr>
          <w:rStyle w:val="Refdenotaalpie"/>
        </w:rPr>
        <w:footnoteRef/>
      </w:r>
      <w:r>
        <w:t xml:space="preserve"> Derecho Administrativo General, Jorge Bermúdez Soto, Registro de Contratistas, Pág. 284, Tercera Edición Actualizada.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0F58D0"/>
    <w:multiLevelType w:val="hybridMultilevel"/>
    <w:tmpl w:val="F10E5C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D033B83"/>
    <w:multiLevelType w:val="multilevel"/>
    <w:tmpl w:val="9094087A"/>
    <w:lvl w:ilvl="0">
      <w:start w:val="1"/>
      <w:numFmt w:val="decimal"/>
      <w:pStyle w:val="BodyText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13F8"/>
    <w:rsid w:val="001D626F"/>
    <w:rsid w:val="003057EB"/>
    <w:rsid w:val="004013F8"/>
    <w:rsid w:val="005D21E4"/>
    <w:rsid w:val="00605876"/>
    <w:rsid w:val="0068213A"/>
    <w:rsid w:val="00784D80"/>
    <w:rsid w:val="007B5D36"/>
    <w:rsid w:val="00886080"/>
    <w:rsid w:val="008C1258"/>
    <w:rsid w:val="00A5548A"/>
    <w:rsid w:val="00AE7729"/>
    <w:rsid w:val="00D81D7A"/>
    <w:rsid w:val="00F37316"/>
    <w:rsid w:val="00FC68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F8"/>
    <w:pPr>
      <w:suppressAutoHyphens/>
      <w:spacing w:after="0" w:line="240" w:lineRule="auto"/>
    </w:pPr>
    <w:rPr>
      <w:rFonts w:ascii="Liberation Serif" w:eastAsia="NSimSun" w:hAnsi="Liberation Serif" w:cs="Ari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4013F8"/>
    <w:pPr>
      <w:numPr>
        <w:numId w:val="3"/>
      </w:numPr>
      <w:tabs>
        <w:tab w:val="left" w:pos="6030"/>
        <w:tab w:val="left" w:pos="6379"/>
      </w:tabs>
      <w:overflowPunct w:val="0"/>
      <w:autoSpaceDE w:val="0"/>
      <w:spacing w:before="240" w:after="120"/>
      <w:ind w:left="2835"/>
      <w:textAlignment w:val="baseline"/>
    </w:pPr>
    <w:rPr>
      <w:spacing w:val="-3"/>
    </w:rPr>
  </w:style>
  <w:style w:type="character" w:customStyle="1" w:styleId="Ninguno">
    <w:name w:val="Ninguno"/>
    <w:rsid w:val="004013F8"/>
  </w:style>
  <w:style w:type="paragraph" w:styleId="Textonotapie">
    <w:name w:val="footnote text"/>
    <w:basedOn w:val="Normal"/>
    <w:link w:val="TextonotapieCar"/>
    <w:uiPriority w:val="99"/>
    <w:semiHidden/>
    <w:unhideWhenUsed/>
    <w:rsid w:val="004013F8"/>
    <w:rPr>
      <w:rFonts w:cs="Mangal"/>
      <w:sz w:val="20"/>
      <w:szCs w:val="18"/>
    </w:rPr>
  </w:style>
  <w:style w:type="character" w:customStyle="1" w:styleId="TextonotapieCar">
    <w:name w:val="Texto nota pie Car"/>
    <w:basedOn w:val="Fuentedeprrafopredeter"/>
    <w:link w:val="Textonotapie"/>
    <w:uiPriority w:val="99"/>
    <w:semiHidden/>
    <w:rsid w:val="004013F8"/>
    <w:rPr>
      <w:rFonts w:ascii="Liberation Serif" w:eastAsia="NSimSun" w:hAnsi="Liberation Serif" w:cs="Mangal"/>
      <w:kern w:val="2"/>
      <w:sz w:val="20"/>
      <w:szCs w:val="18"/>
      <w:lang w:eastAsia="zh-CN" w:bidi="hi-IN"/>
    </w:rPr>
  </w:style>
  <w:style w:type="character" w:styleId="Refdenotaalpie">
    <w:name w:val="footnote reference"/>
    <w:uiPriority w:val="99"/>
    <w:semiHidden/>
    <w:unhideWhenUsed/>
    <w:rsid w:val="004013F8"/>
    <w:rPr>
      <w:vertAlign w:val="superscript"/>
    </w:rPr>
  </w:style>
  <w:style w:type="character" w:styleId="Hipervnculo">
    <w:name w:val="Hyperlink"/>
    <w:uiPriority w:val="99"/>
    <w:unhideWhenUsed/>
    <w:rsid w:val="004013F8"/>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9267-AFF9-49A4-A119-8A2A91AE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RN MiniPC 01;Guillermo Díaz V.</dc:creator>
  <cp:lastModifiedBy>Guillermo Diaz Vallejos</cp:lastModifiedBy>
  <cp:revision>3</cp:revision>
  <dcterms:created xsi:type="dcterms:W3CDTF">2019-08-07T15:26:00Z</dcterms:created>
  <dcterms:modified xsi:type="dcterms:W3CDTF">2019-08-07T15:28:00Z</dcterms:modified>
</cp:coreProperties>
</file>