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EF" w:rsidRDefault="00B17DEF"/>
    <w:p w:rsidR="00E0647C" w:rsidRDefault="00E0647C" w:rsidP="00E0647C">
      <w:pPr>
        <w:jc w:val="center"/>
        <w:rPr>
          <w:rFonts w:ascii="Georgia" w:hAnsi="Georgia" w:cs="Courier"/>
          <w:sz w:val="20"/>
          <w:szCs w:val="20"/>
          <w:lang w:val="es-ES"/>
        </w:rPr>
      </w:pPr>
      <w:r>
        <w:rPr>
          <w:rFonts w:ascii="Georgia" w:hAnsi="Georgia" w:cs="Courier"/>
          <w:noProof/>
          <w:sz w:val="20"/>
          <w:szCs w:val="20"/>
          <w:lang w:val="es-ES"/>
        </w:rPr>
        <w:drawing>
          <wp:inline distT="0" distB="0" distL="0" distR="0">
            <wp:extent cx="1183640" cy="803602"/>
            <wp:effectExtent l="0" t="0" r="10160" b="9525"/>
            <wp:docPr id="2" name="Imagen 2" descr="Macintosh HD:Users:enriqu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enrique:Desktop:Unknown.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86968" cy="805861"/>
                    </a:xfrm>
                    <a:prstGeom prst="rect">
                      <a:avLst/>
                    </a:prstGeom>
                    <a:noFill/>
                    <a:ln>
                      <a:noFill/>
                    </a:ln>
                  </pic:spPr>
                </pic:pic>
              </a:graphicData>
            </a:graphic>
          </wp:inline>
        </w:drawing>
      </w:r>
    </w:p>
    <w:p w:rsidR="00E0647C" w:rsidRDefault="00E0647C" w:rsidP="00E0647C">
      <w:pPr>
        <w:jc w:val="center"/>
        <w:rPr>
          <w:rFonts w:ascii="Georgia" w:hAnsi="Georgia" w:cs="Courier"/>
          <w:sz w:val="20"/>
          <w:szCs w:val="20"/>
          <w:lang w:val="es-ES"/>
        </w:rPr>
      </w:pPr>
    </w:p>
    <w:p w:rsidR="0055732D" w:rsidRPr="00817AC1" w:rsidRDefault="00817AC1" w:rsidP="00817AC1">
      <w:pPr>
        <w:jc w:val="both"/>
        <w:rPr>
          <w:rFonts w:ascii="Georgia" w:hAnsi="Georgia" w:cs="Courier"/>
          <w:b/>
          <w:sz w:val="22"/>
          <w:szCs w:val="22"/>
          <w:lang w:val="es-ES"/>
        </w:rPr>
      </w:pPr>
      <w:r w:rsidRPr="00817AC1">
        <w:rPr>
          <w:rFonts w:ascii="Georgia" w:hAnsi="Georgia" w:cs="Courier"/>
          <w:b/>
          <w:sz w:val="22"/>
          <w:szCs w:val="22"/>
          <w:lang w:val="es-ES"/>
        </w:rPr>
        <w:t>Modifica la ley N° 20.393, que Establece la responsabilidad penal de las personas jurídicas en los delitos que indica, para extender su aplicación al ámbito del transporte privado remunerado de pasajeros</w:t>
      </w:r>
    </w:p>
    <w:p w:rsidR="00817AC1" w:rsidRPr="00817AC1" w:rsidRDefault="00817AC1">
      <w:pPr>
        <w:rPr>
          <w:rFonts w:ascii="Georgia" w:hAnsi="Georgia" w:cs="Courier"/>
          <w:b/>
          <w:sz w:val="22"/>
          <w:szCs w:val="22"/>
          <w:lang w:val="es-ES"/>
        </w:rPr>
      </w:pPr>
    </w:p>
    <w:p w:rsidR="00817AC1" w:rsidRPr="00817AC1" w:rsidRDefault="00817AC1" w:rsidP="00817AC1">
      <w:pPr>
        <w:jc w:val="center"/>
        <w:rPr>
          <w:b/>
          <w:sz w:val="22"/>
          <w:szCs w:val="22"/>
        </w:rPr>
      </w:pPr>
      <w:r w:rsidRPr="00817AC1">
        <w:rPr>
          <w:rFonts w:ascii="Georgia" w:hAnsi="Georgia" w:cs="Courier"/>
          <w:b/>
          <w:sz w:val="22"/>
          <w:szCs w:val="22"/>
          <w:lang w:val="es-ES"/>
        </w:rPr>
        <w:t>Boletín N° 12884-15</w:t>
      </w:r>
    </w:p>
    <w:p w:rsidR="0055732D" w:rsidRPr="00B80474" w:rsidRDefault="0055732D" w:rsidP="0011275F">
      <w:pPr>
        <w:jc w:val="both"/>
        <w:rPr>
          <w:rFonts w:ascii="Georgia" w:hAnsi="Georgia"/>
        </w:rPr>
      </w:pPr>
    </w:p>
    <w:p w:rsidR="0011275F" w:rsidRPr="00265FD0" w:rsidRDefault="0055732D" w:rsidP="0011275F">
      <w:pPr>
        <w:jc w:val="both"/>
        <w:rPr>
          <w:rFonts w:ascii="Georgia" w:hAnsi="Georgia" w:cs="Courier"/>
          <w:sz w:val="23"/>
          <w:szCs w:val="23"/>
          <w:lang w:val="es-CL"/>
        </w:rPr>
      </w:pPr>
      <w:r w:rsidRPr="00265FD0">
        <w:rPr>
          <w:rFonts w:ascii="Georgia" w:hAnsi="Georgia"/>
          <w:b/>
          <w:sz w:val="23"/>
          <w:szCs w:val="23"/>
        </w:rPr>
        <w:t>1. Fundamentos.-</w:t>
      </w:r>
      <w:r w:rsidRPr="00265FD0">
        <w:rPr>
          <w:rFonts w:ascii="Georgia" w:hAnsi="Georgia"/>
          <w:sz w:val="23"/>
          <w:szCs w:val="23"/>
        </w:rPr>
        <w:t xml:space="preserve"> En nuestros sistema jurídico se establece </w:t>
      </w:r>
      <w:r w:rsidR="00E64833" w:rsidRPr="00265FD0">
        <w:rPr>
          <w:rFonts w:ascii="Georgia" w:hAnsi="Georgia"/>
          <w:sz w:val="23"/>
          <w:szCs w:val="23"/>
        </w:rPr>
        <w:t>desde</w:t>
      </w:r>
      <w:r w:rsidR="00B80474" w:rsidRPr="00265FD0">
        <w:rPr>
          <w:rFonts w:ascii="Georgia" w:hAnsi="Georgia"/>
          <w:sz w:val="23"/>
          <w:szCs w:val="23"/>
        </w:rPr>
        <w:t xml:space="preserve"> la publicación de</w:t>
      </w:r>
      <w:r w:rsidR="00E64833" w:rsidRPr="00265FD0">
        <w:rPr>
          <w:rFonts w:ascii="Georgia" w:hAnsi="Georgia"/>
          <w:sz w:val="23"/>
          <w:szCs w:val="23"/>
        </w:rPr>
        <w:t xml:space="preserve"> </w:t>
      </w:r>
      <w:r w:rsidR="00B80474" w:rsidRPr="00265FD0">
        <w:rPr>
          <w:rFonts w:ascii="Georgia" w:eastAsia="Times New Roman" w:hAnsi="Georgia" w:cs="Times New Roman"/>
          <w:sz w:val="23"/>
          <w:szCs w:val="23"/>
          <w:lang w:val="es-CL"/>
        </w:rPr>
        <w:t>la Ley Nº20.393 (D.O.  diciembre de 2009) sobre</w:t>
      </w:r>
      <w:r w:rsidR="00B80474" w:rsidRPr="00265FD0">
        <w:rPr>
          <w:rFonts w:ascii="Georgia" w:eastAsia="Times New Roman" w:hAnsi="Georgia" w:cs="Times New Roman"/>
          <w:i/>
          <w:sz w:val="23"/>
          <w:szCs w:val="23"/>
          <w:lang w:val="es-CL"/>
        </w:rPr>
        <w:t xml:space="preserve"> responsabilidad penal de las personas jurídicas</w:t>
      </w:r>
      <w:r w:rsidR="00B80474" w:rsidRPr="00265FD0">
        <w:rPr>
          <w:rFonts w:ascii="Georgia" w:eastAsia="Times New Roman" w:hAnsi="Georgia" w:cs="Times New Roman"/>
          <w:sz w:val="23"/>
          <w:szCs w:val="23"/>
          <w:lang w:val="es-CL"/>
        </w:rPr>
        <w:t xml:space="preserve">, consagra por primera vez en Chile un sistema de imputación penal respecto de un catálogo de delitos que pueden ser cometidos en la </w:t>
      </w:r>
      <w:r w:rsidR="00B80474" w:rsidRPr="00265FD0">
        <w:rPr>
          <w:rFonts w:ascii="Georgia" w:eastAsia="Times New Roman" w:hAnsi="Georgia" w:cs="Times New Roman"/>
          <w:i/>
          <w:sz w:val="23"/>
          <w:szCs w:val="23"/>
          <w:lang w:val="es-CL"/>
        </w:rPr>
        <w:t>organización</w:t>
      </w:r>
      <w:r w:rsidR="00B80474" w:rsidRPr="00265FD0">
        <w:rPr>
          <w:rFonts w:ascii="Georgia" w:eastAsia="Times New Roman" w:hAnsi="Georgia" w:cs="Times New Roman"/>
          <w:sz w:val="23"/>
          <w:szCs w:val="23"/>
          <w:lang w:val="es-CL"/>
        </w:rPr>
        <w:t xml:space="preserve"> por sus dueños, controladores, administradores, representantes o dependientes, en </w:t>
      </w:r>
      <w:r w:rsidR="00B80474" w:rsidRPr="00265FD0">
        <w:rPr>
          <w:rFonts w:ascii="Georgia" w:eastAsia="Times New Roman" w:hAnsi="Georgia" w:cs="Times New Roman"/>
          <w:i/>
          <w:sz w:val="23"/>
          <w:szCs w:val="23"/>
          <w:lang w:val="es-CL"/>
        </w:rPr>
        <w:t>provecho o interés</w:t>
      </w:r>
      <w:r w:rsidR="00B80474" w:rsidRPr="00265FD0">
        <w:rPr>
          <w:rFonts w:ascii="Georgia" w:eastAsia="Times New Roman" w:hAnsi="Georgia" w:cs="Times New Roman"/>
          <w:sz w:val="23"/>
          <w:szCs w:val="23"/>
          <w:lang w:val="es-CL"/>
        </w:rPr>
        <w:t xml:space="preserve"> de la entidad, como consecuencia del incumplimiento de sus deberes de dirección o supervisión.</w:t>
      </w:r>
    </w:p>
    <w:p w:rsidR="0011275F" w:rsidRPr="00265FD0" w:rsidRDefault="0011275F" w:rsidP="0011275F">
      <w:pPr>
        <w:jc w:val="both"/>
        <w:rPr>
          <w:rFonts w:ascii="Georgia" w:hAnsi="Georgia" w:cs="Courier"/>
          <w:sz w:val="23"/>
          <w:szCs w:val="23"/>
          <w:lang w:val="es-CL"/>
        </w:rPr>
      </w:pPr>
    </w:p>
    <w:p w:rsidR="00B80474" w:rsidRPr="00265FD0" w:rsidRDefault="00B80474" w:rsidP="00B80474">
      <w:pPr>
        <w:ind w:firstLine="708"/>
        <w:jc w:val="both"/>
        <w:rPr>
          <w:rFonts w:ascii="Georgia" w:hAnsi="Georgia" w:cs="Courier"/>
          <w:sz w:val="23"/>
          <w:szCs w:val="23"/>
          <w:lang w:val="es-CL"/>
        </w:rPr>
      </w:pPr>
      <w:r w:rsidRPr="00265FD0">
        <w:rPr>
          <w:rFonts w:ascii="Georgia" w:eastAsia="Times New Roman" w:hAnsi="Georgia" w:cs="Times New Roman"/>
          <w:sz w:val="23"/>
          <w:szCs w:val="23"/>
          <w:lang w:val="es-CL"/>
        </w:rPr>
        <w:t xml:space="preserve">En la actualidad existe una tendencia mundial de los Estados a transferir a las personas jurídicas de derecho privado (empresas, asociaciones, fundaciones, corporaciones, etc.) un rol en la </w:t>
      </w:r>
      <w:r w:rsidRPr="00265FD0">
        <w:rPr>
          <w:rFonts w:ascii="Georgia" w:eastAsia="Times New Roman" w:hAnsi="Georgia" w:cs="Times New Roman"/>
          <w:i/>
          <w:sz w:val="23"/>
          <w:szCs w:val="23"/>
          <w:lang w:val="es-CL"/>
        </w:rPr>
        <w:t>prevención</w:t>
      </w:r>
      <w:r w:rsidRPr="00265FD0">
        <w:rPr>
          <w:rFonts w:ascii="Georgia" w:eastAsia="Times New Roman" w:hAnsi="Georgia" w:cs="Times New Roman"/>
          <w:sz w:val="23"/>
          <w:szCs w:val="23"/>
          <w:lang w:val="es-CL"/>
        </w:rPr>
        <w:t xml:space="preserve"> de delitos (</w:t>
      </w:r>
      <w:r w:rsidRPr="00265FD0">
        <w:rPr>
          <w:rFonts w:ascii="Georgia" w:eastAsia="Times New Roman" w:hAnsi="Georgia" w:cs="Times New Roman"/>
          <w:i/>
          <w:sz w:val="23"/>
          <w:szCs w:val="23"/>
          <w:lang w:val="es-CL"/>
        </w:rPr>
        <w:t>autoregulación</w:t>
      </w:r>
      <w:r w:rsidRPr="00265FD0">
        <w:rPr>
          <w:rFonts w:ascii="Georgia" w:eastAsia="Times New Roman" w:hAnsi="Georgia" w:cs="Times New Roman"/>
          <w:sz w:val="23"/>
          <w:szCs w:val="23"/>
          <w:lang w:val="es-CL"/>
        </w:rPr>
        <w:t xml:space="preserve">), como una manera de abandonar los sistemas </w:t>
      </w:r>
      <w:r w:rsidRPr="00265FD0">
        <w:rPr>
          <w:rFonts w:ascii="Georgia" w:eastAsia="Times New Roman" w:hAnsi="Georgia" w:cs="Times New Roman"/>
          <w:i/>
          <w:sz w:val="23"/>
          <w:szCs w:val="23"/>
          <w:lang w:val="es-CL"/>
        </w:rPr>
        <w:t xml:space="preserve">de heteresponsabilidad, </w:t>
      </w:r>
      <w:r w:rsidRPr="00265FD0">
        <w:rPr>
          <w:rFonts w:ascii="Georgia" w:eastAsia="Times New Roman" w:hAnsi="Georgia" w:cs="Times New Roman"/>
          <w:sz w:val="23"/>
          <w:szCs w:val="23"/>
          <w:lang w:val="es-CL"/>
        </w:rPr>
        <w:t xml:space="preserve">es decir, los delitos cometidos por determinados miembros de una persona jurídica eran imputadas a éstas sin mayores disquisiciones, incluso en casos que la propia entidad </w:t>
      </w:r>
      <w:r w:rsidR="00DD41D7" w:rsidRPr="00265FD0">
        <w:rPr>
          <w:rFonts w:ascii="Georgia" w:eastAsia="Times New Roman" w:hAnsi="Georgia" w:cs="Times New Roman"/>
          <w:sz w:val="23"/>
          <w:szCs w:val="23"/>
          <w:lang w:val="es-CL"/>
        </w:rPr>
        <w:t>cumplía con el derecho. A</w:t>
      </w:r>
      <w:r w:rsidRPr="00265FD0">
        <w:rPr>
          <w:rFonts w:ascii="Georgia" w:eastAsia="Times New Roman" w:hAnsi="Georgia" w:cs="Times New Roman"/>
          <w:sz w:val="23"/>
          <w:szCs w:val="23"/>
          <w:lang w:val="es-CL"/>
        </w:rPr>
        <w:t>sí</w:t>
      </w:r>
      <w:r w:rsidR="00DD41D7" w:rsidRPr="00265FD0">
        <w:rPr>
          <w:rFonts w:ascii="Georgia" w:eastAsia="Times New Roman" w:hAnsi="Georgia" w:cs="Times New Roman"/>
          <w:sz w:val="23"/>
          <w:szCs w:val="23"/>
          <w:lang w:val="es-CL"/>
        </w:rPr>
        <w:t xml:space="preserve"> para la doctrina</w:t>
      </w:r>
      <w:r w:rsidR="00DD41D7" w:rsidRPr="00265FD0">
        <w:rPr>
          <w:rFonts w:ascii="Georgia" w:eastAsia="Times New Roman" w:hAnsi="Georgia" w:cs="Times New Roman"/>
          <w:i/>
          <w:sz w:val="23"/>
          <w:szCs w:val="23"/>
          <w:lang w:val="es-CL"/>
        </w:rPr>
        <w:t>,</w:t>
      </w:r>
      <w:r w:rsidRPr="00265FD0">
        <w:rPr>
          <w:rFonts w:ascii="Georgia" w:eastAsia="Times New Roman" w:hAnsi="Georgia" w:cs="Times New Roman"/>
          <w:sz w:val="23"/>
          <w:szCs w:val="23"/>
          <w:lang w:val="es-CL"/>
        </w:rPr>
        <w:t xml:space="preserve"> “los modelos de autorresponsabilidad penal empresarial hacen frente a ambos déficits de </w:t>
      </w:r>
      <w:r w:rsidR="00DD41D7" w:rsidRPr="00265FD0">
        <w:rPr>
          <w:rFonts w:ascii="Georgia" w:eastAsia="Times New Roman" w:hAnsi="Georgia" w:cs="Times New Roman"/>
          <w:sz w:val="23"/>
          <w:szCs w:val="23"/>
          <w:lang w:val="es-CL"/>
        </w:rPr>
        <w:t>los planteamientos tradicionales siendo más justos –sólo se hace responsable a la empresa de aquello que realmente le es reprochable- y político criminalmente más adecuados toda vez que no hacen depender la punición de la empresa de la punición de la persona…”</w:t>
      </w:r>
      <w:r w:rsidR="00DD41D7" w:rsidRPr="00265FD0">
        <w:rPr>
          <w:rStyle w:val="Refdenotaalpie"/>
          <w:rFonts w:ascii="Georgia" w:eastAsia="Times New Roman" w:hAnsi="Georgia" w:cs="Times New Roman"/>
          <w:sz w:val="23"/>
          <w:szCs w:val="23"/>
          <w:lang w:val="es-CL"/>
        </w:rPr>
        <w:footnoteReference w:id="1"/>
      </w:r>
      <w:r w:rsidR="00DD41D7" w:rsidRPr="00265FD0">
        <w:rPr>
          <w:rFonts w:ascii="Georgia" w:eastAsia="Times New Roman" w:hAnsi="Georgia" w:cs="Times New Roman"/>
          <w:sz w:val="23"/>
          <w:szCs w:val="23"/>
          <w:lang w:val="es-CL"/>
        </w:rPr>
        <w:t xml:space="preserve">, </w:t>
      </w:r>
      <w:r w:rsidR="00BD7358" w:rsidRPr="00265FD0">
        <w:rPr>
          <w:rFonts w:ascii="Georgia" w:eastAsia="Times New Roman" w:hAnsi="Georgia" w:cs="Times New Roman"/>
          <w:sz w:val="23"/>
          <w:szCs w:val="23"/>
          <w:lang w:val="es-CL"/>
        </w:rPr>
        <w:t>en este sentido este modelo permite que las personas jurídicas pueden frente a una imputación penal probar que han ejercido a nivel organizativo, la diligencia debida a fin de evitar la ocurrencia del hecho delictivo, al margen de la conducta de la persona física en la situación concreta, por lo que “los ordenamientos jurídicos en los que la autorregulación en diversos ámbitos jurídicos resulta más constatable, han adoptado más rapidamente previsiones legislativas en las que se reconoce relevancia de los Compliance Programs a la hora de establecer la responsabilidad penal de las personas jurídicas”</w:t>
      </w:r>
      <w:r w:rsidR="00BD7358" w:rsidRPr="00265FD0">
        <w:rPr>
          <w:rStyle w:val="Refdenotaalpie"/>
          <w:rFonts w:ascii="Georgia" w:eastAsia="Times New Roman" w:hAnsi="Georgia" w:cs="Times New Roman"/>
          <w:sz w:val="23"/>
          <w:szCs w:val="23"/>
          <w:lang w:val="es-CL"/>
        </w:rPr>
        <w:footnoteReference w:id="2"/>
      </w:r>
      <w:r w:rsidR="00BD7358" w:rsidRPr="00265FD0">
        <w:rPr>
          <w:rFonts w:ascii="Georgia" w:eastAsia="Times New Roman" w:hAnsi="Georgia" w:cs="Times New Roman"/>
          <w:sz w:val="23"/>
          <w:szCs w:val="23"/>
          <w:lang w:val="es-CL"/>
        </w:rPr>
        <w:t xml:space="preserve">. </w:t>
      </w:r>
    </w:p>
    <w:p w:rsidR="00B80474" w:rsidRPr="00265FD0" w:rsidRDefault="00B80474" w:rsidP="0011275F">
      <w:pPr>
        <w:jc w:val="both"/>
        <w:rPr>
          <w:rFonts w:ascii="Georgia" w:hAnsi="Georgia" w:cs="Courier"/>
          <w:sz w:val="23"/>
          <w:szCs w:val="23"/>
          <w:lang w:val="es-CL"/>
        </w:rPr>
      </w:pPr>
    </w:p>
    <w:p w:rsidR="00BD7358" w:rsidRPr="00265FD0" w:rsidRDefault="00BD7358" w:rsidP="00BD7358">
      <w:pPr>
        <w:ind w:firstLine="708"/>
        <w:jc w:val="both"/>
        <w:outlineLvl w:val="5"/>
        <w:rPr>
          <w:rFonts w:ascii="Georgia" w:eastAsia="Times New Roman" w:hAnsi="Georgia" w:cs="Times New Roman"/>
          <w:sz w:val="23"/>
          <w:szCs w:val="23"/>
          <w:lang w:val="es-CL"/>
        </w:rPr>
      </w:pPr>
      <w:r w:rsidRPr="00265FD0">
        <w:rPr>
          <w:rFonts w:ascii="Georgia" w:hAnsi="Georgia" w:cs="Courier"/>
          <w:sz w:val="23"/>
          <w:szCs w:val="23"/>
          <w:lang w:val="es-CL"/>
        </w:rPr>
        <w:t>Conforme a lo anterior, es</w:t>
      </w:r>
      <w:r w:rsidR="0011275F" w:rsidRPr="00265FD0">
        <w:rPr>
          <w:rFonts w:ascii="Georgia" w:hAnsi="Georgia" w:cs="Courier"/>
          <w:sz w:val="23"/>
          <w:szCs w:val="23"/>
          <w:lang w:val="es-CL"/>
        </w:rPr>
        <w:t xml:space="preserve"> a partir de este marco legal, que el actual sistema contempla </w:t>
      </w:r>
      <w:r w:rsidRPr="00265FD0">
        <w:rPr>
          <w:rFonts w:ascii="Georgia" w:eastAsia="Times New Roman" w:hAnsi="Georgia" w:cs="Times New Roman"/>
          <w:sz w:val="23"/>
          <w:szCs w:val="23"/>
          <w:lang w:val="es-CL"/>
        </w:rPr>
        <w:t xml:space="preserve">expresamente las </w:t>
      </w:r>
      <w:r w:rsidR="00B80474" w:rsidRPr="00265FD0">
        <w:rPr>
          <w:rFonts w:ascii="Georgia" w:eastAsia="Times New Roman" w:hAnsi="Georgia" w:cs="Times New Roman"/>
          <w:sz w:val="23"/>
          <w:szCs w:val="23"/>
          <w:lang w:val="es-CL"/>
        </w:rPr>
        <w:t>medidas de prevención que las entidades deberían adoptar como mínimo, a fin de evitar la ocurrencia de los</w:t>
      </w:r>
      <w:r w:rsidRPr="00265FD0">
        <w:rPr>
          <w:rFonts w:ascii="Georgia" w:eastAsia="Times New Roman" w:hAnsi="Georgia" w:cs="Times New Roman"/>
          <w:sz w:val="23"/>
          <w:szCs w:val="23"/>
          <w:lang w:val="es-CL"/>
        </w:rPr>
        <w:t xml:space="preserve"> delitos establecidos en el, todavía escueto catalogo de delitos previstos en la citada ley,</w:t>
      </w:r>
      <w:r w:rsidRPr="00265FD0">
        <w:rPr>
          <w:rFonts w:ascii="Georgia" w:hAnsi="Georgia"/>
          <w:sz w:val="23"/>
          <w:szCs w:val="23"/>
        </w:rPr>
        <w:t xml:space="preserve"> </w:t>
      </w:r>
      <w:r w:rsidRPr="00265FD0">
        <w:rPr>
          <w:rFonts w:ascii="Georgia" w:eastAsia="Times New Roman" w:hAnsi="Georgia" w:cs="Times New Roman"/>
          <w:sz w:val="23"/>
          <w:szCs w:val="23"/>
          <w:lang w:val="es-CL"/>
        </w:rPr>
        <w:t xml:space="preserve">los </w:t>
      </w:r>
      <w:r w:rsidRPr="00265FD0">
        <w:rPr>
          <w:rFonts w:ascii="Georgia" w:eastAsia="Times New Roman" w:hAnsi="Georgia" w:cs="Times New Roman"/>
          <w:i/>
          <w:sz w:val="23"/>
          <w:szCs w:val="23"/>
          <w:lang w:val="es-CL"/>
        </w:rPr>
        <w:t>delitos de lavado de activos,</w:t>
      </w:r>
      <w:r w:rsidRPr="00265FD0">
        <w:rPr>
          <w:rFonts w:ascii="Georgia" w:eastAsia="Times New Roman" w:hAnsi="Georgia" w:cs="Times New Roman"/>
          <w:sz w:val="23"/>
          <w:szCs w:val="23"/>
          <w:lang w:val="es-CL"/>
        </w:rPr>
        <w:t xml:space="preserve"> </w:t>
      </w:r>
      <w:r w:rsidRPr="00265FD0">
        <w:rPr>
          <w:rFonts w:ascii="Georgia" w:eastAsia="Times New Roman" w:hAnsi="Georgia" w:cs="Times New Roman"/>
          <w:i/>
          <w:sz w:val="23"/>
          <w:szCs w:val="23"/>
          <w:lang w:val="es-CL"/>
        </w:rPr>
        <w:t>financiamiento del terrorismo</w:t>
      </w:r>
      <w:r w:rsidRPr="00265FD0">
        <w:rPr>
          <w:rFonts w:ascii="Georgia" w:eastAsia="Times New Roman" w:hAnsi="Georgia" w:cs="Times New Roman"/>
          <w:sz w:val="23"/>
          <w:szCs w:val="23"/>
          <w:lang w:val="es-CL"/>
        </w:rPr>
        <w:t xml:space="preserve">, </w:t>
      </w:r>
      <w:r w:rsidRPr="00265FD0">
        <w:rPr>
          <w:rFonts w:ascii="Georgia" w:eastAsia="Times New Roman" w:hAnsi="Georgia" w:cs="Times New Roman"/>
          <w:i/>
          <w:sz w:val="23"/>
          <w:szCs w:val="23"/>
          <w:lang w:val="es-CL"/>
        </w:rPr>
        <w:t>cohech</w:t>
      </w:r>
      <w:bookmarkStart w:id="0" w:name="_GoBack"/>
      <w:bookmarkEnd w:id="0"/>
      <w:r w:rsidRPr="00265FD0">
        <w:rPr>
          <w:rFonts w:ascii="Georgia" w:eastAsia="Times New Roman" w:hAnsi="Georgia" w:cs="Times New Roman"/>
          <w:i/>
          <w:sz w:val="23"/>
          <w:szCs w:val="23"/>
          <w:lang w:val="es-CL"/>
        </w:rPr>
        <w:t>o a funcionario público</w:t>
      </w:r>
      <w:r w:rsidRPr="00265FD0">
        <w:rPr>
          <w:rFonts w:ascii="Georgia" w:eastAsia="Times New Roman" w:hAnsi="Georgia" w:cs="Times New Roman"/>
          <w:sz w:val="23"/>
          <w:szCs w:val="23"/>
          <w:lang w:val="es-CL"/>
        </w:rPr>
        <w:t xml:space="preserve"> (nacional y extranjero), </w:t>
      </w:r>
      <w:r w:rsidRPr="00265FD0">
        <w:rPr>
          <w:rFonts w:ascii="Georgia" w:eastAsia="Times New Roman" w:hAnsi="Georgia" w:cs="Times New Roman"/>
          <w:i/>
          <w:sz w:val="23"/>
          <w:szCs w:val="23"/>
          <w:lang w:val="es-CL"/>
        </w:rPr>
        <w:t>corrupción entre privados, administración desleal</w:t>
      </w:r>
      <w:r w:rsidRPr="00265FD0">
        <w:rPr>
          <w:rFonts w:ascii="Georgia" w:eastAsia="Times New Roman" w:hAnsi="Georgia" w:cs="Times New Roman"/>
          <w:sz w:val="23"/>
          <w:szCs w:val="23"/>
          <w:lang w:val="es-CL"/>
        </w:rPr>
        <w:t xml:space="preserve">, </w:t>
      </w:r>
      <w:r w:rsidRPr="00265FD0">
        <w:rPr>
          <w:rFonts w:ascii="Georgia" w:eastAsia="Times New Roman" w:hAnsi="Georgia" w:cs="Times New Roman"/>
          <w:i/>
          <w:sz w:val="23"/>
          <w:szCs w:val="23"/>
          <w:lang w:val="es-CL"/>
        </w:rPr>
        <w:t xml:space="preserve">receptación </w:t>
      </w:r>
      <w:r w:rsidRPr="00265FD0">
        <w:rPr>
          <w:rFonts w:ascii="Georgia" w:eastAsia="Times New Roman" w:hAnsi="Georgia" w:cs="Times New Roman"/>
          <w:sz w:val="23"/>
          <w:szCs w:val="23"/>
          <w:lang w:val="es-CL"/>
        </w:rPr>
        <w:t xml:space="preserve">entre otros. El artículo 4º de la ley </w:t>
      </w:r>
      <w:r w:rsidR="00704C1C" w:rsidRPr="00265FD0">
        <w:rPr>
          <w:rFonts w:ascii="Georgia" w:eastAsia="Times New Roman" w:hAnsi="Georgia" w:cs="Times New Roman"/>
          <w:sz w:val="23"/>
          <w:szCs w:val="23"/>
          <w:lang w:val="es-CL"/>
        </w:rPr>
        <w:t>establece</w:t>
      </w:r>
      <w:r w:rsidR="005D639B">
        <w:rPr>
          <w:rFonts w:ascii="Georgia" w:eastAsia="Times New Roman" w:hAnsi="Georgia" w:cs="Times New Roman"/>
          <w:sz w:val="23"/>
          <w:szCs w:val="23"/>
          <w:lang w:val="es-CL"/>
        </w:rPr>
        <w:t xml:space="preserve"> </w:t>
      </w:r>
      <w:r w:rsidR="005D639B" w:rsidRPr="005D639B">
        <w:rPr>
          <w:rFonts w:ascii="Georgia" w:eastAsia="Times New Roman" w:hAnsi="Georgia" w:cs="Times New Roman"/>
          <w:i/>
          <w:sz w:val="23"/>
          <w:szCs w:val="23"/>
          <w:lang w:val="es-CL"/>
        </w:rPr>
        <w:t>como una facultad</w:t>
      </w:r>
      <w:r w:rsidR="005D639B">
        <w:rPr>
          <w:rStyle w:val="Refdenotaalpie"/>
          <w:rFonts w:ascii="Georgia" w:eastAsia="Times New Roman" w:hAnsi="Georgia" w:cs="Times New Roman"/>
          <w:i/>
          <w:sz w:val="23"/>
          <w:szCs w:val="23"/>
          <w:lang w:val="es-CL"/>
        </w:rPr>
        <w:footnoteReference w:id="3"/>
      </w:r>
      <w:r w:rsidR="00704C1C" w:rsidRPr="00265FD0">
        <w:rPr>
          <w:rFonts w:ascii="Georgia" w:eastAsia="Times New Roman" w:hAnsi="Georgia" w:cs="Times New Roman"/>
          <w:sz w:val="23"/>
          <w:szCs w:val="23"/>
          <w:lang w:val="es-CL"/>
        </w:rPr>
        <w:t>:</w:t>
      </w:r>
    </w:p>
    <w:p w:rsidR="00704C1C" w:rsidRDefault="00704C1C" w:rsidP="00BD7358">
      <w:pPr>
        <w:ind w:firstLine="708"/>
        <w:jc w:val="both"/>
        <w:outlineLvl w:val="5"/>
        <w:rPr>
          <w:rFonts w:ascii="Marion Regular" w:eastAsia="Times New Roman" w:hAnsi="Marion Regular" w:cs="Times New Roman"/>
          <w:lang w:val="es-CL"/>
        </w:rPr>
      </w:pPr>
    </w:p>
    <w:p w:rsidR="00704C1C" w:rsidRPr="00704C1C" w:rsidRDefault="00704C1C" w:rsidP="00704C1C">
      <w:pPr>
        <w:ind w:left="567"/>
        <w:jc w:val="both"/>
        <w:rPr>
          <w:rFonts w:ascii="Courier" w:hAnsi="Courier"/>
          <w:sz w:val="20"/>
          <w:szCs w:val="20"/>
        </w:rPr>
      </w:pPr>
      <w:r>
        <w:rPr>
          <w:rFonts w:ascii="Courier" w:hAnsi="Courier"/>
          <w:sz w:val="20"/>
          <w:szCs w:val="20"/>
        </w:rPr>
        <w:t>Art.</w:t>
      </w:r>
      <w:r w:rsidRPr="00704C1C">
        <w:rPr>
          <w:rFonts w:ascii="Courier" w:hAnsi="Courier"/>
          <w:sz w:val="20"/>
          <w:szCs w:val="20"/>
        </w:rPr>
        <w:t xml:space="preserve"> 4°.- Modelo de prevención de los delitos. Para los efectos previstos en el inciso tercero del artículo anterior, las personas jurídicas podrán adoptar el modelo de prevención a que allí se hace referencia, el que deberá contener a lo menos los siguientes elementos:</w:t>
      </w:r>
    </w:p>
    <w:p w:rsidR="00704C1C" w:rsidRPr="00704C1C" w:rsidRDefault="00704C1C" w:rsidP="00704C1C">
      <w:pPr>
        <w:ind w:left="567"/>
        <w:jc w:val="both"/>
        <w:rPr>
          <w:rFonts w:ascii="Courier" w:hAnsi="Courier"/>
          <w:sz w:val="20"/>
          <w:szCs w:val="20"/>
        </w:rPr>
      </w:pPr>
      <w:r w:rsidRPr="00704C1C">
        <w:rPr>
          <w:rFonts w:ascii="Courier" w:hAnsi="Courier"/>
          <w:sz w:val="20"/>
          <w:szCs w:val="20"/>
        </w:rPr>
        <w:t>1) Designación de un encargado de prevención.</w:t>
      </w:r>
    </w:p>
    <w:p w:rsidR="00704C1C" w:rsidRPr="00704C1C" w:rsidRDefault="00704C1C" w:rsidP="00704C1C">
      <w:pPr>
        <w:ind w:left="567"/>
        <w:jc w:val="both"/>
        <w:rPr>
          <w:rFonts w:ascii="Courier" w:hAnsi="Courier"/>
          <w:sz w:val="20"/>
          <w:szCs w:val="20"/>
        </w:rPr>
      </w:pPr>
      <w:r w:rsidRPr="00704C1C">
        <w:rPr>
          <w:rFonts w:ascii="Courier" w:hAnsi="Courier"/>
          <w:sz w:val="20"/>
          <w:szCs w:val="20"/>
        </w:rPr>
        <w:t xml:space="preserve">     a) La máxima autoridad administrativa de la persona jurídica, sea ésta su directorio, un socio administrador, un gerente, un ejecutivo principal, un administrador, un liquidador, sus representantes, sus dueños o socios, según corresponda a la forma de administración de la respectiva entidad, en adelante la "Administración de la Persona Jurídica", deberá designar un </w:t>
      </w:r>
      <w:r w:rsidRPr="00704C1C">
        <w:rPr>
          <w:rFonts w:ascii="Courier" w:hAnsi="Courier"/>
          <w:sz w:val="20"/>
          <w:szCs w:val="20"/>
        </w:rPr>
        <w:lastRenderedPageBreak/>
        <w:t>encargado de prevención, quien durará en su cargo hasta tres años, el que podrá prorrogarse por períodos de igual duración.</w:t>
      </w:r>
    </w:p>
    <w:p w:rsidR="00704C1C" w:rsidRPr="00704C1C" w:rsidRDefault="00704C1C" w:rsidP="00704C1C">
      <w:pPr>
        <w:ind w:left="567"/>
        <w:jc w:val="both"/>
        <w:rPr>
          <w:rFonts w:ascii="Courier" w:hAnsi="Courier"/>
          <w:sz w:val="20"/>
          <w:szCs w:val="20"/>
        </w:rPr>
      </w:pPr>
      <w:r w:rsidRPr="00704C1C">
        <w:rPr>
          <w:rFonts w:ascii="Courier" w:hAnsi="Courier"/>
          <w:sz w:val="20"/>
          <w:szCs w:val="20"/>
        </w:rPr>
        <w:t xml:space="preserve">     b) El encargado de prevención deberá contar con autonomía respecto de la Administración de la Persona Jurídica, de sus dueños, de sus socios, de sus accionistas o de sus controladores. No obstante, podrá ejercer labores de contraloría o auditoría interna.</w:t>
      </w:r>
    </w:p>
    <w:p w:rsidR="00704C1C" w:rsidRPr="00704C1C" w:rsidRDefault="00704C1C" w:rsidP="00704C1C">
      <w:pPr>
        <w:ind w:left="567"/>
        <w:jc w:val="both"/>
        <w:rPr>
          <w:rFonts w:ascii="Courier" w:hAnsi="Courier"/>
          <w:sz w:val="20"/>
          <w:szCs w:val="20"/>
        </w:rPr>
      </w:pPr>
      <w:r w:rsidRPr="00704C1C">
        <w:rPr>
          <w:rFonts w:ascii="Courier" w:hAnsi="Courier"/>
          <w:sz w:val="20"/>
          <w:szCs w:val="20"/>
        </w:rPr>
        <w:t xml:space="preserve">     En el caso de las personas jurídicas cuyos ingresos anuales no excedan de cien mil unidades de fomento, el dueño, el socio o el accionista controlador podrán asumir personalmente las tareas del encargado de prevención.</w:t>
      </w:r>
    </w:p>
    <w:p w:rsidR="00704C1C" w:rsidRPr="00704C1C" w:rsidRDefault="00704C1C" w:rsidP="00704C1C">
      <w:pPr>
        <w:ind w:left="567"/>
        <w:jc w:val="both"/>
        <w:rPr>
          <w:rFonts w:ascii="Courier" w:hAnsi="Courier"/>
          <w:sz w:val="20"/>
          <w:szCs w:val="20"/>
        </w:rPr>
      </w:pPr>
    </w:p>
    <w:p w:rsidR="00704C1C" w:rsidRPr="00704C1C" w:rsidRDefault="00704C1C" w:rsidP="00704C1C">
      <w:pPr>
        <w:ind w:left="567"/>
        <w:jc w:val="both"/>
        <w:rPr>
          <w:rFonts w:ascii="Courier" w:hAnsi="Courier"/>
          <w:sz w:val="20"/>
          <w:szCs w:val="20"/>
        </w:rPr>
      </w:pPr>
      <w:r w:rsidRPr="00704C1C">
        <w:rPr>
          <w:rFonts w:ascii="Courier" w:hAnsi="Courier"/>
          <w:sz w:val="20"/>
          <w:szCs w:val="20"/>
        </w:rPr>
        <w:t>2)Definición de medios y facultades del encargado de prevención.</w:t>
      </w:r>
    </w:p>
    <w:p w:rsidR="00704C1C" w:rsidRPr="00704C1C" w:rsidRDefault="00704C1C" w:rsidP="00704C1C">
      <w:pPr>
        <w:ind w:left="567"/>
        <w:jc w:val="both"/>
        <w:rPr>
          <w:rFonts w:ascii="Courier" w:hAnsi="Courier"/>
          <w:sz w:val="20"/>
          <w:szCs w:val="20"/>
        </w:rPr>
      </w:pPr>
      <w:r w:rsidRPr="00704C1C">
        <w:rPr>
          <w:rFonts w:ascii="Courier" w:hAnsi="Courier"/>
          <w:sz w:val="20"/>
          <w:szCs w:val="20"/>
        </w:rPr>
        <w:t xml:space="preserve">     La Administración de la Persona Jurídica deberá proveer al encargado de prevención los medios y facultades suficientes para el desempeño de sus funciones, entre los que se considerarán a lo menos:</w:t>
      </w:r>
    </w:p>
    <w:p w:rsidR="00704C1C" w:rsidRPr="00704C1C" w:rsidRDefault="00704C1C" w:rsidP="00704C1C">
      <w:pPr>
        <w:ind w:left="567"/>
        <w:jc w:val="both"/>
        <w:rPr>
          <w:rFonts w:ascii="Courier" w:hAnsi="Courier"/>
          <w:sz w:val="20"/>
          <w:szCs w:val="20"/>
        </w:rPr>
      </w:pPr>
      <w:r w:rsidRPr="00704C1C">
        <w:rPr>
          <w:rFonts w:ascii="Courier" w:hAnsi="Courier"/>
          <w:sz w:val="20"/>
          <w:szCs w:val="20"/>
        </w:rPr>
        <w:t xml:space="preserve">     a) Los recursos y medios materiales necesarios para realizar adecuadamente sus labores, en consideración al tamaño y capacidad económica de la persona jurídica.</w:t>
      </w:r>
    </w:p>
    <w:p w:rsidR="00704C1C" w:rsidRPr="00704C1C" w:rsidRDefault="00704C1C" w:rsidP="00704C1C">
      <w:pPr>
        <w:ind w:left="567"/>
        <w:jc w:val="both"/>
        <w:rPr>
          <w:rFonts w:ascii="Courier" w:hAnsi="Courier"/>
          <w:sz w:val="20"/>
          <w:szCs w:val="20"/>
        </w:rPr>
      </w:pPr>
      <w:r w:rsidRPr="00704C1C">
        <w:rPr>
          <w:rFonts w:ascii="Courier" w:hAnsi="Courier"/>
          <w:sz w:val="20"/>
          <w:szCs w:val="20"/>
        </w:rPr>
        <w:t xml:space="preserve">     b) Acceso directo a la Administración de la Persona Jurídica para informarla oportunamente por un medio idóneo, de las medidas y planes implementados en el cumplimiento de su cometido y para rendir cuenta de su gestión y reportar a lo menos semestralmente.</w:t>
      </w:r>
    </w:p>
    <w:p w:rsidR="00704C1C" w:rsidRPr="00704C1C" w:rsidRDefault="00704C1C" w:rsidP="00704C1C">
      <w:pPr>
        <w:ind w:left="567"/>
        <w:jc w:val="both"/>
        <w:rPr>
          <w:rFonts w:ascii="Courier" w:hAnsi="Courier"/>
          <w:sz w:val="20"/>
          <w:szCs w:val="20"/>
        </w:rPr>
      </w:pPr>
    </w:p>
    <w:p w:rsidR="00704C1C" w:rsidRPr="00704C1C" w:rsidRDefault="00704C1C" w:rsidP="00704C1C">
      <w:pPr>
        <w:ind w:left="567"/>
        <w:jc w:val="both"/>
        <w:rPr>
          <w:rFonts w:ascii="Courier" w:hAnsi="Courier"/>
          <w:sz w:val="20"/>
          <w:szCs w:val="20"/>
        </w:rPr>
      </w:pPr>
      <w:r w:rsidRPr="00704C1C">
        <w:rPr>
          <w:rFonts w:ascii="Courier" w:hAnsi="Courier"/>
          <w:sz w:val="20"/>
          <w:szCs w:val="20"/>
        </w:rPr>
        <w:t>3)Establecimiento de un sistema de prevención de los delitos.</w:t>
      </w:r>
    </w:p>
    <w:p w:rsidR="00704C1C" w:rsidRPr="00704C1C" w:rsidRDefault="00704C1C" w:rsidP="00704C1C">
      <w:pPr>
        <w:ind w:left="567"/>
        <w:jc w:val="both"/>
        <w:rPr>
          <w:rFonts w:ascii="Courier" w:hAnsi="Courier"/>
          <w:sz w:val="20"/>
          <w:szCs w:val="20"/>
        </w:rPr>
      </w:pPr>
      <w:r w:rsidRPr="00704C1C">
        <w:rPr>
          <w:rFonts w:ascii="Courier" w:hAnsi="Courier"/>
          <w:sz w:val="20"/>
          <w:szCs w:val="20"/>
        </w:rPr>
        <w:t xml:space="preserve">     El encargado de prevención, en conjunto con la Administración de la Persona Jurídica, deberá establecer un sistema de prevención de los delitos para la persona jurídica, que deberá contemplar a lo menos lo siguiente:</w:t>
      </w:r>
    </w:p>
    <w:p w:rsidR="00704C1C" w:rsidRPr="00704C1C" w:rsidRDefault="00704C1C" w:rsidP="00704C1C">
      <w:pPr>
        <w:ind w:left="567"/>
        <w:jc w:val="both"/>
        <w:rPr>
          <w:rFonts w:ascii="Courier" w:hAnsi="Courier"/>
          <w:sz w:val="20"/>
          <w:szCs w:val="20"/>
        </w:rPr>
      </w:pPr>
      <w:r w:rsidRPr="00704C1C">
        <w:rPr>
          <w:rFonts w:ascii="Courier" w:hAnsi="Courier"/>
          <w:sz w:val="20"/>
          <w:szCs w:val="20"/>
        </w:rPr>
        <w:t xml:space="preserve">     a) La identificación de las actividades o procesos de la entidad, sean habituales o esporádicos, en cuyo contexto se genere o incremente el riesgo de comisión de los delitos señalados en el artículo 1°.</w:t>
      </w:r>
    </w:p>
    <w:p w:rsidR="00704C1C" w:rsidRPr="00704C1C" w:rsidRDefault="00704C1C" w:rsidP="00704C1C">
      <w:pPr>
        <w:ind w:left="567"/>
        <w:jc w:val="both"/>
        <w:rPr>
          <w:rFonts w:ascii="Courier" w:hAnsi="Courier"/>
          <w:sz w:val="20"/>
          <w:szCs w:val="20"/>
        </w:rPr>
      </w:pPr>
      <w:r w:rsidRPr="00704C1C">
        <w:rPr>
          <w:rFonts w:ascii="Courier" w:hAnsi="Courier"/>
          <w:sz w:val="20"/>
          <w:szCs w:val="20"/>
        </w:rPr>
        <w:t xml:space="preserve">     b) El establecimiento de protocolos, reglas y procedimientos específicos que permitan a las personas que intervengan en las actividades o procesos indicados en el literal anterior, programar y ejecutar sus tareas o labores de una manera que prevenga la comisión de los mencionados delitos.</w:t>
      </w:r>
    </w:p>
    <w:p w:rsidR="00704C1C" w:rsidRPr="00704C1C" w:rsidRDefault="00704C1C" w:rsidP="00704C1C">
      <w:pPr>
        <w:ind w:left="567"/>
        <w:jc w:val="both"/>
        <w:rPr>
          <w:rFonts w:ascii="Courier" w:hAnsi="Courier"/>
          <w:sz w:val="20"/>
          <w:szCs w:val="20"/>
        </w:rPr>
      </w:pPr>
      <w:r w:rsidRPr="00704C1C">
        <w:rPr>
          <w:rFonts w:ascii="Courier" w:hAnsi="Courier"/>
          <w:sz w:val="20"/>
          <w:szCs w:val="20"/>
        </w:rPr>
        <w:t xml:space="preserve">     c) La identificación de los procedimientos de administración y auditoría de los recursos financieros que permitan a la entidad prevenir su utilización en los delitos señalados.</w:t>
      </w:r>
    </w:p>
    <w:p w:rsidR="00704C1C" w:rsidRPr="00704C1C" w:rsidRDefault="00704C1C" w:rsidP="00704C1C">
      <w:pPr>
        <w:ind w:left="567"/>
        <w:jc w:val="both"/>
        <w:rPr>
          <w:rFonts w:ascii="Courier" w:hAnsi="Courier"/>
          <w:sz w:val="20"/>
          <w:szCs w:val="20"/>
        </w:rPr>
      </w:pPr>
      <w:r w:rsidRPr="00704C1C">
        <w:rPr>
          <w:rFonts w:ascii="Courier" w:hAnsi="Courier"/>
          <w:sz w:val="20"/>
          <w:szCs w:val="20"/>
        </w:rPr>
        <w:t xml:space="preserve">     d) La existencia de sanciones administrativas internas, así como de procedimientos de denuncia o persecución de responsabilidades pecuniarias en contra de las personas que incumplan el sistema de prevención de delitos.</w:t>
      </w:r>
    </w:p>
    <w:p w:rsidR="00704C1C" w:rsidRPr="00704C1C" w:rsidRDefault="00704C1C" w:rsidP="00704C1C">
      <w:pPr>
        <w:ind w:left="567"/>
        <w:jc w:val="both"/>
        <w:rPr>
          <w:rFonts w:ascii="Courier" w:hAnsi="Courier"/>
          <w:sz w:val="20"/>
          <w:szCs w:val="20"/>
        </w:rPr>
      </w:pPr>
      <w:r w:rsidRPr="00704C1C">
        <w:rPr>
          <w:rFonts w:ascii="Courier" w:hAnsi="Courier"/>
          <w:sz w:val="20"/>
          <w:szCs w:val="20"/>
        </w:rPr>
        <w:t xml:space="preserve">     Estas obligaciones, prohibiciones y sanciones internas deberán señalarse en los reglamentos que la persona jurídica dicte al efecto y deberán comunicarse a todos los trabajadores. Esta normativa interna deberá ser incorporada expresamente en los respectivos contratos de trabajo y de prestación de servicios de todos los trabajadores, empleados y prestadores de servicios de la persona jurídica, incluidos los máximos ejecutivos de la misma.</w:t>
      </w:r>
    </w:p>
    <w:p w:rsidR="00704C1C" w:rsidRPr="00704C1C" w:rsidRDefault="00704C1C" w:rsidP="00704C1C">
      <w:pPr>
        <w:ind w:left="567"/>
        <w:jc w:val="both"/>
        <w:rPr>
          <w:rFonts w:ascii="Courier" w:hAnsi="Courier"/>
          <w:sz w:val="20"/>
          <w:szCs w:val="20"/>
        </w:rPr>
      </w:pPr>
    </w:p>
    <w:p w:rsidR="00704C1C" w:rsidRPr="00704C1C" w:rsidRDefault="00704C1C" w:rsidP="00704C1C">
      <w:pPr>
        <w:ind w:left="567"/>
        <w:jc w:val="both"/>
        <w:rPr>
          <w:rFonts w:ascii="Courier" w:hAnsi="Courier"/>
          <w:sz w:val="20"/>
          <w:szCs w:val="20"/>
        </w:rPr>
      </w:pPr>
      <w:r w:rsidRPr="00704C1C">
        <w:rPr>
          <w:rFonts w:ascii="Courier" w:hAnsi="Courier"/>
          <w:sz w:val="20"/>
          <w:szCs w:val="20"/>
        </w:rPr>
        <w:t>4) Supervisión y certificación del sistema de prevención de los delitos.</w:t>
      </w:r>
    </w:p>
    <w:p w:rsidR="00704C1C" w:rsidRPr="00704C1C" w:rsidRDefault="00704C1C" w:rsidP="00704C1C">
      <w:pPr>
        <w:ind w:left="567"/>
        <w:jc w:val="both"/>
        <w:rPr>
          <w:rFonts w:ascii="Courier" w:hAnsi="Courier"/>
          <w:sz w:val="20"/>
          <w:szCs w:val="20"/>
        </w:rPr>
      </w:pPr>
      <w:r w:rsidRPr="00704C1C">
        <w:rPr>
          <w:rFonts w:ascii="Courier" w:hAnsi="Courier"/>
          <w:sz w:val="20"/>
          <w:szCs w:val="20"/>
        </w:rPr>
        <w:t xml:space="preserve">     a) El encargado de prevención, en conjunto con la Administración de la Persona Jurídica, deberá establecer métodos para la aplicación efectiva del modelo de prevención de los delitos y su supervisión a fin de detectar y corregir sus fallas, así como actualizarlo de acuerdo al cambio de circunstancias de la respectiva entidad.</w:t>
      </w:r>
    </w:p>
    <w:p w:rsidR="00704C1C" w:rsidRPr="00704C1C" w:rsidRDefault="00704C1C" w:rsidP="00704C1C">
      <w:pPr>
        <w:ind w:left="567"/>
        <w:jc w:val="both"/>
        <w:rPr>
          <w:rFonts w:ascii="Courier" w:hAnsi="Courier"/>
          <w:sz w:val="20"/>
          <w:szCs w:val="20"/>
        </w:rPr>
      </w:pPr>
      <w:r w:rsidRPr="00704C1C">
        <w:rPr>
          <w:rFonts w:ascii="Courier" w:hAnsi="Courier"/>
          <w:sz w:val="20"/>
          <w:szCs w:val="20"/>
        </w:rPr>
        <w:t xml:space="preserve">     b) Las personas jurídicas podrán obtener la certificación de la adopción e implementación de su modelo de prevención de delitos. En el certificado constará que dicho modelo contempla todos los requisitos establecidos en los numerales 1), 2) y 3) anteriores, en relación a la situación, tamaño, giro, nivel de ingresos y complejidad de la persona jurídica.</w:t>
      </w:r>
    </w:p>
    <w:p w:rsidR="00704C1C" w:rsidRPr="00704C1C" w:rsidRDefault="00704C1C" w:rsidP="00704C1C">
      <w:pPr>
        <w:ind w:left="567"/>
        <w:jc w:val="both"/>
        <w:rPr>
          <w:rFonts w:ascii="Courier" w:hAnsi="Courier"/>
          <w:sz w:val="20"/>
          <w:szCs w:val="20"/>
        </w:rPr>
      </w:pPr>
      <w:r w:rsidRPr="00704C1C">
        <w:rPr>
          <w:rFonts w:ascii="Courier" w:hAnsi="Courier"/>
          <w:sz w:val="20"/>
          <w:szCs w:val="20"/>
        </w:rPr>
        <w:t xml:space="preserve">     Los certificados podrán ser expedidos por empresas de auditoría externa, sociedades clasificadoras de riesgo u otras entidades registradas ante la Superintendencia de Valores y Seguros que puedan cumplir esta labor, de conformidad a la normativa que, para estos efectos, establezca el mencionado organismo fiscalizador.</w:t>
      </w:r>
    </w:p>
    <w:p w:rsidR="00704C1C" w:rsidRPr="00704C1C" w:rsidRDefault="00704C1C" w:rsidP="00704C1C">
      <w:pPr>
        <w:ind w:left="567"/>
        <w:jc w:val="both"/>
        <w:rPr>
          <w:rFonts w:ascii="Courier" w:hAnsi="Courier"/>
          <w:sz w:val="20"/>
          <w:szCs w:val="20"/>
        </w:rPr>
      </w:pPr>
      <w:r w:rsidRPr="00704C1C">
        <w:rPr>
          <w:rFonts w:ascii="Courier" w:hAnsi="Courier"/>
          <w:sz w:val="20"/>
          <w:szCs w:val="20"/>
        </w:rPr>
        <w:t xml:space="preserve">     c) Se entenderá que las personas naturales que participan en las actividades de certificación realizadas por las entidades señaladas en la letra anterior cumplen una función pública en los términos del artículo 260 del Código Penal.</w:t>
      </w:r>
    </w:p>
    <w:p w:rsidR="00704C1C" w:rsidRPr="00BD7358" w:rsidRDefault="00704C1C" w:rsidP="00BD7358">
      <w:pPr>
        <w:ind w:firstLine="708"/>
        <w:jc w:val="both"/>
        <w:outlineLvl w:val="5"/>
        <w:rPr>
          <w:rFonts w:ascii="Marion Regular" w:eastAsia="Times New Roman" w:hAnsi="Marion Regular" w:cs="Times New Roman"/>
          <w:lang w:val="es-CL"/>
        </w:rPr>
      </w:pPr>
    </w:p>
    <w:p w:rsidR="0055732D" w:rsidRPr="00265FD0" w:rsidRDefault="00704C1C" w:rsidP="00B80474">
      <w:pPr>
        <w:ind w:firstLine="708"/>
        <w:jc w:val="both"/>
        <w:rPr>
          <w:rFonts w:ascii="Georgia" w:hAnsi="Georgia"/>
          <w:sz w:val="23"/>
          <w:szCs w:val="23"/>
        </w:rPr>
      </w:pPr>
      <w:r w:rsidRPr="00265FD0">
        <w:rPr>
          <w:rFonts w:ascii="Georgia" w:hAnsi="Georgia"/>
          <w:sz w:val="23"/>
          <w:szCs w:val="23"/>
        </w:rPr>
        <w:t xml:space="preserve">Conocidos los graves hechos, en los cuales se han visto involucrados buses interurbanos, con trágicas consecuencias, han sido reveladores de diversas situaciones en las cuales se han descubierto una serie de hechos consistentes en falsificaciones de permisos de circulación y licencias, que pese a las tareas desarrolladas por el programa nacional de fiscalización no resultan suficientes, en el contexto de la seguridad del tránsito, especialmente en lo relativo a la fe pública, asociada en los documentos que demuestran la idoneidad técnica de las personas, así como los vehículos motorizados involucrados. </w:t>
      </w:r>
      <w:r w:rsidR="00584ACC" w:rsidRPr="00265FD0">
        <w:rPr>
          <w:rFonts w:ascii="Georgia" w:hAnsi="Georgia"/>
          <w:sz w:val="23"/>
          <w:szCs w:val="23"/>
        </w:rPr>
        <w:t xml:space="preserve">En este sentido, la última medición semestral sobre un total de 29.802 fiscalizaciones, señala aplicación de 4.944 multas con una tasa promedio de 26,5% de infracciones a las empresas de transporte, en un universo de más de cinco mil buses del parque autorizado. Precaviendo, las dificultades propias de un sistema basado en la fiscalización, resulta justificado adoptar un sistema de </w:t>
      </w:r>
      <w:r w:rsidR="00584ACC" w:rsidRPr="00265FD0">
        <w:rPr>
          <w:rFonts w:ascii="Georgia" w:hAnsi="Georgia"/>
          <w:i/>
          <w:sz w:val="23"/>
          <w:szCs w:val="23"/>
        </w:rPr>
        <w:t>auto responsabilidad</w:t>
      </w:r>
      <w:r w:rsidR="00584ACC" w:rsidRPr="00265FD0">
        <w:rPr>
          <w:rFonts w:ascii="Georgia" w:hAnsi="Georgia"/>
          <w:sz w:val="23"/>
          <w:szCs w:val="23"/>
        </w:rPr>
        <w:t xml:space="preserve"> en el caso de las conductas más graves que el ordenamiento jurídico reconoce. </w:t>
      </w:r>
    </w:p>
    <w:p w:rsidR="00E406BF" w:rsidRPr="00265FD0" w:rsidRDefault="00E406BF" w:rsidP="0055732D">
      <w:pPr>
        <w:jc w:val="both"/>
        <w:rPr>
          <w:rFonts w:ascii="Georgia" w:hAnsi="Georgia"/>
          <w:sz w:val="23"/>
          <w:szCs w:val="23"/>
        </w:rPr>
      </w:pPr>
    </w:p>
    <w:p w:rsidR="00584ACC" w:rsidRPr="00265FD0" w:rsidRDefault="00584ACC" w:rsidP="0055732D">
      <w:pPr>
        <w:jc w:val="both"/>
        <w:rPr>
          <w:rFonts w:ascii="Georgia" w:hAnsi="Georgia"/>
          <w:sz w:val="23"/>
          <w:szCs w:val="23"/>
        </w:rPr>
      </w:pPr>
    </w:p>
    <w:p w:rsidR="00265FD0" w:rsidRPr="0056195F" w:rsidRDefault="0055732D" w:rsidP="00265FD0">
      <w:pPr>
        <w:jc w:val="both"/>
        <w:rPr>
          <w:rFonts w:ascii="Georgia" w:eastAsia="Times New Roman" w:hAnsi="Georgia" w:cs="Times New Roman"/>
          <w:sz w:val="23"/>
          <w:szCs w:val="23"/>
          <w:lang w:val="es-CL"/>
        </w:rPr>
      </w:pPr>
      <w:r w:rsidRPr="0056195F">
        <w:rPr>
          <w:rFonts w:ascii="Georgia" w:hAnsi="Georgia"/>
          <w:b/>
          <w:sz w:val="23"/>
          <w:szCs w:val="23"/>
        </w:rPr>
        <w:t>2. Historia legislativa</w:t>
      </w:r>
      <w:r w:rsidR="00584ACC" w:rsidRPr="0056195F">
        <w:rPr>
          <w:rFonts w:ascii="Georgia" w:hAnsi="Georgia"/>
          <w:b/>
          <w:sz w:val="23"/>
          <w:szCs w:val="23"/>
        </w:rPr>
        <w:t xml:space="preserve"> y Derecho Comparado</w:t>
      </w:r>
      <w:r w:rsidRPr="0056195F">
        <w:rPr>
          <w:rFonts w:ascii="Georgia" w:hAnsi="Georgia"/>
          <w:b/>
          <w:sz w:val="23"/>
          <w:szCs w:val="23"/>
        </w:rPr>
        <w:t xml:space="preserve">. </w:t>
      </w:r>
      <w:r w:rsidR="00584ACC" w:rsidRPr="0056195F">
        <w:rPr>
          <w:rFonts w:ascii="Georgia" w:hAnsi="Georgia"/>
          <w:b/>
          <w:sz w:val="23"/>
          <w:szCs w:val="23"/>
        </w:rPr>
        <w:t xml:space="preserve"> </w:t>
      </w:r>
      <w:r w:rsidR="00584ACC" w:rsidRPr="0056195F">
        <w:rPr>
          <w:rFonts w:ascii="Georgia" w:eastAsia="Times New Roman" w:hAnsi="Georgia" w:cs="Times New Roman"/>
          <w:sz w:val="23"/>
          <w:szCs w:val="23"/>
          <w:lang w:val="es-CL"/>
        </w:rPr>
        <w:t xml:space="preserve">El día 20 de noviembre de 2018, se publica en el Diario Oficial la ley Nº21.121 que  en su artículo 2º modifica la ley 20.393 sobre responsabilidad penal de las personas jurídicas incorporando una </w:t>
      </w:r>
      <w:r w:rsidR="00584ACC" w:rsidRPr="0056195F">
        <w:rPr>
          <w:rFonts w:ascii="Georgia" w:eastAsia="Times New Roman" w:hAnsi="Georgia" w:cs="Times New Roman"/>
          <w:b/>
          <w:sz w:val="23"/>
          <w:szCs w:val="23"/>
          <w:lang w:val="es-CL"/>
        </w:rPr>
        <w:t>ampliación de los delitos</w:t>
      </w:r>
      <w:r w:rsidR="00584ACC" w:rsidRPr="0056195F">
        <w:rPr>
          <w:rFonts w:ascii="Georgia" w:eastAsia="Times New Roman" w:hAnsi="Georgia" w:cs="Times New Roman"/>
          <w:sz w:val="23"/>
          <w:szCs w:val="23"/>
          <w:lang w:val="es-CL"/>
        </w:rPr>
        <w:t xml:space="preserve"> que pueden dar lugar a la imputación del ente, luego nuevamente ampliado por la ley Nº21.132 en materia de delitos de contaminación de aguas, entre otros. </w:t>
      </w:r>
      <w:r w:rsidR="00265FD0" w:rsidRPr="0056195F">
        <w:rPr>
          <w:rFonts w:ascii="Georgia" w:hAnsi="Georgia" w:cs="Arial"/>
          <w:sz w:val="23"/>
          <w:szCs w:val="23"/>
        </w:rPr>
        <w:t xml:space="preserve">Desde el punto de vista de la </w:t>
      </w:r>
      <w:r w:rsidR="00265FD0" w:rsidRPr="0056195F">
        <w:rPr>
          <w:rFonts w:ascii="Georgia" w:hAnsi="Georgia" w:cs="Arial"/>
          <w:i/>
          <w:sz w:val="23"/>
          <w:szCs w:val="23"/>
        </w:rPr>
        <w:t>reacción penal</w:t>
      </w:r>
      <w:r w:rsidR="00265FD0" w:rsidRPr="0056195F">
        <w:rPr>
          <w:rFonts w:ascii="Georgia" w:hAnsi="Georgia" w:cs="Arial"/>
          <w:sz w:val="23"/>
          <w:szCs w:val="23"/>
        </w:rPr>
        <w:t xml:space="preserve">, se </w:t>
      </w:r>
      <w:r w:rsidR="00265FD0" w:rsidRPr="0056195F">
        <w:rPr>
          <w:rFonts w:ascii="Georgia" w:hAnsi="Georgia" w:cs="Arial"/>
          <w:i/>
          <w:sz w:val="23"/>
          <w:szCs w:val="23"/>
        </w:rPr>
        <w:t>aumentan la multas</w:t>
      </w:r>
      <w:r w:rsidR="00265FD0" w:rsidRPr="0056195F">
        <w:rPr>
          <w:rFonts w:ascii="Georgia" w:hAnsi="Georgia" w:cs="Arial"/>
          <w:sz w:val="23"/>
          <w:szCs w:val="23"/>
        </w:rPr>
        <w:t xml:space="preserve"> existentes, es decir, el  tramo global vigente de $.9.632.000 a $963.200.000 millones, se incrementa la reforma de $19.264.000 a $</w:t>
      </w:r>
      <w:r w:rsidR="0056195F" w:rsidRPr="0056195F">
        <w:rPr>
          <w:rFonts w:ascii="Georgia" w:hAnsi="Georgia" w:cs="Arial"/>
          <w:sz w:val="23"/>
          <w:szCs w:val="23"/>
        </w:rPr>
        <w:t>14.448.000.000 millones (US$22 millones</w:t>
      </w:r>
      <w:r w:rsidR="00265FD0" w:rsidRPr="0056195F">
        <w:rPr>
          <w:rFonts w:ascii="Georgia" w:hAnsi="Georgia" w:cs="Arial"/>
          <w:sz w:val="23"/>
          <w:szCs w:val="23"/>
        </w:rPr>
        <w:t xml:space="preserve"> aproximadamente). Se amplía la posibilidad de aplicar la </w:t>
      </w:r>
      <w:r w:rsidR="00265FD0" w:rsidRPr="0056195F">
        <w:rPr>
          <w:rFonts w:ascii="Georgia" w:hAnsi="Georgia" w:cs="Arial"/>
          <w:i/>
          <w:sz w:val="23"/>
          <w:szCs w:val="23"/>
        </w:rPr>
        <w:t>pena de disolución y cancelación</w:t>
      </w:r>
      <w:r w:rsidR="00265FD0" w:rsidRPr="0056195F">
        <w:rPr>
          <w:rFonts w:ascii="Georgia" w:hAnsi="Georgia" w:cs="Arial"/>
          <w:sz w:val="23"/>
          <w:szCs w:val="23"/>
        </w:rPr>
        <w:t xml:space="preserve"> de la personalidad jurídica (equivalente a la pena de muerte para la empresa), no sólo a los casos de crímenes (financiamiento al terrorismo) sino que se incorpora a </w:t>
      </w:r>
      <w:r w:rsidR="00265FD0" w:rsidRPr="0056195F">
        <w:rPr>
          <w:rFonts w:ascii="Georgia" w:hAnsi="Georgia" w:cs="Arial"/>
          <w:i/>
          <w:sz w:val="23"/>
          <w:szCs w:val="23"/>
        </w:rPr>
        <w:t>simples delitos</w:t>
      </w:r>
      <w:r w:rsidR="00265FD0" w:rsidRPr="0056195F">
        <w:rPr>
          <w:rFonts w:ascii="Georgia" w:hAnsi="Georgia" w:cs="Arial"/>
          <w:sz w:val="23"/>
          <w:szCs w:val="23"/>
        </w:rPr>
        <w:t xml:space="preserve"> (cohecho, corrupción entre privados) siempre que exista </w:t>
      </w:r>
      <w:r w:rsidR="00265FD0" w:rsidRPr="0056195F">
        <w:rPr>
          <w:rFonts w:ascii="Georgia" w:hAnsi="Georgia" w:cs="Arial"/>
          <w:i/>
          <w:sz w:val="23"/>
          <w:szCs w:val="23"/>
        </w:rPr>
        <w:t>reiteración</w:t>
      </w:r>
      <w:r w:rsidR="00265FD0" w:rsidRPr="0056195F">
        <w:rPr>
          <w:rFonts w:ascii="Georgia" w:hAnsi="Georgia" w:cs="Arial"/>
          <w:sz w:val="23"/>
          <w:szCs w:val="23"/>
        </w:rPr>
        <w:t xml:space="preserve"> de la conducta (cometer dos o más delitos), y haber sido condenado los 5 años anteriores por el mismo delito (</w:t>
      </w:r>
      <w:r w:rsidR="00265FD0" w:rsidRPr="0056195F">
        <w:rPr>
          <w:rFonts w:ascii="Georgia" w:hAnsi="Georgia" w:cs="Arial"/>
          <w:i/>
          <w:sz w:val="23"/>
          <w:szCs w:val="23"/>
        </w:rPr>
        <w:t>reincidencia</w:t>
      </w:r>
      <w:r w:rsidR="00265FD0" w:rsidRPr="0056195F">
        <w:rPr>
          <w:rFonts w:ascii="Georgia" w:hAnsi="Georgia" w:cs="Arial"/>
          <w:sz w:val="23"/>
          <w:szCs w:val="23"/>
        </w:rPr>
        <w:t xml:space="preserve">). En materia de </w:t>
      </w:r>
      <w:r w:rsidR="00265FD0" w:rsidRPr="0056195F">
        <w:rPr>
          <w:rFonts w:ascii="Georgia" w:hAnsi="Georgia" w:cs="Arial"/>
          <w:i/>
          <w:sz w:val="23"/>
          <w:szCs w:val="23"/>
        </w:rPr>
        <w:t>comiso</w:t>
      </w:r>
      <w:r w:rsidR="00265FD0" w:rsidRPr="0056195F">
        <w:rPr>
          <w:rFonts w:ascii="Georgia" w:hAnsi="Georgia" w:cs="Arial"/>
          <w:sz w:val="23"/>
          <w:szCs w:val="23"/>
        </w:rPr>
        <w:t xml:space="preserve">, es decir, la pérdida de los efectos provenientes del delito, en caso que no sea posible incautar el producto del delito o los bienes o efectos (dineros) </w:t>
      </w:r>
      <w:r w:rsidR="00265FD0" w:rsidRPr="0056195F">
        <w:rPr>
          <w:rFonts w:ascii="Georgia" w:hAnsi="Georgia" w:cs="Arial"/>
          <w:b/>
          <w:sz w:val="23"/>
          <w:szCs w:val="23"/>
        </w:rPr>
        <w:t xml:space="preserve">se autoriza a decomisar la suma equivalente en dinero y </w:t>
      </w:r>
      <w:r w:rsidR="00265FD0" w:rsidRPr="0056195F">
        <w:rPr>
          <w:rFonts w:ascii="Georgia" w:eastAsiaTheme="minorHAnsi" w:hAnsi="Georgia"/>
          <w:sz w:val="23"/>
          <w:szCs w:val="23"/>
          <w:lang w:val="es-CL" w:eastAsia="en-US"/>
        </w:rPr>
        <w:t xml:space="preserve">establece una ampliación para la pena de </w:t>
      </w:r>
      <w:r w:rsidR="00265FD0" w:rsidRPr="0056195F">
        <w:rPr>
          <w:rFonts w:ascii="Georgia" w:eastAsiaTheme="minorHAnsi" w:hAnsi="Georgia"/>
          <w:i/>
          <w:sz w:val="23"/>
          <w:szCs w:val="23"/>
          <w:lang w:val="es-CL" w:eastAsia="en-US"/>
        </w:rPr>
        <w:t>prohibición de contratar con el estado</w:t>
      </w:r>
      <w:r w:rsidR="00265FD0" w:rsidRPr="0056195F">
        <w:rPr>
          <w:rFonts w:ascii="Georgia" w:eastAsiaTheme="minorHAnsi" w:hAnsi="Georgia"/>
          <w:sz w:val="23"/>
          <w:szCs w:val="23"/>
          <w:lang w:val="es-CL" w:eastAsia="en-US"/>
        </w:rPr>
        <w:t xml:space="preserve"> no sólo como proveedor de bienes y servicios, </w:t>
      </w:r>
      <w:r w:rsidR="00265FD0" w:rsidRPr="0056195F">
        <w:rPr>
          <w:rFonts w:ascii="Georgia" w:hAnsi="Georgia" w:cs="Arial"/>
          <w:sz w:val="23"/>
          <w:szCs w:val="23"/>
        </w:rPr>
        <w:t>sino a cualquier contrato con órganos o empresas del Estado. También se extiende a cualquier concesión otorgada</w:t>
      </w:r>
      <w:r w:rsidR="00265FD0" w:rsidRPr="0056195F">
        <w:rPr>
          <w:rFonts w:ascii="Georgia" w:eastAsiaTheme="minorHAnsi" w:hAnsi="Georgia"/>
          <w:sz w:val="23"/>
          <w:szCs w:val="23"/>
          <w:lang w:val="es-CL" w:eastAsia="en-US"/>
        </w:rPr>
        <w:t>.</w:t>
      </w:r>
    </w:p>
    <w:p w:rsidR="00265FD0" w:rsidRPr="0056195F" w:rsidRDefault="00265FD0" w:rsidP="00584ACC">
      <w:pPr>
        <w:jc w:val="both"/>
        <w:rPr>
          <w:rFonts w:ascii="Georgia" w:hAnsi="Georgia"/>
          <w:b/>
          <w:sz w:val="23"/>
          <w:szCs w:val="23"/>
        </w:rPr>
      </w:pPr>
    </w:p>
    <w:p w:rsidR="0055732D" w:rsidRPr="0056195F" w:rsidRDefault="0055732D" w:rsidP="00265FD0">
      <w:pPr>
        <w:ind w:firstLine="708"/>
        <w:jc w:val="both"/>
        <w:rPr>
          <w:rFonts w:ascii="Georgia" w:hAnsi="Georgia"/>
          <w:b/>
          <w:sz w:val="23"/>
          <w:szCs w:val="23"/>
        </w:rPr>
      </w:pPr>
      <w:r w:rsidRPr="0056195F">
        <w:rPr>
          <w:rFonts w:ascii="Georgia" w:hAnsi="Georgia"/>
          <w:sz w:val="23"/>
          <w:szCs w:val="23"/>
        </w:rPr>
        <w:t xml:space="preserve">Una tendencia </w:t>
      </w:r>
      <w:r w:rsidR="00584ACC" w:rsidRPr="0056195F">
        <w:rPr>
          <w:rFonts w:ascii="Georgia" w:hAnsi="Georgia"/>
          <w:sz w:val="23"/>
          <w:szCs w:val="23"/>
        </w:rPr>
        <w:t xml:space="preserve">por el sistema de la </w:t>
      </w:r>
      <w:proofErr w:type="spellStart"/>
      <w:r w:rsidR="00584ACC" w:rsidRPr="0056195F">
        <w:rPr>
          <w:rFonts w:ascii="Georgia" w:hAnsi="Georgia"/>
          <w:i/>
          <w:sz w:val="23"/>
          <w:szCs w:val="23"/>
        </w:rPr>
        <w:t>autoregulació</w:t>
      </w:r>
      <w:r w:rsidR="00584ACC" w:rsidRPr="0056195F">
        <w:rPr>
          <w:rFonts w:ascii="Georgia" w:hAnsi="Georgia"/>
          <w:sz w:val="23"/>
          <w:szCs w:val="23"/>
        </w:rPr>
        <w:t>n</w:t>
      </w:r>
      <w:proofErr w:type="spellEnd"/>
      <w:r w:rsidR="00584ACC" w:rsidRPr="0056195F">
        <w:rPr>
          <w:rFonts w:ascii="Georgia" w:hAnsi="Georgia"/>
          <w:sz w:val="23"/>
          <w:szCs w:val="23"/>
        </w:rPr>
        <w:t xml:space="preserve"> asoma en EE.UU, Australia, Reino Unido, Nueva Zelanda, Bé</w:t>
      </w:r>
      <w:r w:rsidR="0056195F" w:rsidRPr="0056195F">
        <w:rPr>
          <w:rFonts w:ascii="Georgia" w:hAnsi="Georgia"/>
          <w:sz w:val="23"/>
          <w:szCs w:val="23"/>
        </w:rPr>
        <w:t>l</w:t>
      </w:r>
      <w:r w:rsidR="00584ACC" w:rsidRPr="0056195F">
        <w:rPr>
          <w:rFonts w:ascii="Georgia" w:hAnsi="Georgia"/>
          <w:sz w:val="23"/>
          <w:szCs w:val="23"/>
        </w:rPr>
        <w:t xml:space="preserve">gica España, con matices en el sentido que se excluye la imputación cuando ha existido la diligencia debida o como en el último caso, en que se exime de responsabilidad por el hecho de adoptar un modelo organizativo </w:t>
      </w:r>
      <w:r w:rsidR="00584ACC" w:rsidRPr="0056195F">
        <w:rPr>
          <w:rFonts w:ascii="Georgia" w:hAnsi="Georgia"/>
          <w:i/>
          <w:sz w:val="23"/>
          <w:szCs w:val="23"/>
        </w:rPr>
        <w:t xml:space="preserve">adecuado, </w:t>
      </w:r>
      <w:r w:rsidR="00584ACC" w:rsidRPr="0056195F">
        <w:rPr>
          <w:rFonts w:ascii="Georgia" w:hAnsi="Georgia"/>
          <w:sz w:val="23"/>
          <w:szCs w:val="23"/>
        </w:rPr>
        <w:t xml:space="preserve">inspirado  en buena parte por el sistema italiano. </w:t>
      </w:r>
    </w:p>
    <w:p w:rsidR="0055732D" w:rsidRPr="0056195F" w:rsidRDefault="0055732D" w:rsidP="0055732D">
      <w:pPr>
        <w:rPr>
          <w:rFonts w:ascii="Georgia" w:hAnsi="Georgia"/>
          <w:b/>
        </w:rPr>
      </w:pPr>
    </w:p>
    <w:p w:rsidR="00265FD0" w:rsidRPr="0056195F" w:rsidRDefault="00265FD0" w:rsidP="00704C1C">
      <w:pPr>
        <w:jc w:val="both"/>
        <w:rPr>
          <w:rFonts w:ascii="Georgia" w:hAnsi="Georgia"/>
          <w:b/>
        </w:rPr>
      </w:pPr>
    </w:p>
    <w:p w:rsidR="007D780D" w:rsidRDefault="0055732D" w:rsidP="00704C1C">
      <w:pPr>
        <w:jc w:val="both"/>
        <w:rPr>
          <w:rFonts w:ascii="Georgia" w:hAnsi="Georgia"/>
        </w:rPr>
      </w:pPr>
      <w:r w:rsidRPr="0056195F">
        <w:rPr>
          <w:rFonts w:ascii="Georgia" w:hAnsi="Georgia"/>
          <w:b/>
        </w:rPr>
        <w:t>3. Ideas matrices.-</w:t>
      </w:r>
      <w:r w:rsidRPr="0056195F">
        <w:rPr>
          <w:rFonts w:ascii="Georgia" w:hAnsi="Georgia"/>
        </w:rPr>
        <w:t xml:space="preserve"> Mediante la presente moción, </w:t>
      </w:r>
      <w:r w:rsidR="0056195F">
        <w:rPr>
          <w:rFonts w:ascii="Georgia" w:hAnsi="Georgia"/>
        </w:rPr>
        <w:t>se propone ampliar el catálogo</w:t>
      </w:r>
      <w:r w:rsidR="00E7199B">
        <w:rPr>
          <w:rFonts w:ascii="Georgia" w:hAnsi="Georgia"/>
        </w:rPr>
        <w:t xml:space="preserve"> de delitos previstos en la ley Nº20.393, específicamente, en aquellos que existe una vinculación con delitos que estructuralmente lesionan la </w:t>
      </w:r>
      <w:proofErr w:type="spellStart"/>
      <w:r w:rsidR="00E7199B" w:rsidRPr="007D780D">
        <w:rPr>
          <w:rFonts w:ascii="Georgia" w:hAnsi="Georgia"/>
          <w:i/>
        </w:rPr>
        <w:t>fé</w:t>
      </w:r>
      <w:proofErr w:type="spellEnd"/>
      <w:r w:rsidR="00E7199B" w:rsidRPr="007D780D">
        <w:rPr>
          <w:rFonts w:ascii="Georgia" w:hAnsi="Georgia"/>
          <w:i/>
        </w:rPr>
        <w:t xml:space="preserve"> pública</w:t>
      </w:r>
      <w:r w:rsidR="00E7199B">
        <w:rPr>
          <w:rFonts w:ascii="Georgia" w:hAnsi="Georgia"/>
        </w:rPr>
        <w:t>, conllevan una serie de consecuencias, en la seguridad del tránsito</w:t>
      </w:r>
      <w:r w:rsidR="007D780D">
        <w:rPr>
          <w:rFonts w:ascii="Georgia" w:hAnsi="Georgia"/>
        </w:rPr>
        <w:t xml:space="preserve"> por las empresas que desarrollan el transporte público</w:t>
      </w:r>
      <w:r w:rsidR="00E7199B">
        <w:rPr>
          <w:rFonts w:ascii="Georgia" w:hAnsi="Georgia"/>
        </w:rPr>
        <w:t xml:space="preserve">, al simular </w:t>
      </w:r>
      <w:r w:rsidR="007D780D">
        <w:rPr>
          <w:rFonts w:ascii="Georgia" w:hAnsi="Georgia"/>
        </w:rPr>
        <w:t xml:space="preserve"> mediante documentos falsos, </w:t>
      </w:r>
      <w:r w:rsidR="00E7199B">
        <w:rPr>
          <w:rFonts w:ascii="Georgia" w:hAnsi="Georgia"/>
        </w:rPr>
        <w:t xml:space="preserve">condiciones técnicas </w:t>
      </w:r>
      <w:r w:rsidR="007D780D">
        <w:rPr>
          <w:rFonts w:ascii="Georgia" w:hAnsi="Georgia"/>
        </w:rPr>
        <w:t xml:space="preserve">idóneas. Se trata, en definitiva </w:t>
      </w:r>
      <w:r w:rsidR="00E7199B">
        <w:rPr>
          <w:rFonts w:ascii="Georgia" w:hAnsi="Georgia"/>
        </w:rPr>
        <w:t>de los delitos previstos en la ley de transito terrestre previsto en el art. 192 que dispone una serie de delitos especial</w:t>
      </w:r>
      <w:r w:rsidR="007D780D">
        <w:rPr>
          <w:rFonts w:ascii="Georgia" w:hAnsi="Georgia"/>
        </w:rPr>
        <w:t>es</w:t>
      </w:r>
      <w:r w:rsidR="00E7199B">
        <w:rPr>
          <w:rFonts w:ascii="Georgia" w:hAnsi="Georgia"/>
        </w:rPr>
        <w:t xml:space="preserve"> de falsedad, </w:t>
      </w:r>
      <w:r w:rsidR="007D780D">
        <w:rPr>
          <w:rFonts w:ascii="Georgia" w:hAnsi="Georgia"/>
        </w:rPr>
        <w:t>asimismo,</w:t>
      </w:r>
      <w:r w:rsidR="00E7199B">
        <w:rPr>
          <w:rFonts w:ascii="Georgia" w:hAnsi="Georgia"/>
        </w:rPr>
        <w:t xml:space="preserve"> se </w:t>
      </w:r>
      <w:r w:rsidR="007D780D">
        <w:rPr>
          <w:rFonts w:ascii="Georgia" w:hAnsi="Georgia"/>
        </w:rPr>
        <w:t>amplía</w:t>
      </w:r>
      <w:r w:rsidR="00E7199B">
        <w:rPr>
          <w:rFonts w:ascii="Georgia" w:hAnsi="Georgia"/>
        </w:rPr>
        <w:t xml:space="preserve"> a los delitos de falsifica</w:t>
      </w:r>
      <w:r w:rsidR="007D780D">
        <w:rPr>
          <w:rFonts w:ascii="Georgia" w:hAnsi="Georgia"/>
        </w:rPr>
        <w:t xml:space="preserve">ción de instrumento público cometido por el </w:t>
      </w:r>
      <w:r w:rsidR="00E7199B">
        <w:rPr>
          <w:rFonts w:ascii="Georgia" w:hAnsi="Georgia"/>
        </w:rPr>
        <w:t>particular, el uso de instrumento público y privado falso, y ciertas hipótesis delictivas en el ám</w:t>
      </w:r>
      <w:r w:rsidR="007D780D">
        <w:rPr>
          <w:rFonts w:ascii="Georgia" w:hAnsi="Georgia"/>
        </w:rPr>
        <w:t xml:space="preserve">bito de los delitos imprudentes, como puede ocurrir, v. gr., </w:t>
      </w:r>
      <w:r w:rsidR="00E7199B">
        <w:rPr>
          <w:rFonts w:ascii="Georgia" w:hAnsi="Georgia"/>
        </w:rPr>
        <w:t xml:space="preserve">en el caso de someter a choferes a turnos extenuantes </w:t>
      </w:r>
      <w:r w:rsidR="007D780D">
        <w:rPr>
          <w:rFonts w:ascii="Georgia" w:hAnsi="Georgia"/>
        </w:rPr>
        <w:t xml:space="preserve">en la conducción, </w:t>
      </w:r>
      <w:r w:rsidR="00E7199B">
        <w:rPr>
          <w:rFonts w:ascii="Georgia" w:hAnsi="Georgia"/>
        </w:rPr>
        <w:t xml:space="preserve">sin cumplir con la normativa laboral vigente. </w:t>
      </w:r>
    </w:p>
    <w:p w:rsidR="007D780D" w:rsidRDefault="007D780D" w:rsidP="00704C1C">
      <w:pPr>
        <w:jc w:val="both"/>
        <w:rPr>
          <w:rFonts w:ascii="Georgia" w:hAnsi="Georgia"/>
        </w:rPr>
      </w:pPr>
    </w:p>
    <w:p w:rsidR="00E0647C" w:rsidRPr="0056195F" w:rsidRDefault="007D780D" w:rsidP="007D780D">
      <w:pPr>
        <w:ind w:firstLine="708"/>
        <w:jc w:val="both"/>
        <w:rPr>
          <w:rFonts w:ascii="Georgia" w:hAnsi="Georgia"/>
        </w:rPr>
      </w:pPr>
      <w:r>
        <w:rPr>
          <w:rFonts w:ascii="Georgia" w:hAnsi="Georgia"/>
        </w:rPr>
        <w:t>Aquí subyace la justificación de la presente moción</w:t>
      </w:r>
      <w:r w:rsidR="00E7199B">
        <w:rPr>
          <w:rFonts w:ascii="Georgia" w:hAnsi="Georgia"/>
        </w:rPr>
        <w:t xml:space="preserve">, especialmente, en el caso de las empresas que se han visto involucradas en delitos que lesionan la </w:t>
      </w:r>
      <w:proofErr w:type="spellStart"/>
      <w:r w:rsidR="00E7199B" w:rsidRPr="007D780D">
        <w:rPr>
          <w:rFonts w:ascii="Georgia" w:hAnsi="Georgia"/>
          <w:i/>
        </w:rPr>
        <w:t>fé</w:t>
      </w:r>
      <w:proofErr w:type="spellEnd"/>
      <w:r w:rsidR="00E7199B" w:rsidRPr="007D780D">
        <w:rPr>
          <w:rFonts w:ascii="Georgia" w:hAnsi="Georgia"/>
          <w:i/>
        </w:rPr>
        <w:t xml:space="preserve"> publica</w:t>
      </w:r>
      <w:r w:rsidR="00E7199B">
        <w:rPr>
          <w:rFonts w:ascii="Georgia" w:hAnsi="Georgia"/>
        </w:rPr>
        <w:t xml:space="preserve">, </w:t>
      </w:r>
      <w:r>
        <w:rPr>
          <w:rFonts w:ascii="Georgia" w:hAnsi="Georgia"/>
        </w:rPr>
        <w:t xml:space="preserve">con graves consecuencias a las personas. En consecuencia, por aplicación del sistema de la ley Nº20.393, su énfasis es precisamente </w:t>
      </w:r>
      <w:r w:rsidRPr="007D780D">
        <w:rPr>
          <w:rFonts w:ascii="Georgia" w:hAnsi="Georgia"/>
          <w:i/>
        </w:rPr>
        <w:t>preventivo</w:t>
      </w:r>
      <w:r>
        <w:rPr>
          <w:rFonts w:ascii="Georgia" w:hAnsi="Georgia"/>
        </w:rPr>
        <w:t xml:space="preserve">, pues como se ha sostenido “el diseño e implementación de un modelo de prevención efectivo, </w:t>
      </w:r>
      <w:r>
        <w:rPr>
          <w:rFonts w:ascii="Georgia" w:hAnsi="Georgia"/>
        </w:rPr>
        <w:lastRenderedPageBreak/>
        <w:t>esto es apto tanto en abstracto como en su forma concreta para evitar la comisión de delitos, se transforma en una exigencia corporativa fundamental”</w:t>
      </w:r>
      <w:r>
        <w:rPr>
          <w:rStyle w:val="Refdenotaalpie"/>
          <w:rFonts w:ascii="Georgia" w:hAnsi="Georgia"/>
        </w:rPr>
        <w:footnoteReference w:id="4"/>
      </w:r>
      <w:r>
        <w:rPr>
          <w:rFonts w:ascii="Georgia" w:hAnsi="Georgia"/>
        </w:rPr>
        <w:t xml:space="preserve">. </w:t>
      </w:r>
      <w:r w:rsidR="00E7199B">
        <w:rPr>
          <w:rFonts w:ascii="Georgia" w:hAnsi="Georgia"/>
        </w:rPr>
        <w:t xml:space="preserve"> </w:t>
      </w:r>
    </w:p>
    <w:p w:rsidR="00972E99" w:rsidRPr="0056195F" w:rsidRDefault="00972E99" w:rsidP="00972E99">
      <w:pPr>
        <w:jc w:val="both"/>
        <w:rPr>
          <w:rFonts w:ascii="Georgia" w:hAnsi="Georgia" w:cs="Arial"/>
          <w:b/>
          <w:bCs/>
          <w:lang w:val="es-ES"/>
        </w:rPr>
      </w:pPr>
    </w:p>
    <w:p w:rsidR="00972E99" w:rsidRPr="0056195F" w:rsidRDefault="00972E99" w:rsidP="00972E99">
      <w:pPr>
        <w:ind w:firstLine="720"/>
        <w:rPr>
          <w:rFonts w:ascii="Georgia" w:hAnsi="Georgia"/>
        </w:rPr>
      </w:pPr>
      <w:r w:rsidRPr="0056195F">
        <w:rPr>
          <w:rFonts w:ascii="Georgia" w:hAnsi="Georgia"/>
        </w:rPr>
        <w:t>Es por eso, que sobre la base de estos antecedentes vengo en proponer a esta H. Cámara el siguiente:</w:t>
      </w:r>
    </w:p>
    <w:p w:rsidR="00972E99" w:rsidRPr="00891D40" w:rsidRDefault="00972E99" w:rsidP="00972E99">
      <w:pPr>
        <w:rPr>
          <w:rFonts w:ascii="Georgia" w:hAnsi="Georgia"/>
          <w:sz w:val="22"/>
        </w:rPr>
      </w:pPr>
    </w:p>
    <w:p w:rsidR="00972E99" w:rsidRPr="00891D40" w:rsidRDefault="00972E99" w:rsidP="00972E99">
      <w:pPr>
        <w:rPr>
          <w:rFonts w:ascii="Georgia" w:hAnsi="Georgia"/>
          <w:sz w:val="22"/>
        </w:rPr>
      </w:pPr>
    </w:p>
    <w:p w:rsidR="00972E99" w:rsidRPr="00891D40" w:rsidRDefault="00972E99" w:rsidP="00972E99">
      <w:pPr>
        <w:jc w:val="center"/>
        <w:outlineLvl w:val="0"/>
        <w:rPr>
          <w:rFonts w:ascii="Georgia" w:hAnsi="Georgia"/>
          <w:i/>
          <w:sz w:val="22"/>
        </w:rPr>
      </w:pPr>
      <w:r w:rsidRPr="00891D40">
        <w:rPr>
          <w:rFonts w:ascii="Georgia" w:hAnsi="Georgia"/>
          <w:i/>
          <w:sz w:val="22"/>
        </w:rPr>
        <w:t>Proyecto de ley</w:t>
      </w:r>
    </w:p>
    <w:p w:rsidR="00E406BF" w:rsidRDefault="00E406BF" w:rsidP="0055732D">
      <w:pPr>
        <w:rPr>
          <w:rFonts w:ascii="Georgia" w:hAnsi="Georgia"/>
        </w:rPr>
      </w:pPr>
    </w:p>
    <w:p w:rsidR="00E406BF" w:rsidRPr="00E406BF" w:rsidRDefault="00E406BF" w:rsidP="0055732D">
      <w:pPr>
        <w:rPr>
          <w:rFonts w:ascii="Courier" w:hAnsi="Courier"/>
          <w:b/>
        </w:rPr>
      </w:pPr>
    </w:p>
    <w:p w:rsidR="00B21606" w:rsidRPr="0056195F" w:rsidRDefault="00E406BF" w:rsidP="00B21606">
      <w:pPr>
        <w:pStyle w:val="NormalWeb"/>
        <w:spacing w:before="0" w:beforeAutospacing="0" w:after="0" w:afterAutospacing="0" w:line="276" w:lineRule="atLeast"/>
        <w:jc w:val="both"/>
        <w:rPr>
          <w:rFonts w:ascii="Georgia" w:hAnsi="Georgia"/>
          <w:color w:val="000000"/>
          <w:sz w:val="24"/>
          <w:szCs w:val="24"/>
        </w:rPr>
      </w:pPr>
      <w:r w:rsidRPr="0056195F">
        <w:rPr>
          <w:rFonts w:ascii="Georgia" w:hAnsi="Georgia"/>
          <w:b/>
          <w:sz w:val="24"/>
          <w:szCs w:val="24"/>
        </w:rPr>
        <w:t xml:space="preserve">Art. Único. Para </w:t>
      </w:r>
      <w:r w:rsidR="00B21606" w:rsidRPr="0056195F">
        <w:rPr>
          <w:rFonts w:ascii="Georgia" w:hAnsi="Georgia"/>
          <w:color w:val="000000"/>
          <w:sz w:val="24"/>
          <w:szCs w:val="24"/>
        </w:rPr>
        <w:t>Para modificar el inciso primero del art. 1º de la Ley Nº20.393, en el siguiente sentido:</w:t>
      </w:r>
    </w:p>
    <w:p w:rsidR="00B21606" w:rsidRDefault="00B21606" w:rsidP="00B21606">
      <w:pPr>
        <w:pStyle w:val="NormalWeb"/>
        <w:spacing w:before="0" w:beforeAutospacing="0" w:after="0" w:afterAutospacing="0" w:line="276" w:lineRule="atLeast"/>
        <w:rPr>
          <w:rFonts w:ascii="Palatino Linotype" w:hAnsi="Palatino Linotype"/>
          <w:color w:val="000000"/>
          <w:sz w:val="24"/>
          <w:szCs w:val="24"/>
        </w:rPr>
      </w:pPr>
    </w:p>
    <w:p w:rsidR="00B21606" w:rsidRPr="0056195F" w:rsidRDefault="00B21606" w:rsidP="0056195F">
      <w:pPr>
        <w:jc w:val="both"/>
        <w:rPr>
          <w:rFonts w:ascii="Courier" w:hAnsi="Courier" w:cs="Times New Roman"/>
          <w:sz w:val="22"/>
          <w:szCs w:val="22"/>
          <w:shd w:val="clear" w:color="auto" w:fill="FFFFFF"/>
          <w:lang w:val="es-CL"/>
        </w:rPr>
      </w:pPr>
      <w:r w:rsidRPr="0056195F">
        <w:rPr>
          <w:rFonts w:ascii="Courier" w:hAnsi="Courier" w:cs="Times New Roman"/>
          <w:sz w:val="22"/>
          <w:szCs w:val="22"/>
          <w:lang w:val="es-CL"/>
        </w:rPr>
        <w:t xml:space="preserve">1) </w:t>
      </w:r>
      <w:r w:rsidRPr="0056195F">
        <w:rPr>
          <w:rFonts w:ascii="Courier" w:hAnsi="Courier" w:cs="Times New Roman"/>
          <w:sz w:val="22"/>
          <w:szCs w:val="22"/>
          <w:shd w:val="clear" w:color="auto" w:fill="FFFFFF"/>
          <w:lang w:val="es-CL"/>
        </w:rPr>
        <w:t>Para agregar a continuación del guarismo “18.314”, la expresión “en el artículo 192 de la ley Nº18.290”;</w:t>
      </w:r>
    </w:p>
    <w:p w:rsidR="00B21606" w:rsidRPr="0056195F" w:rsidRDefault="00B21606" w:rsidP="0056195F">
      <w:pPr>
        <w:ind w:firstLine="709"/>
        <w:jc w:val="both"/>
        <w:rPr>
          <w:rFonts w:ascii="Courier" w:hAnsi="Courier" w:cs="Times New Roman"/>
          <w:sz w:val="22"/>
          <w:szCs w:val="22"/>
          <w:shd w:val="clear" w:color="auto" w:fill="FFFFFF"/>
          <w:lang w:val="es-CL"/>
        </w:rPr>
      </w:pPr>
    </w:p>
    <w:p w:rsidR="0056195F" w:rsidRDefault="0056195F" w:rsidP="0056195F">
      <w:pPr>
        <w:jc w:val="both"/>
        <w:rPr>
          <w:rFonts w:ascii="Courier" w:hAnsi="Courier" w:cs="Courier New"/>
          <w:sz w:val="22"/>
          <w:szCs w:val="22"/>
          <w:lang w:bidi="en-US"/>
        </w:rPr>
      </w:pPr>
    </w:p>
    <w:p w:rsidR="0056195F" w:rsidRPr="0056195F" w:rsidRDefault="0056195F" w:rsidP="0056195F">
      <w:pPr>
        <w:jc w:val="both"/>
        <w:rPr>
          <w:rFonts w:ascii="Courier" w:hAnsi="Courier" w:cs="Courier New"/>
          <w:sz w:val="22"/>
          <w:szCs w:val="22"/>
          <w:lang w:bidi="en-US"/>
        </w:rPr>
      </w:pPr>
      <w:r>
        <w:rPr>
          <w:rFonts w:ascii="Courier" w:hAnsi="Courier" w:cs="Courier New"/>
          <w:sz w:val="22"/>
          <w:szCs w:val="22"/>
          <w:lang w:bidi="en-US"/>
        </w:rPr>
        <w:t xml:space="preserve">2) </w:t>
      </w:r>
      <w:r w:rsidR="00B21606" w:rsidRPr="0056195F">
        <w:rPr>
          <w:rFonts w:ascii="Courier" w:hAnsi="Courier" w:cs="Courier New"/>
          <w:sz w:val="22"/>
          <w:szCs w:val="22"/>
          <w:lang w:bidi="en-US"/>
        </w:rPr>
        <w:t>Para intercalar</w:t>
      </w:r>
      <w:r w:rsidRPr="0056195F">
        <w:rPr>
          <w:rFonts w:ascii="Courier" w:hAnsi="Courier" w:cs="Times New Roman"/>
          <w:sz w:val="22"/>
          <w:szCs w:val="22"/>
          <w:shd w:val="clear" w:color="auto" w:fill="FFFFFF"/>
          <w:lang w:val="es-CL"/>
        </w:rPr>
        <w:t xml:space="preserve"> a continuación</w:t>
      </w:r>
      <w:r w:rsidR="00B21606" w:rsidRPr="0056195F">
        <w:rPr>
          <w:rFonts w:ascii="Courier" w:hAnsi="Courier" w:cs="Courier New"/>
          <w:sz w:val="22"/>
          <w:szCs w:val="22"/>
          <w:lang w:bidi="en-US"/>
        </w:rPr>
        <w:t xml:space="preserve"> </w:t>
      </w:r>
      <w:r>
        <w:rPr>
          <w:rFonts w:ascii="Courier" w:hAnsi="Courier" w:cs="Courier New"/>
          <w:sz w:val="22"/>
          <w:szCs w:val="22"/>
          <w:lang w:bidi="en-US"/>
        </w:rPr>
        <w:t xml:space="preserve">de </w:t>
      </w:r>
      <w:r w:rsidRPr="0056195F">
        <w:rPr>
          <w:rFonts w:ascii="Courier" w:hAnsi="Courier" w:cs="Courier New"/>
          <w:sz w:val="22"/>
          <w:szCs w:val="22"/>
          <w:lang w:bidi="en-US"/>
        </w:rPr>
        <w:t>la expresión “artículos”</w:t>
      </w:r>
      <w:r>
        <w:rPr>
          <w:rFonts w:ascii="Courier" w:hAnsi="Courier" w:cs="Courier New"/>
          <w:sz w:val="22"/>
          <w:szCs w:val="22"/>
          <w:lang w:bidi="en-US"/>
        </w:rPr>
        <w:t>, la segunda vez aparece</w:t>
      </w:r>
      <w:r w:rsidRPr="0056195F">
        <w:rPr>
          <w:rFonts w:ascii="Courier" w:hAnsi="Courier" w:cs="Courier New"/>
          <w:sz w:val="22"/>
          <w:szCs w:val="22"/>
          <w:lang w:bidi="en-US"/>
        </w:rPr>
        <w:t xml:space="preserve"> la frase</w:t>
      </w:r>
      <w:r>
        <w:rPr>
          <w:rFonts w:ascii="Courier" w:hAnsi="Courier" w:cs="Courier New"/>
          <w:sz w:val="22"/>
          <w:szCs w:val="22"/>
          <w:lang w:bidi="en-US"/>
        </w:rPr>
        <w:t xml:space="preserve"> </w:t>
      </w:r>
      <w:r w:rsidR="00B21606" w:rsidRPr="0056195F">
        <w:rPr>
          <w:rFonts w:ascii="Courier" w:hAnsi="Courier" w:cs="Courier New"/>
          <w:sz w:val="22"/>
          <w:szCs w:val="22"/>
          <w:lang w:bidi="en-US"/>
        </w:rPr>
        <w:t>“</w:t>
      </w:r>
      <w:r>
        <w:rPr>
          <w:rFonts w:ascii="Courier" w:hAnsi="Courier" w:cs="Courier New"/>
          <w:sz w:val="22"/>
          <w:szCs w:val="22"/>
          <w:lang w:bidi="en-US"/>
        </w:rPr>
        <w:t xml:space="preserve">194, 196, 197 y </w:t>
      </w:r>
      <w:r w:rsidR="00B21606" w:rsidRPr="0056195F">
        <w:rPr>
          <w:rFonts w:ascii="Courier" w:hAnsi="Courier" w:cs="Courier New"/>
          <w:sz w:val="22"/>
          <w:szCs w:val="22"/>
          <w:lang w:bidi="en-US"/>
        </w:rPr>
        <w:t>198,”</w:t>
      </w:r>
      <w:r w:rsidRPr="0056195F">
        <w:rPr>
          <w:rFonts w:ascii="Courier" w:hAnsi="Courier" w:cs="Courier New"/>
          <w:sz w:val="22"/>
          <w:szCs w:val="22"/>
          <w:lang w:bidi="en-US"/>
        </w:rPr>
        <w:t>;</w:t>
      </w:r>
    </w:p>
    <w:p w:rsidR="0056195F" w:rsidRPr="0056195F" w:rsidRDefault="0056195F" w:rsidP="0056195F">
      <w:pPr>
        <w:jc w:val="both"/>
        <w:rPr>
          <w:rFonts w:ascii="Courier" w:hAnsi="Courier" w:cs="Courier New"/>
          <w:sz w:val="22"/>
          <w:szCs w:val="22"/>
          <w:lang w:bidi="en-US"/>
        </w:rPr>
      </w:pPr>
    </w:p>
    <w:p w:rsidR="0056195F" w:rsidRDefault="0056195F" w:rsidP="0056195F">
      <w:pPr>
        <w:jc w:val="both"/>
        <w:rPr>
          <w:rFonts w:ascii="Courier" w:hAnsi="Courier" w:cs="Courier New"/>
          <w:sz w:val="22"/>
          <w:szCs w:val="22"/>
          <w:lang w:bidi="en-US"/>
        </w:rPr>
      </w:pPr>
    </w:p>
    <w:p w:rsidR="00B21606" w:rsidRPr="0056195F" w:rsidRDefault="0056195F" w:rsidP="0056195F">
      <w:pPr>
        <w:jc w:val="both"/>
        <w:rPr>
          <w:rFonts w:ascii="Courier" w:hAnsi="Courier"/>
          <w:sz w:val="22"/>
          <w:szCs w:val="22"/>
        </w:rPr>
      </w:pPr>
      <w:r w:rsidRPr="0056195F">
        <w:rPr>
          <w:rFonts w:ascii="Courier" w:hAnsi="Courier" w:cs="Courier New"/>
          <w:sz w:val="22"/>
          <w:szCs w:val="22"/>
          <w:lang w:bidi="en-US"/>
        </w:rPr>
        <w:t>3) Para intercalar</w:t>
      </w:r>
      <w:r w:rsidRPr="0056195F">
        <w:rPr>
          <w:rFonts w:ascii="Courier" w:hAnsi="Courier" w:cs="Times New Roman"/>
          <w:sz w:val="22"/>
          <w:szCs w:val="22"/>
          <w:shd w:val="clear" w:color="auto" w:fill="FFFFFF"/>
          <w:lang w:val="es-CL"/>
        </w:rPr>
        <w:t xml:space="preserve"> a continuación del guarismo “11” </w:t>
      </w:r>
      <w:r w:rsidRPr="0056195F">
        <w:rPr>
          <w:rFonts w:ascii="Courier" w:hAnsi="Courier" w:cs="Courier New"/>
          <w:sz w:val="22"/>
          <w:szCs w:val="22"/>
          <w:lang w:bidi="en-US"/>
        </w:rPr>
        <w:t>“y los previstos en el Título X”</w:t>
      </w:r>
    </w:p>
    <w:p w:rsidR="00B21606" w:rsidRPr="0056195F" w:rsidRDefault="00B21606" w:rsidP="0056195F">
      <w:pPr>
        <w:jc w:val="both"/>
        <w:rPr>
          <w:rFonts w:ascii="Courier" w:hAnsi="Courier"/>
          <w:sz w:val="22"/>
          <w:szCs w:val="22"/>
        </w:rPr>
      </w:pPr>
    </w:p>
    <w:p w:rsidR="00B21606" w:rsidRPr="00FB4A71" w:rsidRDefault="00B21606" w:rsidP="00B21606">
      <w:pPr>
        <w:jc w:val="both"/>
        <w:rPr>
          <w:rFonts w:ascii="Courier" w:hAnsi="Courier"/>
        </w:rPr>
      </w:pPr>
    </w:p>
    <w:p w:rsidR="00E406BF" w:rsidRPr="00E406BF" w:rsidRDefault="00E406BF" w:rsidP="00B21606">
      <w:pPr>
        <w:jc w:val="both"/>
      </w:pPr>
    </w:p>
    <w:p w:rsidR="00E0647C" w:rsidRDefault="00E0647C" w:rsidP="0055732D">
      <w:pPr>
        <w:rPr>
          <w:rFonts w:ascii="Georgia" w:hAnsi="Georgia"/>
        </w:rPr>
      </w:pPr>
    </w:p>
    <w:p w:rsidR="00E0647C" w:rsidRPr="003479DF" w:rsidRDefault="00E0647C" w:rsidP="00E0647C">
      <w:pPr>
        <w:rPr>
          <w:rFonts w:ascii="Georgia" w:hAnsi="Georgia"/>
        </w:rPr>
      </w:pPr>
    </w:p>
    <w:p w:rsidR="00E0647C" w:rsidRDefault="00E0647C" w:rsidP="00E0647C">
      <w:pPr>
        <w:ind w:left="284"/>
        <w:jc w:val="center"/>
        <w:rPr>
          <w:rFonts w:ascii="Georgia" w:hAnsi="Georgia"/>
        </w:rPr>
      </w:pPr>
      <w:r w:rsidRPr="003479DF">
        <w:rPr>
          <w:rFonts w:ascii="Georgia" w:hAnsi="Georgia"/>
        </w:rPr>
        <w:t>MARCOS ILABACA</w:t>
      </w:r>
    </w:p>
    <w:p w:rsidR="00E0647C" w:rsidRDefault="00E0647C" w:rsidP="00E0647C">
      <w:pPr>
        <w:ind w:left="284"/>
        <w:jc w:val="center"/>
        <w:rPr>
          <w:rFonts w:ascii="Georgia" w:hAnsi="Georgia"/>
        </w:rPr>
      </w:pPr>
      <w:r>
        <w:rPr>
          <w:rFonts w:ascii="Georgia" w:hAnsi="Georgia"/>
        </w:rPr>
        <w:t>Diputado de la República</w:t>
      </w:r>
    </w:p>
    <w:p w:rsidR="00E0647C" w:rsidRPr="00E64833" w:rsidRDefault="00E0647C" w:rsidP="0055732D">
      <w:pPr>
        <w:rPr>
          <w:rFonts w:ascii="Georgia" w:hAnsi="Georgia"/>
        </w:rPr>
      </w:pPr>
    </w:p>
    <w:sectPr w:rsidR="00E0647C" w:rsidRPr="00E64833" w:rsidSect="00817AC1">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8D2" w:rsidRDefault="00D348D2" w:rsidP="0055732D">
      <w:r>
        <w:separator/>
      </w:r>
    </w:p>
  </w:endnote>
  <w:endnote w:type="continuationSeparator" w:id="0">
    <w:p w:rsidR="00D348D2" w:rsidRDefault="00D348D2" w:rsidP="00557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rion Regular">
    <w:altName w:val="Times New Roman"/>
    <w:charset w:val="00"/>
    <w:family w:val="auto"/>
    <w:pitch w:val="variable"/>
    <w:sig w:usb0="00000001" w:usb1="5000205B" w:usb2="00000000" w:usb3="00000000" w:csb0="00000183"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8D2" w:rsidRDefault="00D348D2" w:rsidP="0055732D">
      <w:r>
        <w:separator/>
      </w:r>
    </w:p>
  </w:footnote>
  <w:footnote w:type="continuationSeparator" w:id="0">
    <w:p w:rsidR="00D348D2" w:rsidRDefault="00D348D2" w:rsidP="0055732D">
      <w:r>
        <w:continuationSeparator/>
      </w:r>
    </w:p>
  </w:footnote>
  <w:footnote w:id="1">
    <w:p w:rsidR="007D780D" w:rsidRPr="005D639B" w:rsidRDefault="007D780D" w:rsidP="00DD41D7">
      <w:pPr>
        <w:pStyle w:val="Textonotapie"/>
        <w:jc w:val="both"/>
        <w:rPr>
          <w:rFonts w:ascii="Georgia" w:hAnsi="Georgia"/>
          <w:sz w:val="19"/>
          <w:szCs w:val="19"/>
          <w:lang w:val="es-ES_tradnl"/>
        </w:rPr>
      </w:pPr>
      <w:r w:rsidRPr="005D639B">
        <w:rPr>
          <w:rStyle w:val="Refdenotaalpie"/>
          <w:rFonts w:ascii="Georgia" w:hAnsi="Georgia"/>
          <w:sz w:val="19"/>
          <w:szCs w:val="19"/>
        </w:rPr>
        <w:footnoteRef/>
      </w:r>
      <w:r w:rsidRPr="005D639B">
        <w:rPr>
          <w:rFonts w:ascii="Georgia" w:hAnsi="Georgia"/>
          <w:sz w:val="19"/>
          <w:szCs w:val="19"/>
        </w:rPr>
        <w:t xml:space="preserve"> </w:t>
      </w:r>
      <w:r w:rsidRPr="005D639B">
        <w:rPr>
          <w:rFonts w:ascii="Georgia" w:hAnsi="Georgia"/>
          <w:sz w:val="19"/>
          <w:szCs w:val="19"/>
          <w:lang w:val="es-ES_tradnl"/>
        </w:rPr>
        <w:t>Gomez Jara-Diez, Carlos. “La incidencia de la autoregulación en el debate legislativo y doctrinal actual en la Responsabilidad Penal de las Personas Jurídicas”. En</w:t>
      </w:r>
      <w:r w:rsidRPr="005D639B">
        <w:rPr>
          <w:rFonts w:ascii="Georgia" w:hAnsi="Georgia"/>
          <w:i/>
          <w:sz w:val="19"/>
          <w:szCs w:val="19"/>
          <w:lang w:val="es-ES_tradnl"/>
        </w:rPr>
        <w:t xml:space="preserve"> Responsabilidad Penal de las empresas y Compliance Program. </w:t>
      </w:r>
      <w:r w:rsidRPr="005D639B">
        <w:rPr>
          <w:rFonts w:ascii="Georgia" w:hAnsi="Georgia"/>
          <w:sz w:val="19"/>
          <w:szCs w:val="19"/>
          <w:lang w:val="es-ES_tradnl"/>
        </w:rPr>
        <w:t>AAVV, Ara Editores, 2016, Perú: pp. 211-272.</w:t>
      </w:r>
    </w:p>
  </w:footnote>
  <w:footnote w:id="2">
    <w:p w:rsidR="007D780D" w:rsidRPr="005D639B" w:rsidRDefault="007D780D">
      <w:pPr>
        <w:pStyle w:val="Textonotapie"/>
        <w:rPr>
          <w:sz w:val="19"/>
          <w:szCs w:val="19"/>
          <w:lang w:val="es-ES_tradnl"/>
        </w:rPr>
      </w:pPr>
      <w:r w:rsidRPr="005D639B">
        <w:rPr>
          <w:rStyle w:val="Refdenotaalpie"/>
          <w:sz w:val="19"/>
          <w:szCs w:val="19"/>
        </w:rPr>
        <w:footnoteRef/>
      </w:r>
      <w:r w:rsidRPr="005D639B">
        <w:rPr>
          <w:sz w:val="19"/>
          <w:szCs w:val="19"/>
        </w:rPr>
        <w:t xml:space="preserve"> </w:t>
      </w:r>
      <w:r w:rsidRPr="005D639B">
        <w:rPr>
          <w:sz w:val="19"/>
          <w:szCs w:val="19"/>
          <w:lang w:val="es-ES_tradnl"/>
        </w:rPr>
        <w:t>Ídem.</w:t>
      </w:r>
    </w:p>
  </w:footnote>
  <w:footnote w:id="3">
    <w:p w:rsidR="005D639B" w:rsidRPr="005D639B" w:rsidRDefault="005D639B" w:rsidP="005D639B">
      <w:pPr>
        <w:pStyle w:val="Textonotapie"/>
        <w:jc w:val="both"/>
        <w:rPr>
          <w:rFonts w:ascii="Georgia" w:hAnsi="Georgia"/>
          <w:sz w:val="19"/>
          <w:szCs w:val="19"/>
          <w:lang w:val="es-ES_tradnl"/>
        </w:rPr>
      </w:pPr>
      <w:r w:rsidRPr="005D639B">
        <w:rPr>
          <w:rStyle w:val="Refdenotaalpie"/>
          <w:rFonts w:ascii="Georgia" w:hAnsi="Georgia"/>
          <w:sz w:val="19"/>
          <w:szCs w:val="19"/>
        </w:rPr>
        <w:footnoteRef/>
      </w:r>
      <w:r w:rsidRPr="005D639B">
        <w:rPr>
          <w:rFonts w:ascii="Georgia" w:hAnsi="Georgia"/>
          <w:sz w:val="19"/>
          <w:szCs w:val="19"/>
        </w:rPr>
        <w:t xml:space="preserve"> cf. Con detalle, </w:t>
      </w:r>
      <w:r w:rsidRPr="005D639B">
        <w:rPr>
          <w:rFonts w:ascii="Georgia" w:hAnsi="Georgia"/>
          <w:sz w:val="19"/>
          <w:szCs w:val="19"/>
          <w:lang w:val="es-ES_tradnl"/>
        </w:rPr>
        <w:t xml:space="preserve">Piña, Juan Ignacio. “Algunas consideraciones acerca de los modelos de prevención de delitos (MPD) establecidos en la ley Nº20.393 sobre responsabilidad penal de las personas jurídicas”. </w:t>
      </w:r>
      <w:r w:rsidRPr="005D639B">
        <w:rPr>
          <w:rFonts w:ascii="Georgia" w:hAnsi="Georgia"/>
          <w:i/>
          <w:sz w:val="19"/>
          <w:szCs w:val="19"/>
          <w:lang w:val="es-ES_tradnl"/>
        </w:rPr>
        <w:t>En Revista Doctrina y Jurisprudencia Penal,</w:t>
      </w:r>
      <w:r w:rsidRPr="005D639B">
        <w:rPr>
          <w:rFonts w:ascii="Georgia" w:hAnsi="Georgia"/>
          <w:sz w:val="19"/>
          <w:szCs w:val="19"/>
          <w:lang w:val="es-ES_tradnl"/>
        </w:rPr>
        <w:t xml:space="preserve"> Año 3 Nº10, 2012, ISNN:0718-9214 Universidad de Los Andes, pp. 17-33.</w:t>
      </w:r>
    </w:p>
  </w:footnote>
  <w:footnote w:id="4">
    <w:p w:rsidR="007D780D" w:rsidRPr="007D780D" w:rsidRDefault="007D780D" w:rsidP="007D780D">
      <w:pPr>
        <w:pStyle w:val="Textonotapie"/>
        <w:jc w:val="both"/>
        <w:rPr>
          <w:rFonts w:ascii="Georgia" w:hAnsi="Georgia"/>
          <w:sz w:val="18"/>
          <w:szCs w:val="18"/>
          <w:lang w:val="es-ES_tradnl"/>
        </w:rPr>
      </w:pPr>
      <w:r w:rsidRPr="005D639B">
        <w:rPr>
          <w:rStyle w:val="Refdenotaalpie"/>
          <w:rFonts w:ascii="Georgia" w:hAnsi="Georgia"/>
          <w:sz w:val="19"/>
          <w:szCs w:val="19"/>
        </w:rPr>
        <w:footnoteRef/>
      </w:r>
      <w:r w:rsidRPr="005D639B">
        <w:rPr>
          <w:rFonts w:ascii="Georgia" w:hAnsi="Georgia"/>
          <w:sz w:val="19"/>
          <w:szCs w:val="19"/>
        </w:rPr>
        <w:t xml:space="preserve"> </w:t>
      </w:r>
      <w:r w:rsidR="005D639B" w:rsidRPr="005D639B">
        <w:rPr>
          <w:rFonts w:ascii="Georgia" w:hAnsi="Georgia"/>
          <w:sz w:val="19"/>
          <w:szCs w:val="19"/>
          <w:lang w:val="es-ES_tradnl"/>
        </w:rPr>
        <w:t>Piña, ob. cit.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D2550"/>
    <w:multiLevelType w:val="hybridMultilevel"/>
    <w:tmpl w:val="EFEE1B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5732D"/>
    <w:rsid w:val="000366BC"/>
    <w:rsid w:val="000775D2"/>
    <w:rsid w:val="0011275F"/>
    <w:rsid w:val="00265FD0"/>
    <w:rsid w:val="0055732D"/>
    <w:rsid w:val="0056195F"/>
    <w:rsid w:val="00584ACC"/>
    <w:rsid w:val="005D639B"/>
    <w:rsid w:val="00704C1C"/>
    <w:rsid w:val="007D780D"/>
    <w:rsid w:val="00817AC1"/>
    <w:rsid w:val="00972E99"/>
    <w:rsid w:val="00B17DEF"/>
    <w:rsid w:val="00B21606"/>
    <w:rsid w:val="00B43E6D"/>
    <w:rsid w:val="00B80474"/>
    <w:rsid w:val="00BD7358"/>
    <w:rsid w:val="00C3334A"/>
    <w:rsid w:val="00D348D2"/>
    <w:rsid w:val="00DD41D7"/>
    <w:rsid w:val="00E0647C"/>
    <w:rsid w:val="00E406BF"/>
    <w:rsid w:val="00E64833"/>
    <w:rsid w:val="00E7199B"/>
    <w:rsid w:val="00F46F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732D"/>
    <w:pPr>
      <w:ind w:left="720"/>
      <w:contextualSpacing/>
    </w:pPr>
  </w:style>
  <w:style w:type="paragraph" w:styleId="Textoindependiente">
    <w:name w:val="Body Text"/>
    <w:basedOn w:val="Normal"/>
    <w:link w:val="TextoindependienteCar"/>
    <w:semiHidden/>
    <w:rsid w:val="0055732D"/>
    <w:pPr>
      <w:jc w:val="both"/>
    </w:pPr>
    <w:rPr>
      <w:rFonts w:ascii="Times New Roman" w:eastAsia="Times New Roman" w:hAnsi="Times New Roman" w:cs="Times New Roman"/>
      <w:noProof/>
      <w:lang w:val="es-CL"/>
    </w:rPr>
  </w:style>
  <w:style w:type="character" w:customStyle="1" w:styleId="TextoindependienteCar">
    <w:name w:val="Texto independiente Car"/>
    <w:basedOn w:val="Fuentedeprrafopredeter"/>
    <w:link w:val="Textoindependiente"/>
    <w:semiHidden/>
    <w:rsid w:val="0055732D"/>
    <w:rPr>
      <w:rFonts w:ascii="Times New Roman" w:eastAsia="Times New Roman" w:hAnsi="Times New Roman" w:cs="Times New Roman"/>
      <w:noProof/>
      <w:lang w:val="es-CL"/>
    </w:rPr>
  </w:style>
  <w:style w:type="paragraph" w:styleId="Textonotapie">
    <w:name w:val="footnote text"/>
    <w:basedOn w:val="Normal"/>
    <w:link w:val="TextonotapieCar"/>
    <w:semiHidden/>
    <w:rsid w:val="0055732D"/>
    <w:rPr>
      <w:rFonts w:ascii="Times New Roman" w:eastAsia="Times New Roman" w:hAnsi="Times New Roman" w:cs="Times New Roman"/>
      <w:noProof/>
      <w:sz w:val="20"/>
      <w:lang w:val="es-CL"/>
    </w:rPr>
  </w:style>
  <w:style w:type="character" w:customStyle="1" w:styleId="TextonotapieCar">
    <w:name w:val="Texto nota pie Car"/>
    <w:basedOn w:val="Fuentedeprrafopredeter"/>
    <w:link w:val="Textonotapie"/>
    <w:semiHidden/>
    <w:rsid w:val="0055732D"/>
    <w:rPr>
      <w:rFonts w:ascii="Times New Roman" w:eastAsia="Times New Roman" w:hAnsi="Times New Roman" w:cs="Times New Roman"/>
      <w:noProof/>
      <w:sz w:val="20"/>
      <w:lang w:val="es-CL"/>
    </w:rPr>
  </w:style>
  <w:style w:type="character" w:styleId="Refdenotaalpie">
    <w:name w:val="footnote reference"/>
    <w:basedOn w:val="Fuentedeprrafopredeter"/>
    <w:semiHidden/>
    <w:rsid w:val="0055732D"/>
    <w:rPr>
      <w:vertAlign w:val="superscript"/>
    </w:rPr>
  </w:style>
  <w:style w:type="paragraph" w:styleId="HTMLconformatoprevio">
    <w:name w:val="HTML Preformatted"/>
    <w:basedOn w:val="Normal"/>
    <w:link w:val="HTMLconformatoprevioCar"/>
    <w:uiPriority w:val="99"/>
    <w:unhideWhenUsed/>
    <w:rsid w:val="0011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CL"/>
    </w:rPr>
  </w:style>
  <w:style w:type="character" w:customStyle="1" w:styleId="HTMLconformatoprevioCar">
    <w:name w:val="HTML con formato previo Car"/>
    <w:basedOn w:val="Fuentedeprrafopredeter"/>
    <w:link w:val="HTMLconformatoprevio"/>
    <w:uiPriority w:val="99"/>
    <w:rsid w:val="0011275F"/>
    <w:rPr>
      <w:rFonts w:ascii="Courier" w:hAnsi="Courier" w:cs="Courier"/>
      <w:sz w:val="20"/>
      <w:szCs w:val="20"/>
      <w:lang w:val="es-CL"/>
    </w:rPr>
  </w:style>
  <w:style w:type="paragraph" w:styleId="Textodeglobo">
    <w:name w:val="Balloon Text"/>
    <w:basedOn w:val="Normal"/>
    <w:link w:val="TextodegloboCar"/>
    <w:uiPriority w:val="99"/>
    <w:semiHidden/>
    <w:unhideWhenUsed/>
    <w:rsid w:val="00E0647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647C"/>
    <w:rPr>
      <w:rFonts w:ascii="Lucida Grande" w:hAnsi="Lucida Grande" w:cs="Lucida Grande"/>
      <w:sz w:val="18"/>
      <w:szCs w:val="18"/>
    </w:rPr>
  </w:style>
  <w:style w:type="paragraph" w:styleId="NormalWeb">
    <w:name w:val="Normal (Web)"/>
    <w:basedOn w:val="Normal"/>
    <w:uiPriority w:val="99"/>
    <w:unhideWhenUsed/>
    <w:rsid w:val="00B21606"/>
    <w:pPr>
      <w:spacing w:before="100" w:beforeAutospacing="1" w:after="100" w:afterAutospacing="1"/>
    </w:pPr>
    <w:rPr>
      <w:rFonts w:ascii="Times" w:hAnsi="Times" w:cs="Times New Roman"/>
      <w:sz w:val="20"/>
      <w:szCs w:val="20"/>
      <w:lang w:val="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732D"/>
    <w:pPr>
      <w:ind w:left="720"/>
      <w:contextualSpacing/>
    </w:pPr>
  </w:style>
  <w:style w:type="paragraph" w:styleId="Textodecuerpo">
    <w:name w:val="Body Text"/>
    <w:basedOn w:val="Normal"/>
    <w:link w:val="TextodecuerpoCar"/>
    <w:semiHidden/>
    <w:rsid w:val="0055732D"/>
    <w:pPr>
      <w:jc w:val="both"/>
    </w:pPr>
    <w:rPr>
      <w:rFonts w:ascii="Times New Roman" w:eastAsia="Times New Roman" w:hAnsi="Times New Roman" w:cs="Times New Roman"/>
      <w:noProof/>
      <w:lang w:val="es-CL"/>
    </w:rPr>
  </w:style>
  <w:style w:type="character" w:customStyle="1" w:styleId="TextodecuerpoCar">
    <w:name w:val="Texto de cuerpo Car"/>
    <w:basedOn w:val="Fuentedeprrafopredeter"/>
    <w:link w:val="Textodecuerpo"/>
    <w:semiHidden/>
    <w:rsid w:val="0055732D"/>
    <w:rPr>
      <w:rFonts w:ascii="Times New Roman" w:eastAsia="Times New Roman" w:hAnsi="Times New Roman" w:cs="Times New Roman"/>
      <w:noProof/>
      <w:lang w:val="es-CL"/>
    </w:rPr>
  </w:style>
  <w:style w:type="paragraph" w:styleId="Textonotapie">
    <w:name w:val="footnote text"/>
    <w:basedOn w:val="Normal"/>
    <w:link w:val="TextonotapieCar"/>
    <w:semiHidden/>
    <w:rsid w:val="0055732D"/>
    <w:rPr>
      <w:rFonts w:ascii="Times New Roman" w:eastAsia="Times New Roman" w:hAnsi="Times New Roman" w:cs="Times New Roman"/>
      <w:noProof/>
      <w:sz w:val="20"/>
      <w:lang w:val="es-CL"/>
    </w:rPr>
  </w:style>
  <w:style w:type="character" w:customStyle="1" w:styleId="TextonotapieCar">
    <w:name w:val="Texto nota pie Car"/>
    <w:basedOn w:val="Fuentedeprrafopredeter"/>
    <w:link w:val="Textonotapie"/>
    <w:semiHidden/>
    <w:rsid w:val="0055732D"/>
    <w:rPr>
      <w:rFonts w:ascii="Times New Roman" w:eastAsia="Times New Roman" w:hAnsi="Times New Roman" w:cs="Times New Roman"/>
      <w:noProof/>
      <w:sz w:val="20"/>
      <w:lang w:val="es-CL"/>
    </w:rPr>
  </w:style>
  <w:style w:type="character" w:styleId="Refdenotaalpie">
    <w:name w:val="footnote reference"/>
    <w:basedOn w:val="Fuentedeprrafopredeter"/>
    <w:semiHidden/>
    <w:rsid w:val="0055732D"/>
    <w:rPr>
      <w:vertAlign w:val="superscript"/>
    </w:rPr>
  </w:style>
  <w:style w:type="paragraph" w:styleId="HTMLconformatoprevio">
    <w:name w:val="HTML Preformatted"/>
    <w:basedOn w:val="Normal"/>
    <w:link w:val="HTMLconformatoprevioCar"/>
    <w:uiPriority w:val="99"/>
    <w:unhideWhenUsed/>
    <w:rsid w:val="0011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CL"/>
    </w:rPr>
  </w:style>
  <w:style w:type="character" w:customStyle="1" w:styleId="HTMLconformatoprevioCar">
    <w:name w:val="HTML con formato previo Car"/>
    <w:basedOn w:val="Fuentedeprrafopredeter"/>
    <w:link w:val="HTMLconformatoprevio"/>
    <w:uiPriority w:val="99"/>
    <w:rsid w:val="0011275F"/>
    <w:rPr>
      <w:rFonts w:ascii="Courier" w:hAnsi="Courier" w:cs="Courier"/>
      <w:sz w:val="20"/>
      <w:szCs w:val="20"/>
      <w:lang w:val="es-CL"/>
    </w:rPr>
  </w:style>
  <w:style w:type="paragraph" w:styleId="Textodeglobo">
    <w:name w:val="Balloon Text"/>
    <w:basedOn w:val="Normal"/>
    <w:link w:val="TextodegloboCar"/>
    <w:uiPriority w:val="99"/>
    <w:semiHidden/>
    <w:unhideWhenUsed/>
    <w:rsid w:val="00E0647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647C"/>
    <w:rPr>
      <w:rFonts w:ascii="Lucida Grande" w:hAnsi="Lucida Grande" w:cs="Lucida Grande"/>
      <w:sz w:val="18"/>
      <w:szCs w:val="18"/>
    </w:rPr>
  </w:style>
  <w:style w:type="paragraph" w:styleId="NormalWeb">
    <w:name w:val="Normal (Web)"/>
    <w:basedOn w:val="Normal"/>
    <w:uiPriority w:val="99"/>
    <w:unhideWhenUsed/>
    <w:rsid w:val="00B21606"/>
    <w:pPr>
      <w:spacing w:before="100" w:beforeAutospacing="1" w:after="100" w:afterAutospacing="1"/>
    </w:pPr>
    <w:rPr>
      <w:rFonts w:ascii="Times" w:hAnsi="Times" w:cs="Times New Roman"/>
      <w:sz w:val="20"/>
      <w:szCs w:val="20"/>
      <w:lang w:val="es-CL"/>
    </w:rPr>
  </w:style>
</w:styles>
</file>

<file path=word/webSettings.xml><?xml version="1.0" encoding="utf-8"?>
<w:webSettings xmlns:r="http://schemas.openxmlformats.org/officeDocument/2006/relationships" xmlns:w="http://schemas.openxmlformats.org/wordprocessingml/2006/main">
  <w:divs>
    <w:div w:id="3823250">
      <w:bodyDiv w:val="1"/>
      <w:marLeft w:val="0"/>
      <w:marRight w:val="0"/>
      <w:marTop w:val="0"/>
      <w:marBottom w:val="0"/>
      <w:divBdr>
        <w:top w:val="none" w:sz="0" w:space="0" w:color="auto"/>
        <w:left w:val="none" w:sz="0" w:space="0" w:color="auto"/>
        <w:bottom w:val="none" w:sz="0" w:space="0" w:color="auto"/>
        <w:right w:val="none" w:sz="0" w:space="0" w:color="auto"/>
      </w:divBdr>
    </w:div>
    <w:div w:id="296840264">
      <w:bodyDiv w:val="1"/>
      <w:marLeft w:val="0"/>
      <w:marRight w:val="0"/>
      <w:marTop w:val="0"/>
      <w:marBottom w:val="0"/>
      <w:divBdr>
        <w:top w:val="none" w:sz="0" w:space="0" w:color="auto"/>
        <w:left w:val="none" w:sz="0" w:space="0" w:color="auto"/>
        <w:bottom w:val="none" w:sz="0" w:space="0" w:color="auto"/>
        <w:right w:val="none" w:sz="0" w:space="0" w:color="auto"/>
      </w:divBdr>
    </w:div>
    <w:div w:id="773091529">
      <w:bodyDiv w:val="1"/>
      <w:marLeft w:val="0"/>
      <w:marRight w:val="0"/>
      <w:marTop w:val="0"/>
      <w:marBottom w:val="0"/>
      <w:divBdr>
        <w:top w:val="none" w:sz="0" w:space="0" w:color="auto"/>
        <w:left w:val="none" w:sz="0" w:space="0" w:color="auto"/>
        <w:bottom w:val="none" w:sz="0" w:space="0" w:color="auto"/>
        <w:right w:val="none" w:sz="0" w:space="0" w:color="auto"/>
      </w:divBdr>
    </w:div>
    <w:div w:id="1058210025">
      <w:bodyDiv w:val="1"/>
      <w:marLeft w:val="0"/>
      <w:marRight w:val="0"/>
      <w:marTop w:val="0"/>
      <w:marBottom w:val="0"/>
      <w:divBdr>
        <w:top w:val="none" w:sz="0" w:space="0" w:color="auto"/>
        <w:left w:val="none" w:sz="0" w:space="0" w:color="auto"/>
        <w:bottom w:val="none" w:sz="0" w:space="0" w:color="auto"/>
        <w:right w:val="none" w:sz="0" w:space="0" w:color="auto"/>
      </w:divBdr>
    </w:div>
    <w:div w:id="1413771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1990</Words>
  <Characters>10947</Characters>
  <Application>Microsoft Office Word</Application>
  <DocSecurity>0</DocSecurity>
  <Lines>91</Lines>
  <Paragraphs>25</Paragraphs>
  <ScaleCrop>false</ScaleCrop>
  <Company>AAcompliance</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Aldunate</dc:creator>
  <cp:keywords/>
  <dc:description/>
  <cp:lastModifiedBy>Guillermo Diaz Vallejos</cp:lastModifiedBy>
  <cp:revision>5</cp:revision>
  <cp:lastPrinted>2019-01-15T14:47:00Z</cp:lastPrinted>
  <dcterms:created xsi:type="dcterms:W3CDTF">2019-08-06T16:22:00Z</dcterms:created>
  <dcterms:modified xsi:type="dcterms:W3CDTF">2019-08-22T15:37:00Z</dcterms:modified>
</cp:coreProperties>
</file>