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D90FCD" w:rsidP="00F632F7">
      <w:pPr>
        <w:spacing w:line="276" w:lineRule="auto"/>
        <w:jc w:val="both"/>
        <w:rPr>
          <w:rFonts w:ascii="Century Gothic" w:hAnsi="Century Gothic"/>
          <w:b/>
        </w:rPr>
      </w:pPr>
      <w:r w:rsidRPr="00D90FCD">
        <w:rPr>
          <w:rFonts w:ascii="Century Gothic" w:hAnsi="Century Gothic"/>
          <w:b/>
        </w:rPr>
        <w:t>Modifica la ley N° 19.537, sobre Copropiedad Inmobiliaria, en materia de corte y reposición del suministro eléctrico a deudores morosos de gastos comunes</w:t>
      </w:r>
    </w:p>
    <w:p w:rsidR="00D90FCD" w:rsidRDefault="00D90FCD" w:rsidP="00F632F7">
      <w:pPr>
        <w:spacing w:line="276" w:lineRule="auto"/>
        <w:jc w:val="both"/>
        <w:rPr>
          <w:rFonts w:ascii="Century Gothic" w:hAnsi="Century Gothic"/>
          <w:b/>
        </w:rPr>
      </w:pPr>
    </w:p>
    <w:p w:rsidR="00D90FCD" w:rsidRDefault="00D90FCD" w:rsidP="00D90FCD">
      <w:pPr>
        <w:spacing w:line="276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Boletín N° 12888-14</w:t>
      </w:r>
    </w:p>
    <w:p w:rsidR="00D90FCD" w:rsidRPr="00F632F7" w:rsidRDefault="00D90FCD" w:rsidP="00D90FCD">
      <w:pPr>
        <w:spacing w:line="276" w:lineRule="auto"/>
        <w:jc w:val="center"/>
        <w:rPr>
          <w:rFonts w:ascii="Century Gothic" w:hAnsi="Century Gothic"/>
          <w:b/>
        </w:rPr>
      </w:pPr>
    </w:p>
    <w:p w:rsidR="00F632F7" w:rsidRPr="00F632F7" w:rsidRDefault="00F632F7" w:rsidP="00ED7833">
      <w:pPr>
        <w:spacing w:line="276" w:lineRule="auto"/>
        <w:jc w:val="center"/>
        <w:rPr>
          <w:rFonts w:ascii="Century Gothic" w:hAnsi="Century Gothic"/>
          <w:b/>
        </w:rPr>
      </w:pPr>
      <w:r w:rsidRPr="00F632F7">
        <w:rPr>
          <w:rFonts w:ascii="Century Gothic" w:hAnsi="Century Gothic"/>
          <w:b/>
        </w:rPr>
        <w:t>EXPOSICIÓN DE MOTIVOS</w:t>
      </w:r>
    </w:p>
    <w:p w:rsidR="00F632F7" w:rsidRPr="00F632F7" w:rsidRDefault="00F632F7" w:rsidP="007C03BE">
      <w:pPr>
        <w:spacing w:line="360" w:lineRule="auto"/>
        <w:jc w:val="both"/>
        <w:rPr>
          <w:rFonts w:ascii="Century Gothic" w:hAnsi="Century Gothic"/>
        </w:rPr>
      </w:pPr>
    </w:p>
    <w:p w:rsidR="00F632F7" w:rsidRPr="00F632F7" w:rsidRDefault="00F632F7" w:rsidP="007C03BE">
      <w:pPr>
        <w:spacing w:line="360" w:lineRule="auto"/>
        <w:jc w:val="both"/>
        <w:rPr>
          <w:rFonts w:ascii="Century Gothic" w:hAnsi="Century Gothic"/>
        </w:rPr>
      </w:pPr>
      <w:r w:rsidRPr="00F632F7">
        <w:rPr>
          <w:rFonts w:ascii="Century Gothic" w:hAnsi="Century Gothic"/>
        </w:rPr>
        <w:t xml:space="preserve">I.- El aumento de la población, la alta demanda de viviendas en nuestro país y los cambios en uso de suelo con el fin de llevar a cabo </w:t>
      </w:r>
      <w:r w:rsidR="002E3354" w:rsidRPr="00F632F7">
        <w:rPr>
          <w:rFonts w:ascii="Century Gothic" w:hAnsi="Century Gothic"/>
        </w:rPr>
        <w:t>construcciones</w:t>
      </w:r>
      <w:r w:rsidR="002E3354">
        <w:rPr>
          <w:rFonts w:ascii="Century Gothic" w:hAnsi="Century Gothic"/>
        </w:rPr>
        <w:t>,</w:t>
      </w:r>
      <w:r w:rsidRPr="00F632F7">
        <w:rPr>
          <w:rFonts w:ascii="Century Gothic" w:hAnsi="Century Gothic"/>
        </w:rPr>
        <w:t xml:space="preserve"> ha aumentado el valor de los terrenos</w:t>
      </w:r>
      <w:r w:rsidR="002E3354">
        <w:rPr>
          <w:rFonts w:ascii="Century Gothic" w:hAnsi="Century Gothic"/>
        </w:rPr>
        <w:t>.</w:t>
      </w:r>
      <w:r w:rsidRPr="00F632F7">
        <w:rPr>
          <w:rFonts w:ascii="Century Gothic" w:hAnsi="Century Gothic"/>
        </w:rPr>
        <w:t xml:space="preserve"> </w:t>
      </w:r>
      <w:r w:rsidR="002E3354">
        <w:rPr>
          <w:rFonts w:ascii="Century Gothic" w:hAnsi="Century Gothic"/>
        </w:rPr>
        <w:t>C</w:t>
      </w:r>
      <w:r w:rsidRPr="00F632F7">
        <w:rPr>
          <w:rFonts w:ascii="Century Gothic" w:hAnsi="Century Gothic"/>
        </w:rPr>
        <w:t>omo consecuencia de lo anterior</w:t>
      </w:r>
      <w:r w:rsidR="002E3354">
        <w:rPr>
          <w:rFonts w:ascii="Century Gothic" w:hAnsi="Century Gothic"/>
        </w:rPr>
        <w:t>,</w:t>
      </w:r>
      <w:r w:rsidRPr="00F632F7">
        <w:rPr>
          <w:rFonts w:ascii="Century Gothic" w:hAnsi="Century Gothic"/>
        </w:rPr>
        <w:t xml:space="preserve"> el sector inmobiliario ha optado por la construcción en altura.</w:t>
      </w:r>
    </w:p>
    <w:p w:rsidR="00F632F7" w:rsidRPr="00F632F7" w:rsidRDefault="00F632F7" w:rsidP="007C03BE">
      <w:pPr>
        <w:spacing w:line="360" w:lineRule="auto"/>
        <w:jc w:val="both"/>
        <w:rPr>
          <w:rFonts w:ascii="Century Gothic" w:hAnsi="Century Gothic"/>
        </w:rPr>
      </w:pPr>
    </w:p>
    <w:p w:rsidR="00F632F7" w:rsidRPr="00F632F7" w:rsidRDefault="00F632F7" w:rsidP="007C03BE">
      <w:pPr>
        <w:spacing w:line="360" w:lineRule="auto"/>
        <w:jc w:val="both"/>
        <w:rPr>
          <w:rFonts w:ascii="Century Gothic" w:hAnsi="Century Gothic"/>
        </w:rPr>
      </w:pPr>
      <w:r w:rsidRPr="00F632F7">
        <w:rPr>
          <w:rFonts w:ascii="Century Gothic" w:hAnsi="Century Gothic"/>
        </w:rPr>
        <w:t>II.- Los antecedentes entregados por estudios del Ministerio de Vivienda y</w:t>
      </w:r>
      <w:r w:rsidR="00687163">
        <w:rPr>
          <w:rFonts w:ascii="Century Gothic" w:hAnsi="Century Gothic"/>
        </w:rPr>
        <w:t xml:space="preserve"> Urbanismo y</w:t>
      </w:r>
      <w:r w:rsidRPr="00F632F7">
        <w:rPr>
          <w:rFonts w:ascii="Century Gothic" w:hAnsi="Century Gothic"/>
        </w:rPr>
        <w:t xml:space="preserve"> la Cámara Chilena de la Construcción, dan cuenta de un déficit de viviendas a nivel nac</w:t>
      </w:r>
      <w:r w:rsidR="00687163">
        <w:rPr>
          <w:rFonts w:ascii="Century Gothic" w:hAnsi="Century Gothic"/>
        </w:rPr>
        <w:t>ional</w:t>
      </w:r>
      <w:r w:rsidR="002E3354">
        <w:rPr>
          <w:rFonts w:ascii="Century Gothic" w:hAnsi="Century Gothic"/>
        </w:rPr>
        <w:t>.</w:t>
      </w:r>
      <w:r w:rsidR="00687163">
        <w:rPr>
          <w:rFonts w:ascii="Century Gothic" w:hAnsi="Century Gothic"/>
        </w:rPr>
        <w:t xml:space="preserve"> </w:t>
      </w:r>
      <w:r w:rsidR="002E3354">
        <w:rPr>
          <w:rFonts w:ascii="Century Gothic" w:hAnsi="Century Gothic"/>
        </w:rPr>
        <w:t>Según</w:t>
      </w:r>
      <w:r w:rsidR="00687163">
        <w:rPr>
          <w:rFonts w:ascii="Century Gothic" w:hAnsi="Century Gothic"/>
        </w:rPr>
        <w:t xml:space="preserve"> cifras </w:t>
      </w:r>
      <w:r w:rsidR="002E3354">
        <w:rPr>
          <w:rFonts w:ascii="Century Gothic" w:hAnsi="Century Gothic"/>
        </w:rPr>
        <w:t>de la cartera de Vivienda,</w:t>
      </w:r>
      <w:r w:rsidRPr="00F632F7">
        <w:rPr>
          <w:rFonts w:ascii="Century Gothic" w:hAnsi="Century Gothic"/>
        </w:rPr>
        <w:t xml:space="preserve"> </w:t>
      </w:r>
      <w:r w:rsidR="002E3354">
        <w:rPr>
          <w:rFonts w:ascii="Century Gothic" w:hAnsi="Century Gothic"/>
        </w:rPr>
        <w:t>existe</w:t>
      </w:r>
      <w:r w:rsidRPr="00F632F7">
        <w:rPr>
          <w:rFonts w:ascii="Century Gothic" w:hAnsi="Century Gothic"/>
        </w:rPr>
        <w:t xml:space="preserve"> una necesidad de al menos 400 mil unidades, mientras que la Asociación Gremial d</w:t>
      </w:r>
      <w:r w:rsidR="00687163">
        <w:rPr>
          <w:rFonts w:ascii="Century Gothic" w:hAnsi="Century Gothic"/>
        </w:rPr>
        <w:t>e</w:t>
      </w:r>
      <w:r w:rsidRPr="00F632F7">
        <w:rPr>
          <w:rFonts w:ascii="Century Gothic" w:hAnsi="Century Gothic"/>
        </w:rPr>
        <w:t>l sector señala que</w:t>
      </w:r>
      <w:r w:rsidR="00687163">
        <w:rPr>
          <w:rFonts w:ascii="Century Gothic" w:hAnsi="Century Gothic"/>
        </w:rPr>
        <w:t>,</w:t>
      </w:r>
      <w:r w:rsidRPr="00F632F7">
        <w:rPr>
          <w:rFonts w:ascii="Century Gothic" w:hAnsi="Century Gothic"/>
        </w:rPr>
        <w:t xml:space="preserve"> al menos nos encontraríamos frente </w:t>
      </w:r>
      <w:r w:rsidR="00687163">
        <w:rPr>
          <w:rFonts w:ascii="Century Gothic" w:hAnsi="Century Gothic"/>
        </w:rPr>
        <w:t>una necesidad de vivienda</w:t>
      </w:r>
      <w:r w:rsidRPr="00F632F7">
        <w:rPr>
          <w:rFonts w:ascii="Century Gothic" w:hAnsi="Century Gothic"/>
        </w:rPr>
        <w:t xml:space="preserve"> que afecta a más de dos millones de chilenos.</w:t>
      </w:r>
    </w:p>
    <w:p w:rsidR="00F632F7" w:rsidRPr="00F632F7" w:rsidRDefault="00F632F7" w:rsidP="007C03BE">
      <w:pPr>
        <w:spacing w:line="360" w:lineRule="auto"/>
        <w:jc w:val="both"/>
        <w:rPr>
          <w:rFonts w:ascii="Century Gothic" w:hAnsi="Century Gothic"/>
        </w:rPr>
      </w:pPr>
    </w:p>
    <w:p w:rsidR="00F632F7" w:rsidRDefault="00F632F7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632F7">
        <w:rPr>
          <w:rFonts w:ascii="Century Gothic" w:hAnsi="Century Gothic"/>
          <w:sz w:val="24"/>
          <w:szCs w:val="24"/>
        </w:rPr>
        <w:t>III.- El artículo 5º de la Ley Nº.19537 regula el cobro de los gastos comunes estableciendo plazos para su pago</w:t>
      </w:r>
      <w:r w:rsidR="00687163">
        <w:rPr>
          <w:rFonts w:ascii="Century Gothic" w:hAnsi="Century Gothic"/>
          <w:sz w:val="24"/>
          <w:szCs w:val="24"/>
        </w:rPr>
        <w:t>,</w:t>
      </w:r>
      <w:r w:rsidRPr="00F632F7">
        <w:rPr>
          <w:rFonts w:ascii="Century Gothic" w:hAnsi="Century Gothic"/>
          <w:sz w:val="24"/>
          <w:szCs w:val="24"/>
        </w:rPr>
        <w:t xml:space="preserve"> y particularmente</w:t>
      </w:r>
      <w:r w:rsidR="00687163">
        <w:rPr>
          <w:rFonts w:ascii="Century Gothic" w:hAnsi="Century Gothic"/>
          <w:sz w:val="24"/>
          <w:szCs w:val="24"/>
        </w:rPr>
        <w:t>,</w:t>
      </w:r>
      <w:r w:rsidRPr="00F632F7">
        <w:rPr>
          <w:rFonts w:ascii="Century Gothic" w:hAnsi="Century Gothic"/>
          <w:sz w:val="24"/>
          <w:szCs w:val="24"/>
        </w:rPr>
        <w:t xml:space="preserve"> en el inciso tercero regula la forma cómo </w:t>
      </w:r>
      <w:r w:rsidR="00687163">
        <w:rPr>
          <w:rFonts w:ascii="Century Gothic" w:hAnsi="Century Gothic"/>
          <w:sz w:val="24"/>
          <w:szCs w:val="24"/>
        </w:rPr>
        <w:t>apremiar</w:t>
      </w:r>
      <w:r w:rsidRPr="00F632F7">
        <w:rPr>
          <w:rFonts w:ascii="Century Gothic" w:hAnsi="Century Gothic"/>
          <w:sz w:val="24"/>
          <w:szCs w:val="24"/>
        </w:rPr>
        <w:t xml:space="preserve"> a los copropietarios morosos al pago</w:t>
      </w:r>
      <w:r w:rsidR="00687163">
        <w:rPr>
          <w:rFonts w:ascii="Century Gothic" w:hAnsi="Century Gothic"/>
          <w:sz w:val="24"/>
          <w:szCs w:val="24"/>
        </w:rPr>
        <w:t xml:space="preserve"> efectivo</w:t>
      </w:r>
      <w:r w:rsidRPr="00F632F7">
        <w:rPr>
          <w:rFonts w:ascii="Century Gothic" w:hAnsi="Century Gothic"/>
          <w:sz w:val="24"/>
          <w:szCs w:val="24"/>
        </w:rPr>
        <w:t xml:space="preserve">, en los siguientes términos: </w:t>
      </w:r>
      <w:r>
        <w:rPr>
          <w:rFonts w:ascii="Century Gothic" w:hAnsi="Century Gothic"/>
          <w:sz w:val="24"/>
          <w:szCs w:val="24"/>
        </w:rPr>
        <w:t>“</w:t>
      </w:r>
      <w:r w:rsidRPr="00F632F7">
        <w:rPr>
          <w:rFonts w:ascii="Century Gothic" w:hAnsi="Century Gothic"/>
          <w:i/>
          <w:sz w:val="24"/>
          <w:szCs w:val="24"/>
        </w:rPr>
        <w:t>El reglamento de copropiedad podrá autorizar al administrador para que, con el acuerdo del Comité de Administración, suspenda o requiera la suspensión del servicio eléctrico que se suministra a aquellas unidades cuyos propietarios se encuentren morosos en el pago de tres o más cuotas, continuas o discontinuas, de los gastos comunes.</w:t>
      </w:r>
      <w:r>
        <w:rPr>
          <w:rFonts w:ascii="Century Gothic" w:hAnsi="Century Gothic"/>
          <w:i/>
          <w:sz w:val="24"/>
          <w:szCs w:val="24"/>
        </w:rPr>
        <w:t xml:space="preserve">”. </w:t>
      </w:r>
      <w:r>
        <w:rPr>
          <w:rFonts w:ascii="Century Gothic" w:hAnsi="Century Gothic"/>
          <w:sz w:val="24"/>
          <w:szCs w:val="24"/>
        </w:rPr>
        <w:t xml:space="preserve">Sin embargo, esta herramienta ha resultado insuficiente, </w:t>
      </w:r>
      <w:r>
        <w:rPr>
          <w:rFonts w:ascii="Century Gothic" w:hAnsi="Century Gothic"/>
          <w:sz w:val="24"/>
          <w:szCs w:val="24"/>
        </w:rPr>
        <w:lastRenderedPageBreak/>
        <w:t xml:space="preserve">particularmente en los condominios </w:t>
      </w:r>
      <w:r w:rsidR="00687163">
        <w:rPr>
          <w:rFonts w:ascii="Century Gothic" w:hAnsi="Century Gothic"/>
          <w:sz w:val="24"/>
          <w:szCs w:val="24"/>
        </w:rPr>
        <w:t>conformados</w:t>
      </w:r>
      <w:r>
        <w:rPr>
          <w:rFonts w:ascii="Century Gothic" w:hAnsi="Century Gothic"/>
          <w:sz w:val="24"/>
          <w:szCs w:val="24"/>
        </w:rPr>
        <w:t xml:space="preserve"> por viviendas sociales, que son la mayoría de las construcciones financiadas con cargo a los diferentes programas de Ministerio de Vivienda y Urbanismo</w:t>
      </w:r>
      <w:r w:rsidR="00687163">
        <w:rPr>
          <w:rFonts w:ascii="Century Gothic" w:hAnsi="Century Gothic"/>
          <w:sz w:val="24"/>
          <w:szCs w:val="24"/>
        </w:rPr>
        <w:t xml:space="preserve"> mediante subsidio habitacional</w:t>
      </w:r>
      <w:r>
        <w:rPr>
          <w:rFonts w:ascii="Century Gothic" w:hAnsi="Century Gothic"/>
          <w:sz w:val="24"/>
          <w:szCs w:val="24"/>
        </w:rPr>
        <w:t>.</w:t>
      </w:r>
    </w:p>
    <w:p w:rsidR="00F632F7" w:rsidRDefault="00F632F7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687163" w:rsidRDefault="00F632F7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IV.- Los principales problemas son, que no todos los reglamentos de copropiedad contemplan dicha medida</w:t>
      </w:r>
      <w:r w:rsidR="00687163">
        <w:rPr>
          <w:rFonts w:ascii="Century Gothic" w:hAnsi="Century Gothic"/>
          <w:sz w:val="24"/>
          <w:szCs w:val="24"/>
        </w:rPr>
        <w:t>, condición para su aplicación de conformidad a la ley</w:t>
      </w:r>
      <w:r>
        <w:rPr>
          <w:rFonts w:ascii="Century Gothic" w:hAnsi="Century Gothic"/>
          <w:sz w:val="24"/>
          <w:szCs w:val="24"/>
        </w:rPr>
        <w:t xml:space="preserve">, además supone una morosidad de varios meses, tres o más. </w:t>
      </w:r>
    </w:p>
    <w:p w:rsidR="00687163" w:rsidRDefault="0068716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4B0FEA" w:rsidRDefault="0068716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otro lado, e</w:t>
      </w:r>
      <w:r w:rsidR="00F632F7">
        <w:rPr>
          <w:rFonts w:ascii="Century Gothic" w:hAnsi="Century Gothic"/>
          <w:sz w:val="24"/>
          <w:szCs w:val="24"/>
        </w:rPr>
        <w:t>n la mayoría de los casos, por carecer de sistemas de provisionamiento propio</w:t>
      </w:r>
      <w:r w:rsidR="007C03BE">
        <w:rPr>
          <w:rFonts w:ascii="Century Gothic" w:hAnsi="Century Gothic"/>
          <w:sz w:val="24"/>
          <w:szCs w:val="24"/>
        </w:rPr>
        <w:t xml:space="preserve"> del servicio eléctrico,</w:t>
      </w:r>
      <w:r w:rsidR="00F632F7">
        <w:rPr>
          <w:rFonts w:ascii="Century Gothic" w:hAnsi="Century Gothic"/>
          <w:sz w:val="24"/>
          <w:szCs w:val="24"/>
        </w:rPr>
        <w:t xml:space="preserve"> la suspensión del </w:t>
      </w:r>
      <w:r w:rsidR="007C03BE">
        <w:rPr>
          <w:rFonts w:ascii="Century Gothic" w:hAnsi="Century Gothic"/>
          <w:sz w:val="24"/>
          <w:szCs w:val="24"/>
        </w:rPr>
        <w:t>mismo</w:t>
      </w:r>
      <w:r w:rsidR="00F632F7">
        <w:rPr>
          <w:rFonts w:ascii="Century Gothic" w:hAnsi="Century Gothic"/>
          <w:sz w:val="24"/>
          <w:szCs w:val="24"/>
        </w:rPr>
        <w:t xml:space="preserve"> corresponde a la empresa de distribución eléctrica. Es en este último punto donde se producen las dilaciones</w:t>
      </w:r>
      <w:r>
        <w:rPr>
          <w:rFonts w:ascii="Century Gothic" w:hAnsi="Century Gothic"/>
          <w:sz w:val="24"/>
          <w:szCs w:val="24"/>
        </w:rPr>
        <w:t xml:space="preserve"> de la medida</w:t>
      </w:r>
      <w:r w:rsidR="00F632F7">
        <w:rPr>
          <w:rFonts w:ascii="Century Gothic" w:hAnsi="Century Gothic"/>
          <w:sz w:val="24"/>
          <w:szCs w:val="24"/>
        </w:rPr>
        <w:t xml:space="preserve">, puesto que a pesar de que los condominios sean sociales, </w:t>
      </w:r>
      <w:r>
        <w:rPr>
          <w:rFonts w:ascii="Century Gothic" w:hAnsi="Century Gothic"/>
          <w:sz w:val="24"/>
          <w:szCs w:val="24"/>
        </w:rPr>
        <w:t>construidos y adquiridos en virtud de la</w:t>
      </w:r>
      <w:r w:rsidR="00F632F7">
        <w:rPr>
          <w:rFonts w:ascii="Century Gothic" w:hAnsi="Century Gothic"/>
          <w:sz w:val="24"/>
          <w:szCs w:val="24"/>
        </w:rPr>
        <w:t xml:space="preserve"> situación de vulnerabilidad del copropietario</w:t>
      </w:r>
      <w:r w:rsidR="007C03BE">
        <w:rPr>
          <w:rFonts w:ascii="Century Gothic" w:hAnsi="Century Gothic"/>
          <w:sz w:val="24"/>
          <w:szCs w:val="24"/>
        </w:rPr>
        <w:t xml:space="preserve">, </w:t>
      </w:r>
      <w:r w:rsidR="007C03BE" w:rsidRPr="00D90FCD">
        <w:rPr>
          <w:rFonts w:ascii="Century Gothic" w:hAnsi="Century Gothic"/>
          <w:sz w:val="24"/>
          <w:szCs w:val="24"/>
        </w:rPr>
        <w:t>el costo de la acción de</w:t>
      </w:r>
      <w:r w:rsidR="004B0FEA" w:rsidRPr="00D90FCD">
        <w:rPr>
          <w:rFonts w:ascii="Century Gothic" w:hAnsi="Century Gothic"/>
          <w:sz w:val="24"/>
          <w:szCs w:val="24"/>
        </w:rPr>
        <w:t xml:space="preserve"> corte de suministro deben ser asumidos</w:t>
      </w:r>
      <w:r w:rsidR="007C03BE" w:rsidRPr="00D90FCD">
        <w:rPr>
          <w:rFonts w:ascii="Century Gothic" w:hAnsi="Century Gothic"/>
          <w:sz w:val="24"/>
          <w:szCs w:val="24"/>
        </w:rPr>
        <w:t xml:space="preserve"> por la copropiedad</w:t>
      </w:r>
      <w:r w:rsidR="004B0FEA" w:rsidRPr="00D90FCD">
        <w:rPr>
          <w:rFonts w:ascii="Century Gothic" w:hAnsi="Century Gothic"/>
          <w:sz w:val="24"/>
          <w:szCs w:val="24"/>
        </w:rPr>
        <w:t xml:space="preserve"> en su conjunto.</w:t>
      </w:r>
    </w:p>
    <w:p w:rsidR="004B0FEA" w:rsidRDefault="004B0FEA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C03BE" w:rsidRDefault="004B0FEA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Estos</w:t>
      </w:r>
      <w:r w:rsidR="007C03BE">
        <w:rPr>
          <w:rFonts w:ascii="Century Gothic" w:hAnsi="Century Gothic"/>
          <w:sz w:val="24"/>
          <w:szCs w:val="24"/>
        </w:rPr>
        <w:t xml:space="preserve"> procesos que comienzan con la solicitud</w:t>
      </w:r>
      <w:r>
        <w:rPr>
          <w:rFonts w:ascii="Century Gothic" w:hAnsi="Century Gothic"/>
          <w:sz w:val="24"/>
          <w:szCs w:val="24"/>
        </w:rPr>
        <w:t>, de</w:t>
      </w:r>
      <w:r w:rsidR="007C03BE">
        <w:rPr>
          <w:rFonts w:ascii="Century Gothic" w:hAnsi="Century Gothic"/>
          <w:sz w:val="24"/>
          <w:szCs w:val="24"/>
        </w:rPr>
        <w:t xml:space="preserve">be cumplir los requisitos del Decreto Supremo </w:t>
      </w:r>
      <w:r>
        <w:rPr>
          <w:rFonts w:ascii="Century Gothic" w:hAnsi="Century Gothic"/>
          <w:sz w:val="24"/>
          <w:szCs w:val="24"/>
        </w:rPr>
        <w:t xml:space="preserve">Nº </w:t>
      </w:r>
      <w:r w:rsidR="007C03BE">
        <w:rPr>
          <w:rFonts w:ascii="Century Gothic" w:hAnsi="Century Gothic"/>
          <w:sz w:val="24"/>
          <w:szCs w:val="24"/>
        </w:rPr>
        <w:t>46 del Ministerio de Vivienda y Urbanismo que en su artículo 14º indica que “</w:t>
      </w:r>
      <w:r w:rsidR="007C03BE" w:rsidRPr="007C03BE">
        <w:rPr>
          <w:rFonts w:ascii="Century Gothic" w:hAnsi="Century Gothic"/>
          <w:i/>
          <w:sz w:val="24"/>
          <w:szCs w:val="24"/>
        </w:rPr>
        <w:t>El reglamento de copropiedad podrá autorizar al administrador para que, con el acuerdo previo del Comité de Administración para cada caso en particular, proceda a suspender o requerir la suspensión del servicio eléctrico que se suministra a aquellas unidades cuyos propietarios se encuentren morosos en el pago de tres o más cuotas, continuas o discontinuas, de los gastos comunes.</w:t>
      </w:r>
    </w:p>
    <w:p w:rsidR="00687163" w:rsidRPr="007C03BE" w:rsidRDefault="0068716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i/>
          <w:sz w:val="24"/>
          <w:szCs w:val="24"/>
        </w:rPr>
      </w:pPr>
    </w:p>
    <w:p w:rsidR="004B0FEA" w:rsidRDefault="007C03BE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03BE">
        <w:rPr>
          <w:rFonts w:ascii="Century Gothic" w:hAnsi="Century Gothic"/>
          <w:i/>
          <w:sz w:val="24"/>
          <w:szCs w:val="24"/>
        </w:rPr>
        <w:t xml:space="preserve">     Si el condominio no dispusiere de sistemas propios de control para el paso de dicho servicio, las empresas que lo suministren, a requerimiento </w:t>
      </w:r>
      <w:r w:rsidRPr="007C03BE">
        <w:rPr>
          <w:rFonts w:ascii="Century Gothic" w:hAnsi="Century Gothic"/>
          <w:i/>
          <w:sz w:val="24"/>
          <w:szCs w:val="24"/>
        </w:rPr>
        <w:lastRenderedPageBreak/>
        <w:t xml:space="preserve">escrito del administrador y previa autorización del Comité de Administración para cada caso en particular, deberán suspender el servicio que proporcionen a aquellas unidades cuyos propietarios se encuentren morosos en el pago de </w:t>
      </w:r>
      <w:r w:rsidRPr="007C03BE">
        <w:rPr>
          <w:rFonts w:ascii="Century Gothic" w:hAnsi="Century Gothic"/>
          <w:sz w:val="24"/>
          <w:szCs w:val="24"/>
        </w:rPr>
        <w:t>tres o más cuotas, continuas o discontinuas, de los gastos comunes</w:t>
      </w:r>
      <w:r w:rsidR="002E3354">
        <w:rPr>
          <w:rFonts w:ascii="Century Gothic" w:hAnsi="Century Gothic"/>
          <w:sz w:val="24"/>
          <w:szCs w:val="24"/>
        </w:rPr>
        <w:t>”</w:t>
      </w:r>
      <w:r w:rsidRPr="007C03BE">
        <w:rPr>
          <w:rFonts w:ascii="Century Gothic" w:hAnsi="Century Gothic"/>
          <w:sz w:val="24"/>
          <w:szCs w:val="24"/>
        </w:rPr>
        <w:t>.</w:t>
      </w:r>
    </w:p>
    <w:p w:rsidR="007C03BE" w:rsidRDefault="007C03BE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C03BE" w:rsidRPr="007C03BE" w:rsidRDefault="007C03BE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V.- Que los costos de corte en estos casos deben ser asumidos por las copropiedades </w:t>
      </w:r>
      <w:r>
        <w:rPr>
          <w:rFonts w:ascii="Century Gothic" w:hAnsi="Century Gothic"/>
          <w:i/>
          <w:sz w:val="24"/>
          <w:szCs w:val="24"/>
        </w:rPr>
        <w:t xml:space="preserve">in </w:t>
      </w:r>
      <w:proofErr w:type="spellStart"/>
      <w:r>
        <w:rPr>
          <w:rFonts w:ascii="Century Gothic" w:hAnsi="Century Gothic"/>
          <w:i/>
          <w:sz w:val="24"/>
          <w:szCs w:val="24"/>
        </w:rPr>
        <w:t>solidum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, </w:t>
      </w:r>
      <w:bookmarkStart w:id="0" w:name="_Hlk16678144"/>
      <w:r>
        <w:rPr>
          <w:rFonts w:ascii="Century Gothic" w:hAnsi="Century Gothic"/>
          <w:sz w:val="24"/>
          <w:szCs w:val="24"/>
        </w:rPr>
        <w:t>costos que en los casos de condominios de viviendas sociales particularmente no pueden ser asumidos, por lo tanto, en estos casos la posibilidad de apremiar a los copropietarios morosos pierde efectividad. En los demás casos resulta evidentemente injusto que sean los copropietarios</w:t>
      </w:r>
      <w:r w:rsidR="004B0FEA">
        <w:rPr>
          <w:rFonts w:ascii="Century Gothic" w:hAnsi="Century Gothic"/>
          <w:sz w:val="24"/>
          <w:szCs w:val="24"/>
        </w:rPr>
        <w:t xml:space="preserve"> quienes</w:t>
      </w:r>
      <w:r>
        <w:rPr>
          <w:rFonts w:ascii="Century Gothic" w:hAnsi="Century Gothic"/>
          <w:sz w:val="24"/>
          <w:szCs w:val="24"/>
        </w:rPr>
        <w:t xml:space="preserve"> en su conjunto deban asumir el costo de la irresponsabilidad de uno de ellos, haciéndose necesaria la modificación que implique el traspaso de los costos a los deudores.</w:t>
      </w:r>
      <w:r w:rsidR="00ED7833">
        <w:rPr>
          <w:rFonts w:ascii="Century Gothic" w:hAnsi="Century Gothic"/>
          <w:sz w:val="24"/>
          <w:szCs w:val="24"/>
        </w:rPr>
        <w:t xml:space="preserve"> </w:t>
      </w:r>
      <w:bookmarkEnd w:id="0"/>
      <w:r w:rsidR="00ED7833" w:rsidRPr="00D90FCD">
        <w:rPr>
          <w:rFonts w:ascii="Century Gothic" w:hAnsi="Century Gothic"/>
          <w:sz w:val="24"/>
          <w:szCs w:val="24"/>
        </w:rPr>
        <w:t xml:space="preserve">Los costos del servicio de corte, y además la posterior reposición fluctúan entre los </w:t>
      </w:r>
      <w:r w:rsidR="004B0FEA" w:rsidRPr="00D90FCD">
        <w:rPr>
          <w:rFonts w:ascii="Century Gothic" w:hAnsi="Century Gothic"/>
          <w:sz w:val="24"/>
          <w:szCs w:val="24"/>
        </w:rPr>
        <w:t>19.000 mil y los 40.000 pesos</w:t>
      </w:r>
      <w:bookmarkStart w:id="1" w:name="_GoBack"/>
      <w:bookmarkEnd w:id="1"/>
      <w:r w:rsidR="00A76F59" w:rsidRPr="00D90FCD">
        <w:rPr>
          <w:rFonts w:ascii="Century Gothic" w:hAnsi="Century Gothic"/>
          <w:sz w:val="24"/>
          <w:szCs w:val="24"/>
        </w:rPr>
        <w:t>,</w:t>
      </w:r>
      <w:r w:rsidR="00A76F59">
        <w:rPr>
          <w:rFonts w:ascii="Century Gothic" w:hAnsi="Century Gothic"/>
          <w:sz w:val="24"/>
          <w:szCs w:val="24"/>
        </w:rPr>
        <w:t xml:space="preserve"> sin considerar otros servicios no regulados que pudiese implicar esta acción, como la revisión de antecedentes de la copropiedad y su administración</w:t>
      </w:r>
      <w:r w:rsidR="004B0FEA">
        <w:rPr>
          <w:rFonts w:ascii="Century Gothic" w:hAnsi="Century Gothic"/>
          <w:sz w:val="24"/>
          <w:szCs w:val="24"/>
        </w:rPr>
        <w:t>, que en el caso de cobrarse a la copropiedad constituye sin lugar a dudas una transgresión a la convivencia al interior de la copropiedad.</w:t>
      </w:r>
    </w:p>
    <w:p w:rsidR="007C03BE" w:rsidRDefault="007C03BE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Pr="00ED7833" w:rsidRDefault="00ED7833" w:rsidP="00ED7833">
      <w:pPr>
        <w:pStyle w:val="HTMLconformatoprevio"/>
        <w:shd w:val="clear" w:color="auto" w:fill="FFFFFF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ED7833">
        <w:rPr>
          <w:rFonts w:ascii="Century Gothic" w:hAnsi="Century Gothic"/>
          <w:b/>
          <w:sz w:val="24"/>
          <w:szCs w:val="24"/>
        </w:rPr>
        <w:t>MODIFICACIONES PROPUESTAS</w:t>
      </w:r>
    </w:p>
    <w:p w:rsidR="00ED7833" w:rsidRDefault="00ED783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C03BE" w:rsidRDefault="007C03BE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VI.- Creemos que esta normativa se debe simplificar y modificar, en cuatro sentidos a saber:</w:t>
      </w:r>
    </w:p>
    <w:p w:rsidR="007C03BE" w:rsidRDefault="007C03BE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C03BE" w:rsidRDefault="004B0FEA" w:rsidP="00ED7833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bookmarkStart w:id="2" w:name="_Hlk16678718"/>
      <w:r>
        <w:rPr>
          <w:rFonts w:ascii="Century Gothic" w:hAnsi="Century Gothic"/>
          <w:sz w:val="24"/>
          <w:szCs w:val="24"/>
        </w:rPr>
        <w:t>Otorgar</w:t>
      </w:r>
      <w:r w:rsidR="007C03BE">
        <w:rPr>
          <w:rFonts w:ascii="Century Gothic" w:hAnsi="Century Gothic"/>
          <w:sz w:val="24"/>
          <w:szCs w:val="24"/>
        </w:rPr>
        <w:t xml:space="preserve"> al administrador o al comité de administración </w:t>
      </w:r>
      <w:r>
        <w:rPr>
          <w:rFonts w:ascii="Century Gothic" w:hAnsi="Century Gothic"/>
          <w:sz w:val="24"/>
          <w:szCs w:val="24"/>
        </w:rPr>
        <w:t>la facultad de que</w:t>
      </w:r>
      <w:r w:rsidR="007C03BE">
        <w:rPr>
          <w:rFonts w:ascii="Century Gothic" w:hAnsi="Century Gothic"/>
          <w:sz w:val="24"/>
          <w:szCs w:val="24"/>
        </w:rPr>
        <w:t>, al igual como lo señala el artículo 27 de la Ley de Copropiedad, pueda levantar un acta</w:t>
      </w:r>
      <w:r>
        <w:rPr>
          <w:rFonts w:ascii="Century Gothic" w:hAnsi="Century Gothic"/>
          <w:sz w:val="24"/>
          <w:szCs w:val="24"/>
        </w:rPr>
        <w:t xml:space="preserve"> o certificación</w:t>
      </w:r>
      <w:r w:rsidR="007C03BE">
        <w:rPr>
          <w:rFonts w:ascii="Century Gothic" w:hAnsi="Century Gothic"/>
          <w:sz w:val="24"/>
          <w:szCs w:val="24"/>
        </w:rPr>
        <w:t xml:space="preserve"> que dé </w:t>
      </w:r>
      <w:r w:rsidR="007C03BE">
        <w:rPr>
          <w:rFonts w:ascii="Century Gothic" w:hAnsi="Century Gothic"/>
          <w:sz w:val="24"/>
          <w:szCs w:val="24"/>
        </w:rPr>
        <w:lastRenderedPageBreak/>
        <w:t>cuenta de la deuda, que sirva de fundamento suficiente para solicitar la suspensión del suministro, desde que se devengue el segundo mes de gastos comunes impago</w:t>
      </w:r>
      <w:r w:rsidR="002E3354">
        <w:rPr>
          <w:rFonts w:ascii="Century Gothic" w:hAnsi="Century Gothic"/>
          <w:sz w:val="24"/>
          <w:szCs w:val="24"/>
        </w:rPr>
        <w:t>s</w:t>
      </w:r>
      <w:r w:rsidR="007C03BE">
        <w:rPr>
          <w:rFonts w:ascii="Century Gothic" w:hAnsi="Century Gothic"/>
          <w:sz w:val="24"/>
          <w:szCs w:val="24"/>
        </w:rPr>
        <w:t>.</w:t>
      </w:r>
    </w:p>
    <w:p w:rsidR="001F5D32" w:rsidRPr="00ED7833" w:rsidRDefault="001F5D32" w:rsidP="001F5D32">
      <w:pPr>
        <w:pStyle w:val="HTMLconformatoprevio"/>
        <w:shd w:val="clear" w:color="auto" w:fill="FFFFFF"/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7C03BE" w:rsidRDefault="004B0FEA" w:rsidP="007C03BE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Fijar</w:t>
      </w:r>
      <w:r w:rsidR="007C03BE">
        <w:rPr>
          <w:rFonts w:ascii="Century Gothic" w:hAnsi="Century Gothic"/>
          <w:sz w:val="24"/>
          <w:szCs w:val="24"/>
        </w:rPr>
        <w:t xml:space="preserve"> un plazo breve a la empresa distribuidora de electricidad para llevar a cabo </w:t>
      </w:r>
      <w:r>
        <w:rPr>
          <w:rFonts w:ascii="Century Gothic" w:hAnsi="Century Gothic"/>
          <w:sz w:val="24"/>
          <w:szCs w:val="24"/>
        </w:rPr>
        <w:t>la suspensión del servicio</w:t>
      </w:r>
      <w:r w:rsidR="007C03BE">
        <w:rPr>
          <w:rFonts w:ascii="Century Gothic" w:hAnsi="Century Gothic"/>
          <w:sz w:val="24"/>
          <w:szCs w:val="24"/>
        </w:rPr>
        <w:t>.</w:t>
      </w:r>
    </w:p>
    <w:p w:rsidR="001F5D32" w:rsidRPr="00ED7833" w:rsidRDefault="001F5D32" w:rsidP="001F5D32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Default="007C03BE" w:rsidP="00ED7833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el costo del servicio </w:t>
      </w:r>
      <w:r w:rsidR="004B0FEA">
        <w:rPr>
          <w:rFonts w:ascii="Century Gothic" w:hAnsi="Century Gothic"/>
          <w:sz w:val="24"/>
          <w:szCs w:val="24"/>
        </w:rPr>
        <w:t>de corte y reposición sea asumido íntegramente en sus facturaciones por el copropietario moroso</w:t>
      </w:r>
      <w:r>
        <w:rPr>
          <w:rFonts w:ascii="Century Gothic" w:hAnsi="Century Gothic"/>
          <w:sz w:val="24"/>
          <w:szCs w:val="24"/>
        </w:rPr>
        <w:t>.</w:t>
      </w:r>
    </w:p>
    <w:p w:rsidR="004B0FEA" w:rsidRPr="00ED7833" w:rsidRDefault="004B0FEA" w:rsidP="004B0FEA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Default="00ED7833" w:rsidP="007C03BE">
      <w:pPr>
        <w:pStyle w:val="HTMLconformatoprevio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la medida </w:t>
      </w:r>
      <w:r w:rsidR="004B0FEA">
        <w:rPr>
          <w:rFonts w:ascii="Century Gothic" w:hAnsi="Century Gothic"/>
          <w:sz w:val="24"/>
          <w:szCs w:val="24"/>
        </w:rPr>
        <w:t>de suspensión del suministro eléctrico tenga el carácter legal</w:t>
      </w:r>
      <w:r>
        <w:rPr>
          <w:rFonts w:ascii="Century Gothic" w:hAnsi="Century Gothic"/>
          <w:sz w:val="24"/>
          <w:szCs w:val="24"/>
        </w:rPr>
        <w:t xml:space="preserve">, </w:t>
      </w:r>
      <w:r w:rsidR="004B0FEA">
        <w:rPr>
          <w:rFonts w:ascii="Century Gothic" w:hAnsi="Century Gothic"/>
          <w:sz w:val="24"/>
          <w:szCs w:val="24"/>
        </w:rPr>
        <w:t xml:space="preserve">con </w:t>
      </w:r>
      <w:r>
        <w:rPr>
          <w:rFonts w:ascii="Century Gothic" w:hAnsi="Century Gothic"/>
          <w:sz w:val="24"/>
          <w:szCs w:val="24"/>
        </w:rPr>
        <w:t>independ</w:t>
      </w:r>
      <w:r w:rsidR="004B0FEA">
        <w:rPr>
          <w:rFonts w:ascii="Century Gothic" w:hAnsi="Century Gothic"/>
          <w:sz w:val="24"/>
          <w:szCs w:val="24"/>
        </w:rPr>
        <w:t>encia de que existan en los reglamentos de copropiedad referencias a la misma</w:t>
      </w:r>
      <w:r>
        <w:rPr>
          <w:rFonts w:ascii="Century Gothic" w:hAnsi="Century Gothic"/>
          <w:sz w:val="24"/>
          <w:szCs w:val="24"/>
        </w:rPr>
        <w:t>.</w:t>
      </w:r>
    </w:p>
    <w:bookmarkEnd w:id="2"/>
    <w:p w:rsidR="00ED7833" w:rsidRPr="001F5D32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ED7833" w:rsidRPr="001F5D32" w:rsidRDefault="00ED7833" w:rsidP="00ED7833">
      <w:pPr>
        <w:pStyle w:val="HTMLconformatoprevio"/>
        <w:shd w:val="clear" w:color="auto" w:fill="FFFFFF"/>
        <w:tabs>
          <w:tab w:val="clear" w:pos="916"/>
          <w:tab w:val="left" w:pos="0"/>
        </w:tabs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1F5D32">
        <w:rPr>
          <w:rFonts w:ascii="Century Gothic" w:hAnsi="Century Gothic"/>
          <w:b/>
          <w:sz w:val="24"/>
          <w:szCs w:val="24"/>
        </w:rPr>
        <w:t>EN RAZON DE LO ANTERIOR ES QUE VENIMOS EN PROPONER A ESTA HONORABLE CÁMARA DE DIPUTADOS EL SIGUIENTE:</w:t>
      </w:r>
    </w:p>
    <w:p w:rsidR="00ED7833" w:rsidRPr="00ED7833" w:rsidRDefault="00ED7833" w:rsidP="00ED7833">
      <w:pPr>
        <w:pStyle w:val="HTMLconformatoprevio"/>
        <w:shd w:val="clear" w:color="auto" w:fill="FFFFFF"/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D7833" w:rsidRPr="00ED7833" w:rsidRDefault="00ED7833" w:rsidP="00ED7833">
      <w:pPr>
        <w:pStyle w:val="HTMLconformatoprevio"/>
        <w:shd w:val="clear" w:color="auto" w:fill="FFFFFF"/>
        <w:spacing w:line="360" w:lineRule="auto"/>
        <w:ind w:left="860"/>
        <w:jc w:val="center"/>
        <w:rPr>
          <w:rFonts w:ascii="Century Gothic" w:hAnsi="Century Gothic"/>
          <w:b/>
          <w:sz w:val="24"/>
          <w:szCs w:val="24"/>
        </w:rPr>
      </w:pPr>
      <w:r w:rsidRPr="00ED7833">
        <w:rPr>
          <w:rFonts w:ascii="Century Gothic" w:hAnsi="Century Gothic"/>
          <w:b/>
          <w:sz w:val="24"/>
          <w:szCs w:val="24"/>
        </w:rPr>
        <w:t>PROYECTO DE LEY</w:t>
      </w:r>
    </w:p>
    <w:p w:rsidR="007C03BE" w:rsidRDefault="007C03BE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C03BE" w:rsidRDefault="00ED783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Artículo único. Introdúzcanse las siguientes modificaciones a la le</w:t>
      </w:r>
      <w:r w:rsidR="002E3354">
        <w:rPr>
          <w:rFonts w:ascii="Century Gothic" w:hAnsi="Century Gothic"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 xml:space="preserve"> Nº19.537 </w:t>
      </w:r>
      <w:r w:rsidR="002E3354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obre Copropiedad Inmobiliaria:</w:t>
      </w:r>
    </w:p>
    <w:p w:rsidR="00ED7833" w:rsidRDefault="00ED783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Default="00ED783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1).- Sustitúyanse los incisos tercero y cuarto del artículo 5º por los que siguen:</w:t>
      </w:r>
    </w:p>
    <w:p w:rsidR="00ED7833" w:rsidRDefault="00ED783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Pr="00ED7833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administrador o el comité de administración</w:t>
      </w:r>
      <w:r w:rsidR="004B0FEA">
        <w:rPr>
          <w:rFonts w:ascii="Century Gothic" w:hAnsi="Century Gothic"/>
          <w:sz w:val="24"/>
          <w:szCs w:val="24"/>
        </w:rPr>
        <w:t xml:space="preserve"> en su </w:t>
      </w:r>
      <w:r w:rsidR="002E3354">
        <w:rPr>
          <w:rFonts w:ascii="Century Gothic" w:hAnsi="Century Gothic"/>
          <w:sz w:val="24"/>
          <w:szCs w:val="24"/>
        </w:rPr>
        <w:t>caso</w:t>
      </w:r>
      <w:r>
        <w:rPr>
          <w:rFonts w:ascii="Century Gothic" w:hAnsi="Century Gothic"/>
          <w:sz w:val="24"/>
          <w:szCs w:val="24"/>
        </w:rPr>
        <w:t xml:space="preserve"> certificar</w:t>
      </w:r>
      <w:r w:rsidR="002E3354"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</w:rPr>
        <w:t xml:space="preserve">n el hecho de adeudarse gastos comunes </w:t>
      </w:r>
      <w:r w:rsidR="004B0FEA">
        <w:rPr>
          <w:rFonts w:ascii="Century Gothic" w:hAnsi="Century Gothic"/>
          <w:sz w:val="24"/>
          <w:szCs w:val="24"/>
        </w:rPr>
        <w:t>respecto de una unidad</w:t>
      </w:r>
      <w:r w:rsidR="002E3354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2E3354">
        <w:rPr>
          <w:rFonts w:ascii="Century Gothic" w:hAnsi="Century Gothic"/>
          <w:sz w:val="24"/>
          <w:szCs w:val="24"/>
        </w:rPr>
        <w:t>l</w:t>
      </w:r>
      <w:r w:rsidR="004B0FEA">
        <w:rPr>
          <w:rFonts w:ascii="Century Gothic" w:hAnsi="Century Gothic"/>
          <w:sz w:val="24"/>
          <w:szCs w:val="24"/>
        </w:rPr>
        <w:t>o anterior</w:t>
      </w:r>
      <w:r w:rsidR="001F5D3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autoriz</w:t>
      </w:r>
      <w:r w:rsidR="001F5D32">
        <w:rPr>
          <w:rFonts w:ascii="Century Gothic" w:hAnsi="Century Gothic"/>
          <w:sz w:val="24"/>
          <w:szCs w:val="24"/>
        </w:rPr>
        <w:t>ará</w:t>
      </w:r>
      <w:r>
        <w:rPr>
          <w:rFonts w:ascii="Century Gothic" w:hAnsi="Century Gothic"/>
          <w:sz w:val="24"/>
          <w:szCs w:val="24"/>
        </w:rPr>
        <w:t xml:space="preserve"> la suspensión</w:t>
      </w:r>
      <w:r w:rsidRPr="00ED7833">
        <w:rPr>
          <w:rFonts w:ascii="Century Gothic" w:hAnsi="Century Gothic"/>
          <w:sz w:val="24"/>
          <w:szCs w:val="24"/>
        </w:rPr>
        <w:t xml:space="preserve"> del servicio eléctrico que se suministra a aquellas </w:t>
      </w:r>
      <w:r w:rsidRPr="00ED7833">
        <w:rPr>
          <w:rFonts w:ascii="Century Gothic" w:hAnsi="Century Gothic"/>
          <w:sz w:val="24"/>
          <w:szCs w:val="24"/>
        </w:rPr>
        <w:lastRenderedPageBreak/>
        <w:t xml:space="preserve">unidades cuyos propietarios se encuentren morosos en el pago de </w:t>
      </w:r>
      <w:r>
        <w:rPr>
          <w:rFonts w:ascii="Century Gothic" w:hAnsi="Century Gothic"/>
          <w:sz w:val="24"/>
          <w:szCs w:val="24"/>
        </w:rPr>
        <w:t>dos</w:t>
      </w:r>
      <w:r w:rsidRPr="00ED7833">
        <w:rPr>
          <w:rFonts w:ascii="Century Gothic" w:hAnsi="Century Gothic"/>
          <w:sz w:val="24"/>
          <w:szCs w:val="24"/>
        </w:rPr>
        <w:t xml:space="preserve"> o más </w:t>
      </w:r>
      <w:r>
        <w:rPr>
          <w:rFonts w:ascii="Century Gothic" w:hAnsi="Century Gothic"/>
          <w:sz w:val="24"/>
          <w:szCs w:val="24"/>
        </w:rPr>
        <w:t>meses</w:t>
      </w:r>
      <w:r w:rsidRPr="00ED7833">
        <w:rPr>
          <w:rFonts w:ascii="Century Gothic" w:hAnsi="Century Gothic"/>
          <w:sz w:val="24"/>
          <w:szCs w:val="24"/>
        </w:rPr>
        <w:t>.</w:t>
      </w:r>
    </w:p>
    <w:p w:rsidR="00ED7833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ED7833">
        <w:rPr>
          <w:rFonts w:ascii="Century Gothic" w:hAnsi="Century Gothic"/>
          <w:sz w:val="24"/>
          <w:szCs w:val="24"/>
        </w:rPr>
        <w:t xml:space="preserve">Si el condominio no dispusiere de sistemas propios de control para el paso de dicho servicio, las empresas que lo suministren, a requerimiento escrito del administrador </w:t>
      </w:r>
      <w:r>
        <w:rPr>
          <w:rFonts w:ascii="Century Gothic" w:hAnsi="Century Gothic"/>
          <w:sz w:val="24"/>
          <w:szCs w:val="24"/>
        </w:rPr>
        <w:t>o del</w:t>
      </w:r>
      <w:r w:rsidRPr="00ED7833">
        <w:rPr>
          <w:rFonts w:ascii="Century Gothic" w:hAnsi="Century Gothic"/>
          <w:sz w:val="24"/>
          <w:szCs w:val="24"/>
        </w:rPr>
        <w:t xml:space="preserve"> Comité de Administración</w:t>
      </w:r>
      <w:r w:rsidR="004B0FEA">
        <w:rPr>
          <w:rFonts w:ascii="Century Gothic" w:hAnsi="Century Gothic"/>
          <w:sz w:val="24"/>
          <w:szCs w:val="24"/>
        </w:rPr>
        <w:t>, al que acompañarán la certificación de la deuda</w:t>
      </w:r>
      <w:r w:rsidRPr="00ED7833">
        <w:rPr>
          <w:rFonts w:ascii="Century Gothic" w:hAnsi="Century Gothic"/>
          <w:sz w:val="24"/>
          <w:szCs w:val="24"/>
        </w:rPr>
        <w:t>, deberán suspender el servicio que proporcionen a aquellas unidades cuyos propietarios se encuentren en la situación descrita en el inciso anterior.</w:t>
      </w:r>
      <w:r>
        <w:rPr>
          <w:rFonts w:ascii="Century Gothic" w:hAnsi="Century Gothic"/>
          <w:sz w:val="24"/>
          <w:szCs w:val="24"/>
        </w:rPr>
        <w:t xml:space="preserve"> </w:t>
      </w:r>
      <w:r w:rsidR="004B0FEA">
        <w:rPr>
          <w:rFonts w:ascii="Century Gothic" w:hAnsi="Century Gothic"/>
          <w:sz w:val="24"/>
          <w:szCs w:val="24"/>
        </w:rPr>
        <w:t>La suspensión del servicio</w:t>
      </w:r>
      <w:r>
        <w:rPr>
          <w:rFonts w:ascii="Century Gothic" w:hAnsi="Century Gothic"/>
          <w:sz w:val="24"/>
          <w:szCs w:val="24"/>
        </w:rPr>
        <w:t xml:space="preserve"> se llevará a cabo en el plazo de 5 días hábiles desde la solicitud.</w:t>
      </w:r>
    </w:p>
    <w:p w:rsidR="00ED7833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2.- Incorpórese un nuevo inciso sexto del siguiente tenor:</w:t>
      </w:r>
    </w:p>
    <w:p w:rsidR="00ED7833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D7833" w:rsidRDefault="00ED7833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empresas distribuidoras </w:t>
      </w:r>
      <w:r w:rsidR="001F5D32">
        <w:rPr>
          <w:rFonts w:ascii="Century Gothic" w:hAnsi="Century Gothic"/>
          <w:sz w:val="24"/>
          <w:szCs w:val="24"/>
        </w:rPr>
        <w:t>que suministren el servicio de electricidad al condominio, harán efectivo el cobro del servicio de corte y reposición</w:t>
      </w:r>
      <w:r>
        <w:rPr>
          <w:rFonts w:ascii="Century Gothic" w:hAnsi="Century Gothic"/>
          <w:sz w:val="24"/>
          <w:szCs w:val="24"/>
        </w:rPr>
        <w:t xml:space="preserve"> al deudor moroso de gastos comunes en los siguientes periodos de facturación.</w:t>
      </w:r>
    </w:p>
    <w:p w:rsidR="001F5D32" w:rsidRDefault="001F5D32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F5D32" w:rsidRDefault="001F5D32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F5D32" w:rsidRDefault="001F5D32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F5D32" w:rsidRDefault="001F5D32" w:rsidP="00ED7833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F5D32" w:rsidRPr="001F5D32" w:rsidRDefault="001F5D32" w:rsidP="001F5D32">
      <w:pPr>
        <w:pStyle w:val="HTMLconformatoprevio"/>
        <w:shd w:val="clear" w:color="auto" w:fill="FFFFFF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F5D32" w:rsidRPr="001F5D32" w:rsidRDefault="001F5D32" w:rsidP="001F5D32">
      <w:pPr>
        <w:pStyle w:val="HTMLconformatoprevio"/>
        <w:shd w:val="clear" w:color="auto" w:fill="FFFFFF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1F5D32">
        <w:rPr>
          <w:rFonts w:ascii="Century Gothic" w:hAnsi="Century Gothic"/>
          <w:b/>
          <w:sz w:val="24"/>
          <w:szCs w:val="24"/>
        </w:rPr>
        <w:t>ANDRÉS LONGTON HERRERA</w:t>
      </w:r>
    </w:p>
    <w:p w:rsidR="001F5D32" w:rsidRPr="001F5D32" w:rsidRDefault="001F5D32" w:rsidP="001F5D32">
      <w:pPr>
        <w:pStyle w:val="HTMLconformatoprevio"/>
        <w:shd w:val="clear" w:color="auto" w:fill="FFFFFF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1F5D32">
        <w:rPr>
          <w:rFonts w:ascii="Century Gothic" w:hAnsi="Century Gothic"/>
          <w:b/>
          <w:sz w:val="24"/>
          <w:szCs w:val="24"/>
        </w:rPr>
        <w:t>DIPUTADO</w:t>
      </w:r>
    </w:p>
    <w:p w:rsidR="00ED7833" w:rsidRPr="00F632F7" w:rsidRDefault="00ED7833" w:rsidP="007C03BE">
      <w:pPr>
        <w:pStyle w:val="HTMLconformatoprevio"/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ED7833" w:rsidRPr="00F632F7" w:rsidSect="00F95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226"/>
    <w:multiLevelType w:val="hybridMultilevel"/>
    <w:tmpl w:val="542EC840"/>
    <w:lvl w:ilvl="0" w:tplc="57467148">
      <w:start w:val="1"/>
      <w:numFmt w:val="lowerLetter"/>
      <w:lvlText w:val="%1)"/>
      <w:lvlJc w:val="left"/>
      <w:pPr>
        <w:ind w:left="860" w:hanging="5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632F7"/>
    <w:rsid w:val="000C774D"/>
    <w:rsid w:val="000F7DD0"/>
    <w:rsid w:val="001C7DD6"/>
    <w:rsid w:val="001F5D32"/>
    <w:rsid w:val="002E3354"/>
    <w:rsid w:val="004B0FEA"/>
    <w:rsid w:val="005E61DD"/>
    <w:rsid w:val="00687163"/>
    <w:rsid w:val="00791E57"/>
    <w:rsid w:val="007A1785"/>
    <w:rsid w:val="007C03BE"/>
    <w:rsid w:val="00A76F59"/>
    <w:rsid w:val="00C06A5A"/>
    <w:rsid w:val="00D90FCD"/>
    <w:rsid w:val="00ED7833"/>
    <w:rsid w:val="00F632F7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63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632F7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CONTRERAS Y ASOCIADOS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CONTRERAS</dc:creator>
  <cp:keywords/>
  <dc:description/>
  <cp:lastModifiedBy>Guillermo Diaz Vallejos</cp:lastModifiedBy>
  <cp:revision>11</cp:revision>
  <dcterms:created xsi:type="dcterms:W3CDTF">2019-08-08T14:18:00Z</dcterms:created>
  <dcterms:modified xsi:type="dcterms:W3CDTF">2019-09-03T17:53:00Z</dcterms:modified>
</cp:coreProperties>
</file>