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2A" w:rsidRDefault="00194EFB" w:rsidP="006B3372">
      <w:pPr>
        <w:spacing w:after="0" w:line="276" w:lineRule="auto"/>
        <w:rPr>
          <w:rFonts w:cstheme="minorHAnsi"/>
          <w:b/>
          <w:smallCaps/>
          <w:sz w:val="26"/>
          <w:szCs w:val="26"/>
        </w:rPr>
      </w:pPr>
      <w:r w:rsidRPr="00194EFB">
        <w:rPr>
          <w:rFonts w:cstheme="minorHAnsi"/>
          <w:b/>
          <w:smallCaps/>
          <w:sz w:val="26"/>
          <w:szCs w:val="26"/>
        </w:rPr>
        <w:t>Modifica el Código Penal para tipificar como delito o falta, según cuantía de lo evadido, la negativa injustificada por parte del cliente a pagar el valor de los productos o servicios consumidos o recibidos, en los establecimientos que indica</w:t>
      </w:r>
    </w:p>
    <w:p w:rsidR="00194EFB" w:rsidRDefault="00194EFB" w:rsidP="006B3372">
      <w:pPr>
        <w:spacing w:after="0" w:line="276" w:lineRule="auto"/>
        <w:rPr>
          <w:rFonts w:cstheme="minorHAnsi"/>
          <w:b/>
          <w:smallCaps/>
          <w:sz w:val="26"/>
          <w:szCs w:val="26"/>
        </w:rPr>
      </w:pPr>
    </w:p>
    <w:p w:rsidR="00194EFB" w:rsidRDefault="00194EFB" w:rsidP="00194EFB">
      <w:pPr>
        <w:spacing w:after="0" w:line="276" w:lineRule="auto"/>
        <w:jc w:val="center"/>
        <w:rPr>
          <w:rFonts w:cstheme="minorHAnsi"/>
          <w:b/>
          <w:bCs/>
          <w:smallCaps/>
          <w:u w:val="single"/>
        </w:rPr>
      </w:pPr>
      <w:r>
        <w:rPr>
          <w:rFonts w:cstheme="minorHAnsi"/>
          <w:b/>
          <w:smallCaps/>
          <w:sz w:val="26"/>
          <w:szCs w:val="26"/>
        </w:rPr>
        <w:t>boletín N° 12927-07</w:t>
      </w:r>
    </w:p>
    <w:p w:rsidR="000229F5" w:rsidRDefault="000229F5" w:rsidP="006B3372">
      <w:pPr>
        <w:spacing w:after="0" w:line="276" w:lineRule="auto"/>
        <w:rPr>
          <w:rFonts w:cstheme="minorHAnsi"/>
          <w:b/>
          <w:bCs/>
          <w:smallCaps/>
          <w:u w:val="single"/>
        </w:rPr>
      </w:pPr>
    </w:p>
    <w:p w:rsidR="00BD1BDD" w:rsidRDefault="00A37A85" w:rsidP="00DE5C2A">
      <w:pPr>
        <w:spacing w:after="0" w:line="276" w:lineRule="auto"/>
        <w:jc w:val="center"/>
        <w:rPr>
          <w:rFonts w:cstheme="minorHAnsi"/>
          <w:b/>
          <w:bCs/>
          <w:smallCaps/>
          <w:u w:val="single"/>
        </w:rPr>
      </w:pPr>
      <w:r w:rsidRPr="003A5F22">
        <w:rPr>
          <w:rFonts w:cstheme="minorHAnsi"/>
          <w:b/>
          <w:bCs/>
          <w:smallCaps/>
          <w:u w:val="single"/>
        </w:rPr>
        <w:t>Fundamentos y Antecedentes</w:t>
      </w:r>
    </w:p>
    <w:p w:rsidR="006B3372" w:rsidRDefault="006B3372" w:rsidP="00DE5C2A">
      <w:pPr>
        <w:spacing w:after="0" w:line="276" w:lineRule="auto"/>
        <w:jc w:val="center"/>
        <w:rPr>
          <w:rFonts w:cstheme="minorHAnsi"/>
          <w:b/>
          <w:bCs/>
          <w:smallCaps/>
          <w:u w:val="single"/>
        </w:rPr>
      </w:pPr>
    </w:p>
    <w:p w:rsidR="000229F5" w:rsidRDefault="000229F5" w:rsidP="00DE5C2A">
      <w:pPr>
        <w:spacing w:after="0" w:line="276" w:lineRule="auto"/>
        <w:jc w:val="center"/>
        <w:rPr>
          <w:rFonts w:cstheme="minorHAnsi"/>
          <w:b/>
          <w:bCs/>
          <w:smallCaps/>
          <w:u w:val="single"/>
        </w:rPr>
      </w:pPr>
    </w:p>
    <w:p w:rsidR="006B3372" w:rsidRPr="006E4483" w:rsidRDefault="006B3372" w:rsidP="006E4483">
      <w:pPr>
        <w:pStyle w:val="Prrafodelista"/>
        <w:numPr>
          <w:ilvl w:val="0"/>
          <w:numId w:val="17"/>
        </w:numPr>
        <w:spacing w:after="0" w:line="276" w:lineRule="auto"/>
        <w:jc w:val="both"/>
        <w:rPr>
          <w:rFonts w:cstheme="minorHAnsi"/>
          <w:i/>
          <w:iCs/>
        </w:rPr>
      </w:pPr>
      <w:r w:rsidRPr="006E4483">
        <w:rPr>
          <w:rFonts w:cstheme="minorHAnsi"/>
          <w:b/>
          <w:bCs/>
          <w:i/>
          <w:iCs/>
        </w:rPr>
        <w:t xml:space="preserve">La habitualidad de la conducta que se busca sancionar y los problemas de la legislación </w:t>
      </w:r>
      <w:r w:rsidR="006E4483" w:rsidRPr="006E4483">
        <w:rPr>
          <w:rFonts w:cstheme="minorHAnsi"/>
          <w:b/>
          <w:bCs/>
          <w:i/>
          <w:iCs/>
        </w:rPr>
        <w:t>tanto civil, como penal</w:t>
      </w:r>
      <w:r w:rsidRPr="006E4483">
        <w:rPr>
          <w:rFonts w:cstheme="minorHAnsi"/>
          <w:b/>
          <w:bCs/>
          <w:i/>
          <w:iCs/>
        </w:rPr>
        <w:t xml:space="preserve"> para concretar dicha sanción</w:t>
      </w:r>
    </w:p>
    <w:p w:rsidR="002D512A" w:rsidRDefault="002D512A" w:rsidP="006B3372">
      <w:pPr>
        <w:spacing w:after="0" w:line="276" w:lineRule="auto"/>
        <w:rPr>
          <w:rFonts w:cstheme="minorHAnsi"/>
          <w:b/>
          <w:bCs/>
          <w:u w:val="single"/>
        </w:rPr>
      </w:pPr>
    </w:p>
    <w:p w:rsidR="000229F5" w:rsidRPr="000621E4" w:rsidRDefault="000229F5" w:rsidP="006B3372">
      <w:pPr>
        <w:spacing w:after="0" w:line="276" w:lineRule="auto"/>
        <w:rPr>
          <w:rFonts w:cstheme="minorHAnsi"/>
          <w:b/>
          <w:bCs/>
          <w:u w:val="single"/>
        </w:rPr>
      </w:pPr>
    </w:p>
    <w:p w:rsidR="000621E4" w:rsidRDefault="000621E4" w:rsidP="000621E4">
      <w:pPr>
        <w:spacing w:after="0" w:line="276" w:lineRule="auto"/>
        <w:jc w:val="both"/>
        <w:rPr>
          <w:rFonts w:cstheme="minorHAnsi"/>
        </w:rPr>
      </w:pPr>
      <w:r w:rsidRPr="000621E4">
        <w:rPr>
          <w:rFonts w:cstheme="minorHAnsi"/>
        </w:rPr>
        <w:tab/>
        <w:t>Durante el último período se ha hecho recurrente la constatación de hechos</w:t>
      </w:r>
      <w:r w:rsidR="0060348D">
        <w:rPr>
          <w:rFonts w:cstheme="minorHAnsi"/>
        </w:rPr>
        <w:t xml:space="preserve"> en que se solicitan servicios o productos y, obrando de distintos modos, estos no son pagados a </w:t>
      </w:r>
      <w:r w:rsidR="00F812F1">
        <w:rPr>
          <w:rFonts w:cstheme="minorHAnsi"/>
        </w:rPr>
        <w:t>quien los provee</w:t>
      </w:r>
      <w:r w:rsidR="0060348D">
        <w:rPr>
          <w:rFonts w:cstheme="minorHAnsi"/>
        </w:rPr>
        <w:t xml:space="preserve">. </w:t>
      </w:r>
      <w:r w:rsidR="005A3437">
        <w:rPr>
          <w:rFonts w:cstheme="minorHAnsi"/>
        </w:rPr>
        <w:t>Así las cosas, conocida es la situación del ciudadano extranjero que se ha dedicado sistemáticamente a defraudar a distintos establecimientos comerciales en la novena región del país</w:t>
      </w:r>
      <w:r w:rsidR="005A3437">
        <w:rPr>
          <w:rStyle w:val="Refdenotaalpie"/>
          <w:rFonts w:cstheme="minorHAnsi"/>
        </w:rPr>
        <w:footnoteReference w:id="1"/>
      </w:r>
      <w:r w:rsidR="00605790">
        <w:rPr>
          <w:rFonts w:cstheme="minorHAnsi"/>
        </w:rPr>
        <w:t xml:space="preserve">. </w:t>
      </w:r>
    </w:p>
    <w:p w:rsidR="00E26F5E" w:rsidRDefault="00E26F5E" w:rsidP="000621E4">
      <w:pPr>
        <w:spacing w:after="0" w:line="276" w:lineRule="auto"/>
        <w:jc w:val="both"/>
        <w:rPr>
          <w:rFonts w:cstheme="minorHAnsi"/>
        </w:rPr>
      </w:pPr>
    </w:p>
    <w:p w:rsidR="00E26F5E" w:rsidRDefault="00E26F5E" w:rsidP="000621E4">
      <w:pPr>
        <w:spacing w:after="0" w:line="276" w:lineRule="auto"/>
        <w:jc w:val="both"/>
        <w:rPr>
          <w:rFonts w:cstheme="minorHAnsi"/>
        </w:rPr>
      </w:pPr>
      <w:r>
        <w:rPr>
          <w:rFonts w:cstheme="minorHAnsi"/>
        </w:rPr>
        <w:tab/>
        <w:t xml:space="preserve">Esta situación, </w:t>
      </w:r>
      <w:r w:rsidR="002D512A">
        <w:rPr>
          <w:rFonts w:cstheme="minorHAnsi"/>
        </w:rPr>
        <w:t>denominada</w:t>
      </w:r>
      <w:r>
        <w:rPr>
          <w:rFonts w:cstheme="minorHAnsi"/>
        </w:rPr>
        <w:t xml:space="preserve"> popularmente como “el perro muerto”, ha suscitado una discusión jurídica en torno a cuál es </w:t>
      </w:r>
      <w:r w:rsidR="00A2386E">
        <w:rPr>
          <w:rFonts w:cstheme="minorHAnsi"/>
        </w:rPr>
        <w:t>la naturaleza del hecho y la eventual sanción aplicable a quien ejecuta esta conducta</w:t>
      </w:r>
      <w:r w:rsidR="004D6AC1">
        <w:rPr>
          <w:rFonts w:cstheme="minorHAnsi"/>
        </w:rPr>
        <w:t xml:space="preserve">, de la cual es posible extraer que, en la mayoría y sino en la totalidad de los casos, es una práctica maliciosa que queda en impunidad. </w:t>
      </w:r>
    </w:p>
    <w:p w:rsidR="00A2386E" w:rsidRDefault="00A2386E" w:rsidP="000621E4">
      <w:pPr>
        <w:spacing w:after="0" w:line="276" w:lineRule="auto"/>
        <w:jc w:val="both"/>
        <w:rPr>
          <w:rFonts w:cstheme="minorHAnsi"/>
        </w:rPr>
      </w:pPr>
    </w:p>
    <w:p w:rsidR="00A2386E" w:rsidRDefault="00A2386E" w:rsidP="000621E4">
      <w:pPr>
        <w:spacing w:after="0" w:line="276" w:lineRule="auto"/>
        <w:jc w:val="both"/>
        <w:rPr>
          <w:rFonts w:cstheme="minorHAnsi"/>
        </w:rPr>
      </w:pPr>
      <w:r>
        <w:rPr>
          <w:rFonts w:cstheme="minorHAnsi"/>
        </w:rPr>
        <w:tab/>
      </w:r>
      <w:r w:rsidR="00AE7926">
        <w:rPr>
          <w:rFonts w:cstheme="minorHAnsi"/>
        </w:rPr>
        <w:t>En primer lugar</w:t>
      </w:r>
      <w:r>
        <w:rPr>
          <w:rFonts w:cstheme="minorHAnsi"/>
        </w:rPr>
        <w:t xml:space="preserve">, es posible distinguir </w:t>
      </w:r>
      <w:r w:rsidR="004D6AC1">
        <w:rPr>
          <w:rFonts w:cstheme="minorHAnsi"/>
        </w:rPr>
        <w:t xml:space="preserve">la existencia de </w:t>
      </w:r>
      <w:r>
        <w:rPr>
          <w:rFonts w:cstheme="minorHAnsi"/>
        </w:rPr>
        <w:t>una relación de naturaleza civil</w:t>
      </w:r>
      <w:r w:rsidR="00AE7926">
        <w:rPr>
          <w:rFonts w:cstheme="minorHAnsi"/>
        </w:rPr>
        <w:t xml:space="preserve"> y comercial</w:t>
      </w:r>
      <w:r>
        <w:rPr>
          <w:rFonts w:cstheme="minorHAnsi"/>
        </w:rPr>
        <w:t xml:space="preserve">, en la cual una parte ofrece y vende a otra los productos y servicios, por ejemplo, de alimentación, alojamiento u otros. </w:t>
      </w:r>
      <w:r w:rsidR="00AE7926">
        <w:rPr>
          <w:rFonts w:cstheme="minorHAnsi"/>
        </w:rPr>
        <w:t>Asimismo</w:t>
      </w:r>
      <w:r>
        <w:rPr>
          <w:rFonts w:cstheme="minorHAnsi"/>
        </w:rPr>
        <w:t xml:space="preserve">, existe un supuesto consumidor que se compromete a pagar </w:t>
      </w:r>
      <w:r w:rsidR="004D6AC1">
        <w:rPr>
          <w:rFonts w:cstheme="minorHAnsi"/>
        </w:rPr>
        <w:t>por los mismos</w:t>
      </w:r>
      <w:r>
        <w:rPr>
          <w:rFonts w:cstheme="minorHAnsi"/>
        </w:rPr>
        <w:t xml:space="preserve">. Con todo, ejercer los derechos que emanan de esta relación civil </w:t>
      </w:r>
      <w:r w:rsidR="0025487B">
        <w:rPr>
          <w:rFonts w:cstheme="minorHAnsi"/>
        </w:rPr>
        <w:t>y comercial es considerablemente complejo, ya que</w:t>
      </w:r>
      <w:r w:rsidR="004D6AC1">
        <w:rPr>
          <w:rFonts w:cstheme="minorHAnsi"/>
        </w:rPr>
        <w:t xml:space="preserve"> la misma es esencialmente verbal,</w:t>
      </w:r>
      <w:r w:rsidR="0025487B">
        <w:rPr>
          <w:rFonts w:cstheme="minorHAnsi"/>
        </w:rPr>
        <w:t xml:space="preserve"> exigiría </w:t>
      </w:r>
      <w:r w:rsidR="00AE7926">
        <w:rPr>
          <w:rFonts w:cstheme="minorHAnsi"/>
        </w:rPr>
        <w:t xml:space="preserve">al oferente engañado </w:t>
      </w:r>
      <w:r w:rsidR="0025487B">
        <w:rPr>
          <w:rFonts w:cstheme="minorHAnsi"/>
        </w:rPr>
        <w:t>la interposición de una acción para</w:t>
      </w:r>
      <w:r w:rsidR="00AE7926">
        <w:rPr>
          <w:rFonts w:cstheme="minorHAnsi"/>
        </w:rPr>
        <w:t xml:space="preserve"> el cobro de</w:t>
      </w:r>
      <w:r w:rsidR="0025487B">
        <w:rPr>
          <w:rFonts w:cstheme="minorHAnsi"/>
        </w:rPr>
        <w:t xml:space="preserve"> una deuda de una cuantía mínima</w:t>
      </w:r>
      <w:r>
        <w:rPr>
          <w:rFonts w:cstheme="minorHAnsi"/>
        </w:rPr>
        <w:t xml:space="preserve"> </w:t>
      </w:r>
      <w:r w:rsidR="00165D37">
        <w:rPr>
          <w:rFonts w:cstheme="minorHAnsi"/>
        </w:rPr>
        <w:t xml:space="preserve">(por parte de quien no </w:t>
      </w:r>
      <w:proofErr w:type="gramStart"/>
      <w:r w:rsidR="00165D37">
        <w:rPr>
          <w:rFonts w:cstheme="minorHAnsi"/>
        </w:rPr>
        <w:t>pagó</w:t>
      </w:r>
      <w:proofErr w:type="gramEnd"/>
      <w:r w:rsidR="00165D37">
        <w:rPr>
          <w:rFonts w:cstheme="minorHAnsi"/>
        </w:rPr>
        <w:t>) y se enfrentaría</w:t>
      </w:r>
      <w:r w:rsidR="00AE7926">
        <w:rPr>
          <w:rFonts w:cstheme="minorHAnsi"/>
        </w:rPr>
        <w:t xml:space="preserve"> tanto al desconocimiento de la identidad de la parte deudora, como</w:t>
      </w:r>
      <w:r w:rsidR="00165D37">
        <w:rPr>
          <w:rFonts w:cstheme="minorHAnsi"/>
        </w:rPr>
        <w:t xml:space="preserve"> a la casi total ausencia de elementos probatorios que permitan acreditar la existencia de la obligación de pagar. </w:t>
      </w:r>
      <w:r w:rsidR="001378A7">
        <w:rPr>
          <w:rFonts w:cstheme="minorHAnsi"/>
        </w:rPr>
        <w:t xml:space="preserve">Esto determina que la existencia de un juicio para exigir el pago de lo adeudado, más los gastos, intereses y otra clase de indemnizaciones, no resultaría fácilmente practicable. </w:t>
      </w:r>
    </w:p>
    <w:p w:rsidR="00165D37" w:rsidRDefault="00165D37" w:rsidP="000621E4">
      <w:pPr>
        <w:spacing w:after="0" w:line="276" w:lineRule="auto"/>
        <w:jc w:val="both"/>
        <w:rPr>
          <w:rFonts w:cstheme="minorHAnsi"/>
        </w:rPr>
      </w:pPr>
    </w:p>
    <w:p w:rsidR="00AE7926" w:rsidRDefault="00165D37" w:rsidP="000621E4">
      <w:pPr>
        <w:spacing w:after="0" w:line="276" w:lineRule="auto"/>
        <w:jc w:val="both"/>
        <w:rPr>
          <w:rFonts w:cstheme="minorHAnsi"/>
        </w:rPr>
      </w:pPr>
      <w:r>
        <w:rPr>
          <w:rFonts w:cstheme="minorHAnsi"/>
        </w:rPr>
        <w:tab/>
        <w:t>Por otra parte, ha resultado difícil también encuadrar estos hechos en la legislación penal</w:t>
      </w:r>
      <w:r w:rsidR="00B56678">
        <w:rPr>
          <w:rFonts w:cstheme="minorHAnsi"/>
        </w:rPr>
        <w:t xml:space="preserve"> vigente</w:t>
      </w:r>
      <w:r>
        <w:rPr>
          <w:rFonts w:cstheme="minorHAnsi"/>
        </w:rPr>
        <w:t>, ya que los tipos</w:t>
      </w:r>
      <w:r w:rsidR="00B56678">
        <w:rPr>
          <w:rFonts w:cstheme="minorHAnsi"/>
        </w:rPr>
        <w:t xml:space="preserve"> que resultarían eventualmente</w:t>
      </w:r>
      <w:r>
        <w:rPr>
          <w:rFonts w:cstheme="minorHAnsi"/>
        </w:rPr>
        <w:t xml:space="preserve"> aplicables, como lo son </w:t>
      </w:r>
      <w:r w:rsidR="00B56678">
        <w:rPr>
          <w:rFonts w:cstheme="minorHAnsi"/>
        </w:rPr>
        <w:t>los delitos de hurto, robo</w:t>
      </w:r>
      <w:r>
        <w:rPr>
          <w:rFonts w:cstheme="minorHAnsi"/>
        </w:rPr>
        <w:t xml:space="preserve"> y hasta la estafa genérica, presentan otros requisitos que no necesariamente están presentes en la ocurrencia del llamado “perro muerto”. </w:t>
      </w:r>
    </w:p>
    <w:p w:rsidR="00D56906" w:rsidRDefault="00AE7926" w:rsidP="000621E4">
      <w:pPr>
        <w:spacing w:after="0" w:line="276" w:lineRule="auto"/>
        <w:jc w:val="both"/>
        <w:rPr>
          <w:rFonts w:cstheme="minorHAnsi"/>
        </w:rPr>
      </w:pPr>
      <w:r>
        <w:rPr>
          <w:rFonts w:cstheme="minorHAnsi"/>
        </w:rPr>
        <w:lastRenderedPageBreak/>
        <w:tab/>
        <w:t xml:space="preserve">Efectivamente, el </w:t>
      </w:r>
      <w:r w:rsidRPr="004D6AC1">
        <w:rPr>
          <w:rFonts w:cstheme="minorHAnsi"/>
        </w:rPr>
        <w:t>hurto</w:t>
      </w:r>
      <w:r w:rsidR="004D6AC1">
        <w:rPr>
          <w:rFonts w:cstheme="minorHAnsi"/>
        </w:rPr>
        <w:t xml:space="preserve"> parece ser la figura penal que mejor encuadra con esta clase de hechos. En tal marco está el </w:t>
      </w:r>
      <w:r w:rsidR="004D6AC1" w:rsidRPr="004D6AC1">
        <w:rPr>
          <w:rFonts w:cstheme="minorHAnsi"/>
        </w:rPr>
        <w:t>hurto falta</w:t>
      </w:r>
      <w:r w:rsidR="004D6AC1">
        <w:rPr>
          <w:rFonts w:cstheme="minorHAnsi"/>
        </w:rPr>
        <w:t xml:space="preserve"> d</w:t>
      </w:r>
      <w:r>
        <w:rPr>
          <w:rFonts w:cstheme="minorHAnsi"/>
        </w:rPr>
        <w:t xml:space="preserve">el artículo 494 </w:t>
      </w:r>
      <w:r>
        <w:rPr>
          <w:rFonts w:cstheme="minorHAnsi"/>
          <w:i/>
          <w:iCs/>
        </w:rPr>
        <w:t>bis</w:t>
      </w:r>
      <w:r w:rsidR="004D6AC1">
        <w:rPr>
          <w:rFonts w:cstheme="minorHAnsi"/>
          <w:i/>
          <w:iCs/>
        </w:rPr>
        <w:t xml:space="preserve"> </w:t>
      </w:r>
      <w:r w:rsidR="004D6AC1">
        <w:rPr>
          <w:rFonts w:cstheme="minorHAnsi"/>
        </w:rPr>
        <w:t>y las distintas variantes del Párrafo 4° del Título IX del Código Penal</w:t>
      </w:r>
      <w:r w:rsidR="00D56906">
        <w:rPr>
          <w:rFonts w:cstheme="minorHAnsi"/>
        </w:rPr>
        <w:t>.</w:t>
      </w:r>
      <w:r>
        <w:rPr>
          <w:rFonts w:cstheme="minorHAnsi"/>
        </w:rPr>
        <w:t xml:space="preserve"> </w:t>
      </w:r>
      <w:r w:rsidR="00D56906">
        <w:rPr>
          <w:rFonts w:cstheme="minorHAnsi"/>
        </w:rPr>
        <w:t>D</w:t>
      </w:r>
      <w:r>
        <w:rPr>
          <w:rFonts w:cstheme="minorHAnsi"/>
        </w:rPr>
        <w:t xml:space="preserve">icha clase de </w:t>
      </w:r>
      <w:r w:rsidR="006E4483">
        <w:rPr>
          <w:rFonts w:cstheme="minorHAnsi"/>
        </w:rPr>
        <w:t>hurto</w:t>
      </w:r>
      <w:r>
        <w:rPr>
          <w:rFonts w:cstheme="minorHAnsi"/>
        </w:rPr>
        <w:t xml:space="preserve"> se encuentra tipificado como simple falta </w:t>
      </w:r>
      <w:r w:rsidR="004D6AC1">
        <w:rPr>
          <w:rFonts w:cstheme="minorHAnsi"/>
        </w:rPr>
        <w:t xml:space="preserve">o delito </w:t>
      </w:r>
      <w:r>
        <w:rPr>
          <w:rFonts w:cstheme="minorHAnsi"/>
        </w:rPr>
        <w:t xml:space="preserve">en atención </w:t>
      </w:r>
      <w:r w:rsidR="004D6AC1">
        <w:rPr>
          <w:rFonts w:cstheme="minorHAnsi"/>
        </w:rPr>
        <w:t>al</w:t>
      </w:r>
      <w:r>
        <w:rPr>
          <w:rFonts w:cstheme="minorHAnsi"/>
        </w:rPr>
        <w:t xml:space="preserve"> monto o cuantía de lo sustraído, que </w:t>
      </w:r>
      <w:r w:rsidR="004D6AC1">
        <w:rPr>
          <w:rFonts w:cstheme="minorHAnsi"/>
        </w:rPr>
        <w:t xml:space="preserve">en el caso del </w:t>
      </w:r>
      <w:r w:rsidR="004D6AC1" w:rsidRPr="004D6AC1">
        <w:rPr>
          <w:rFonts w:cstheme="minorHAnsi"/>
        </w:rPr>
        <w:t>hurto falta</w:t>
      </w:r>
      <w:r w:rsidR="004D6AC1">
        <w:rPr>
          <w:rFonts w:cstheme="minorHAnsi"/>
        </w:rPr>
        <w:t xml:space="preserve"> </w:t>
      </w:r>
      <w:r>
        <w:rPr>
          <w:rFonts w:cstheme="minorHAnsi"/>
        </w:rPr>
        <w:t>no debe exceder de media unidad tributaria mensual: $24.516</w:t>
      </w:r>
      <w:r>
        <w:rPr>
          <w:rStyle w:val="Refdenotaalpie"/>
          <w:rFonts w:cstheme="minorHAnsi"/>
        </w:rPr>
        <w:footnoteReference w:id="2"/>
      </w:r>
      <w:r w:rsidR="004D6AC1">
        <w:rPr>
          <w:rFonts w:cstheme="minorHAnsi"/>
        </w:rPr>
        <w:t xml:space="preserve">, graduándose luego de distinta forma en el </w:t>
      </w:r>
      <w:r w:rsidR="006B3372">
        <w:rPr>
          <w:rFonts w:cstheme="minorHAnsi"/>
        </w:rPr>
        <w:t xml:space="preserve">delito de hurto simple del </w:t>
      </w:r>
      <w:r w:rsidR="004D6AC1">
        <w:rPr>
          <w:rFonts w:cstheme="minorHAnsi"/>
        </w:rPr>
        <w:t>artículo 446 CP</w:t>
      </w:r>
      <w:r w:rsidR="006B3372">
        <w:rPr>
          <w:rFonts w:cstheme="minorHAnsi"/>
        </w:rPr>
        <w:t>, así como en sus figuras agravadas</w:t>
      </w:r>
      <w:r w:rsidR="00D56906">
        <w:rPr>
          <w:rFonts w:cstheme="minorHAnsi"/>
        </w:rPr>
        <w:t xml:space="preserve"> de las distintas normas del mismo Párrafo</w:t>
      </w:r>
      <w:r>
        <w:rPr>
          <w:rFonts w:cstheme="minorHAnsi"/>
        </w:rPr>
        <w:t>.</w:t>
      </w:r>
      <w:r w:rsidR="00B56678">
        <w:rPr>
          <w:rFonts w:cstheme="minorHAnsi"/>
        </w:rPr>
        <w:t xml:space="preserve"> </w:t>
      </w:r>
    </w:p>
    <w:p w:rsidR="00D56906" w:rsidRDefault="00D56906" w:rsidP="000621E4">
      <w:pPr>
        <w:spacing w:after="0" w:line="276" w:lineRule="auto"/>
        <w:jc w:val="both"/>
        <w:rPr>
          <w:rFonts w:cstheme="minorHAnsi"/>
        </w:rPr>
      </w:pPr>
    </w:p>
    <w:p w:rsidR="00AE7926" w:rsidRDefault="00D56906" w:rsidP="00D56906">
      <w:pPr>
        <w:spacing w:after="0" w:line="276" w:lineRule="auto"/>
        <w:ind w:firstLine="708"/>
        <w:jc w:val="both"/>
        <w:rPr>
          <w:rFonts w:cstheme="minorHAnsi"/>
        </w:rPr>
      </w:pPr>
      <w:r>
        <w:rPr>
          <w:rFonts w:cstheme="minorHAnsi"/>
        </w:rPr>
        <w:t>Lo que</w:t>
      </w:r>
      <w:r w:rsidR="00B56678">
        <w:rPr>
          <w:rFonts w:cstheme="minorHAnsi"/>
        </w:rPr>
        <w:t xml:space="preserve"> dificulta la aplicación de </w:t>
      </w:r>
      <w:r>
        <w:rPr>
          <w:rFonts w:cstheme="minorHAnsi"/>
        </w:rPr>
        <w:t>l</w:t>
      </w:r>
      <w:r w:rsidR="00B56678">
        <w:rPr>
          <w:rFonts w:cstheme="minorHAnsi"/>
        </w:rPr>
        <w:t>a figura</w:t>
      </w:r>
      <w:r>
        <w:rPr>
          <w:rFonts w:cstheme="minorHAnsi"/>
        </w:rPr>
        <w:t xml:space="preserve">, </w:t>
      </w:r>
      <w:r w:rsidR="00B56678">
        <w:rPr>
          <w:rFonts w:cstheme="minorHAnsi"/>
        </w:rPr>
        <w:t xml:space="preserve">es el hecho de que </w:t>
      </w:r>
      <w:r w:rsidR="006B3372">
        <w:rPr>
          <w:rFonts w:cstheme="minorHAnsi"/>
        </w:rPr>
        <w:t>el hurto (en todas sus formas</w:t>
      </w:r>
      <w:r w:rsidR="00B56678">
        <w:rPr>
          <w:rFonts w:cstheme="minorHAnsi"/>
        </w:rPr>
        <w:t>, así como también los delitos de robo</w:t>
      </w:r>
      <w:r w:rsidR="006B3372">
        <w:rPr>
          <w:rFonts w:cstheme="minorHAnsi"/>
        </w:rPr>
        <w:t>) está además mediado por la ausencia de voluntad del dueño de lo sustraído en relación con colocar las cosas a disposición de quien las sustrae</w:t>
      </w:r>
      <w:r w:rsidR="006B3372">
        <w:rPr>
          <w:rStyle w:val="Refdenotaalpie"/>
          <w:rFonts w:cstheme="minorHAnsi"/>
        </w:rPr>
        <w:footnoteReference w:id="3"/>
      </w:r>
      <w:r w:rsidR="006B3372">
        <w:rPr>
          <w:rFonts w:cstheme="minorHAnsi"/>
        </w:rPr>
        <w:t xml:space="preserve">, lo que es una situación opuesta a la del llamado “perro muerto” ya que aquí es justamente el oferente quien atiende y entrega los productos o servicios a la parte solicitante. </w:t>
      </w:r>
      <w:r w:rsidR="00B56678">
        <w:rPr>
          <w:rFonts w:cstheme="minorHAnsi"/>
        </w:rPr>
        <w:t>Como ha sido calificado, la voluntad que manifiesta el proveedor de los bienes o servicios se traduce en un elemento que excluye la descripción típica del delito (es un elemento de atipicidad), por lo que en estricto rigor no sería posible sancionar como hurto el así señalado “perro muerto”.</w:t>
      </w:r>
      <w:r w:rsidR="001A6117">
        <w:rPr>
          <w:rFonts w:cstheme="minorHAnsi"/>
        </w:rPr>
        <w:t xml:space="preserve"> En términos de los profesores Matus y Ramírez</w:t>
      </w:r>
      <w:r w:rsidR="001A6117">
        <w:rPr>
          <w:rStyle w:val="Refdenotaalpie"/>
          <w:rFonts w:cstheme="minorHAnsi"/>
        </w:rPr>
        <w:footnoteReference w:id="4"/>
      </w:r>
      <w:r w:rsidR="001A6117">
        <w:rPr>
          <w:rFonts w:cstheme="minorHAnsi"/>
        </w:rPr>
        <w:t>:</w:t>
      </w:r>
    </w:p>
    <w:p w:rsidR="001A6117" w:rsidRDefault="001A6117" w:rsidP="00D56906">
      <w:pPr>
        <w:spacing w:after="0" w:line="276" w:lineRule="auto"/>
        <w:ind w:firstLine="708"/>
        <w:jc w:val="both"/>
        <w:rPr>
          <w:rFonts w:cstheme="minorHAnsi"/>
        </w:rPr>
      </w:pPr>
    </w:p>
    <w:p w:rsidR="001A6117" w:rsidRPr="001A6117" w:rsidRDefault="001A6117" w:rsidP="00D56906">
      <w:pPr>
        <w:spacing w:after="0" w:line="276" w:lineRule="auto"/>
        <w:ind w:firstLine="708"/>
        <w:jc w:val="both"/>
        <w:rPr>
          <w:rFonts w:cstheme="minorHAnsi"/>
        </w:rPr>
      </w:pPr>
      <w:r>
        <w:rPr>
          <w:rFonts w:cstheme="minorHAnsi"/>
        </w:rPr>
        <w:t>“</w:t>
      </w:r>
      <w:r>
        <w:rPr>
          <w:rFonts w:cstheme="minorHAnsi"/>
          <w:i/>
          <w:iCs/>
        </w:rPr>
        <w:t>El consentimiento aparece en el delito de hurto como causa de atipicidad. Éste no sólo lo otorga el dueño de la cosa, sino el que tiene sobre ella poder de disposición frente al que la recibe…</w:t>
      </w:r>
      <w:r>
        <w:rPr>
          <w:rFonts w:cstheme="minorHAnsi"/>
        </w:rPr>
        <w:t>”</w:t>
      </w:r>
    </w:p>
    <w:p w:rsidR="00AE7926" w:rsidRDefault="00AE7926" w:rsidP="000621E4">
      <w:pPr>
        <w:spacing w:after="0" w:line="276" w:lineRule="auto"/>
        <w:jc w:val="both"/>
        <w:rPr>
          <w:rFonts w:cstheme="minorHAnsi"/>
        </w:rPr>
      </w:pPr>
    </w:p>
    <w:p w:rsidR="00D56906" w:rsidRDefault="00AE7926" w:rsidP="000621E4">
      <w:pPr>
        <w:spacing w:after="0" w:line="276" w:lineRule="auto"/>
        <w:jc w:val="both"/>
        <w:rPr>
          <w:rFonts w:cstheme="minorHAnsi"/>
        </w:rPr>
      </w:pPr>
      <w:r>
        <w:rPr>
          <w:rFonts w:cstheme="minorHAnsi"/>
        </w:rPr>
        <w:tab/>
      </w:r>
      <w:r w:rsidR="00B56678">
        <w:rPr>
          <w:rFonts w:cstheme="minorHAnsi"/>
        </w:rPr>
        <w:t xml:space="preserve">Este último problema, como se dijo, se hace extensible también a las figuras del robo, lo que descartaría eventualmente la aplicación de los delitos de robo con sorpresa o robo con violencia e intimidación de los artículos 433 y 436, ambos del Código Penal, aunque normalmente no constituyen ellos el </w:t>
      </w:r>
      <w:r w:rsidR="00B56678">
        <w:rPr>
          <w:rFonts w:cstheme="minorHAnsi"/>
          <w:i/>
          <w:iCs/>
        </w:rPr>
        <w:t xml:space="preserve">modus operandi </w:t>
      </w:r>
      <w:r w:rsidR="00B56678">
        <w:rPr>
          <w:rFonts w:cstheme="minorHAnsi"/>
        </w:rPr>
        <w:t>de quien ejecuta el “perro muerto”</w:t>
      </w:r>
      <w:r w:rsidR="00D56906">
        <w:rPr>
          <w:rFonts w:cstheme="minorHAnsi"/>
        </w:rPr>
        <w:t>, quienes simplemente se escapan para no pagar</w:t>
      </w:r>
      <w:r w:rsidR="00674D35">
        <w:rPr>
          <w:rFonts w:cstheme="minorHAnsi"/>
        </w:rPr>
        <w:t>, lo que excluye también la aplicación de estos tipos por no encontrarse otros elementos de los mismos (la violencia, por ejemplo)</w:t>
      </w:r>
      <w:r w:rsidR="00D56906">
        <w:rPr>
          <w:rFonts w:cstheme="minorHAnsi"/>
        </w:rPr>
        <w:t xml:space="preserve"> </w:t>
      </w:r>
    </w:p>
    <w:p w:rsidR="00D56906" w:rsidRDefault="00D56906" w:rsidP="000621E4">
      <w:pPr>
        <w:spacing w:after="0" w:line="276" w:lineRule="auto"/>
        <w:jc w:val="both"/>
        <w:rPr>
          <w:rFonts w:cstheme="minorHAnsi"/>
        </w:rPr>
      </w:pPr>
    </w:p>
    <w:p w:rsidR="00D56906" w:rsidRDefault="00D56906" w:rsidP="000621E4">
      <w:pPr>
        <w:spacing w:after="0" w:line="276" w:lineRule="auto"/>
        <w:jc w:val="both"/>
        <w:rPr>
          <w:rFonts w:cstheme="minorHAnsi"/>
        </w:rPr>
      </w:pPr>
      <w:r>
        <w:rPr>
          <w:rFonts w:cstheme="minorHAnsi"/>
        </w:rPr>
        <w:tab/>
      </w:r>
      <w:r w:rsidR="001A6117">
        <w:rPr>
          <w:rFonts w:cstheme="minorHAnsi"/>
        </w:rPr>
        <w:t>Otros delitos que podrían dar cuenta de la conducta de “perro muerto” son los denominados de enriquecimiento por defraudación, engaño y abuso de confianza. En</w:t>
      </w:r>
      <w:r w:rsidR="00674D35">
        <w:rPr>
          <w:rFonts w:cstheme="minorHAnsi"/>
        </w:rPr>
        <w:t>tre</w:t>
      </w:r>
      <w:r w:rsidR="001A6117">
        <w:rPr>
          <w:rFonts w:cstheme="minorHAnsi"/>
        </w:rPr>
        <w:t xml:space="preserve"> ellos, la estafa genérica del artículo 473 del Código Penal exigiría demostrar que el solicitante del producto o servicio produjo un engaño en el oferente</w:t>
      </w:r>
      <w:r w:rsidR="008575EE">
        <w:rPr>
          <w:rFonts w:cstheme="minorHAnsi"/>
        </w:rPr>
        <w:t xml:space="preserve"> para inducirlo a error y, finalmente, a la disposición</w:t>
      </w:r>
      <w:r w:rsidR="001E0992">
        <w:rPr>
          <w:rFonts w:cstheme="minorHAnsi"/>
        </w:rPr>
        <w:t xml:space="preserve"> o perjuicio</w:t>
      </w:r>
      <w:r w:rsidR="008575EE">
        <w:rPr>
          <w:rFonts w:cstheme="minorHAnsi"/>
        </w:rPr>
        <w:t xml:space="preserve"> patrimonial. El engaño consistiría en que el solicitante se presentaría como</w:t>
      </w:r>
      <w:r w:rsidR="001A6117">
        <w:rPr>
          <w:rFonts w:cstheme="minorHAnsi"/>
        </w:rPr>
        <w:t xml:space="preserve"> solvente y como obligado efectivamente al pago de lo que solicitó. Esto último, si bien no imposible, es dificultoso, ya que</w:t>
      </w:r>
      <w:r w:rsidR="008575EE">
        <w:rPr>
          <w:rFonts w:cstheme="minorHAnsi"/>
        </w:rPr>
        <w:t xml:space="preserve"> las relaciones contractuales entre oferente y solicitante</w:t>
      </w:r>
      <w:r w:rsidR="001A6117">
        <w:rPr>
          <w:rFonts w:cstheme="minorHAnsi"/>
        </w:rPr>
        <w:t xml:space="preserve"> se encuentra</w:t>
      </w:r>
      <w:r w:rsidR="008575EE">
        <w:rPr>
          <w:rFonts w:cstheme="minorHAnsi"/>
        </w:rPr>
        <w:t>n</w:t>
      </w:r>
      <w:r w:rsidR="001A6117">
        <w:rPr>
          <w:rFonts w:cstheme="minorHAnsi"/>
        </w:rPr>
        <w:t xml:space="preserve"> mediad</w:t>
      </w:r>
      <w:r w:rsidR="008575EE">
        <w:rPr>
          <w:rFonts w:cstheme="minorHAnsi"/>
        </w:rPr>
        <w:t>as</w:t>
      </w:r>
      <w:r w:rsidR="001A6117">
        <w:rPr>
          <w:rFonts w:cstheme="minorHAnsi"/>
        </w:rPr>
        <w:t xml:space="preserve"> por normas de índole civil</w:t>
      </w:r>
      <w:r w:rsidR="008575EE">
        <w:rPr>
          <w:rStyle w:val="Refdenotaalpie"/>
          <w:rFonts w:cstheme="minorHAnsi"/>
        </w:rPr>
        <w:footnoteReference w:id="5"/>
      </w:r>
      <w:r w:rsidR="001A6117">
        <w:rPr>
          <w:rFonts w:cstheme="minorHAnsi"/>
        </w:rPr>
        <w:t xml:space="preserve"> que impiden discriminar en la provisión de bienes y servicios, por lo que, en principio, quien atiende un restaurant, hotel </w:t>
      </w:r>
      <w:r w:rsidR="008575EE">
        <w:rPr>
          <w:rFonts w:cstheme="minorHAnsi"/>
        </w:rPr>
        <w:t xml:space="preserve">o una bencinera debe representarse siempre a su cliente como solvente y obligado al </w:t>
      </w:r>
      <w:r w:rsidR="008575EE">
        <w:rPr>
          <w:rFonts w:cstheme="minorHAnsi"/>
        </w:rPr>
        <w:lastRenderedPageBreak/>
        <w:t>pago</w:t>
      </w:r>
      <w:r w:rsidR="001E0992">
        <w:rPr>
          <w:rFonts w:cstheme="minorHAnsi"/>
        </w:rPr>
        <w:t xml:space="preserve"> y no podría ser engañado a dicho respecto, todo lo cual obstaría -en principio- a la verificación de un delito de estafa</w:t>
      </w:r>
      <w:r w:rsidR="008575EE">
        <w:rPr>
          <w:rFonts w:cstheme="minorHAnsi"/>
        </w:rPr>
        <w:t>.</w:t>
      </w:r>
      <w:r w:rsidR="006E4483">
        <w:rPr>
          <w:rFonts w:cstheme="minorHAnsi"/>
        </w:rPr>
        <w:t xml:space="preserve"> El deber de conducta que impone la norma civil estandariza la conducta y, en cierta medida, atenúa la </w:t>
      </w:r>
      <w:r w:rsidR="00674D35">
        <w:rPr>
          <w:rFonts w:cstheme="minorHAnsi"/>
        </w:rPr>
        <w:t xml:space="preserve">posible </w:t>
      </w:r>
      <w:r w:rsidR="006E4483">
        <w:rPr>
          <w:rFonts w:cstheme="minorHAnsi"/>
        </w:rPr>
        <w:t>configuración del engaño, elemento esencial para poder hablar de la presencia de un delito de estafa</w:t>
      </w:r>
      <w:r w:rsidR="006E4483">
        <w:rPr>
          <w:rStyle w:val="Refdenotaalpie"/>
          <w:rFonts w:cstheme="minorHAnsi"/>
        </w:rPr>
        <w:footnoteReference w:id="6"/>
      </w:r>
      <w:r w:rsidR="006E4483">
        <w:rPr>
          <w:rFonts w:cstheme="minorHAnsi"/>
        </w:rPr>
        <w:t>.</w:t>
      </w:r>
      <w:r w:rsidR="008575EE">
        <w:rPr>
          <w:rFonts w:cstheme="minorHAnsi"/>
        </w:rPr>
        <w:t xml:space="preserve"> </w:t>
      </w:r>
    </w:p>
    <w:p w:rsidR="006E4483" w:rsidRDefault="006E4483" w:rsidP="000621E4">
      <w:pPr>
        <w:spacing w:after="0" w:line="276" w:lineRule="auto"/>
        <w:jc w:val="both"/>
        <w:rPr>
          <w:rFonts w:cstheme="minorHAnsi"/>
        </w:rPr>
      </w:pPr>
    </w:p>
    <w:p w:rsidR="006E4483" w:rsidRDefault="006E4483" w:rsidP="000621E4">
      <w:pPr>
        <w:spacing w:after="0" w:line="276" w:lineRule="auto"/>
        <w:jc w:val="both"/>
        <w:rPr>
          <w:rFonts w:cstheme="minorHAnsi"/>
        </w:rPr>
      </w:pPr>
      <w:r>
        <w:rPr>
          <w:rFonts w:cstheme="minorHAnsi"/>
        </w:rPr>
        <w:tab/>
        <w:t>Por último, de la simple lectura del delito de apropiación indebida contemplado en el número 1 del artículo 470 del Código Penal, se extrae su inaplicabilidad, ya que se exige un título que importe el deber de restituir lo entregado, elemento y obligación que no están presentes en la provisión de productos y servicios.</w:t>
      </w:r>
    </w:p>
    <w:p w:rsidR="006E4483" w:rsidRDefault="006E4483" w:rsidP="000621E4">
      <w:pPr>
        <w:spacing w:after="0" w:line="276" w:lineRule="auto"/>
        <w:jc w:val="both"/>
        <w:rPr>
          <w:rFonts w:cstheme="minorHAnsi"/>
        </w:rPr>
      </w:pPr>
    </w:p>
    <w:p w:rsidR="006E4483" w:rsidRDefault="006E4483" w:rsidP="000621E4">
      <w:pPr>
        <w:spacing w:after="0" w:line="276" w:lineRule="auto"/>
        <w:jc w:val="both"/>
        <w:rPr>
          <w:rFonts w:cstheme="minorHAnsi"/>
        </w:rPr>
      </w:pPr>
      <w:r>
        <w:rPr>
          <w:rFonts w:cstheme="minorHAnsi"/>
        </w:rPr>
        <w:tab/>
        <w:t>Hasta aquí lo dicho, tanto la vía civil, como la vía penal</w:t>
      </w:r>
      <w:r w:rsidR="00674D35">
        <w:rPr>
          <w:rFonts w:cstheme="minorHAnsi"/>
        </w:rPr>
        <w:t>,</w:t>
      </w:r>
      <w:r>
        <w:rPr>
          <w:rFonts w:cstheme="minorHAnsi"/>
        </w:rPr>
        <w:t xml:space="preserve"> resultan en extremo dificultosas para hacer justicia ante el hecho del “perro muerto”. </w:t>
      </w:r>
    </w:p>
    <w:p w:rsidR="006E4483" w:rsidRDefault="006E4483" w:rsidP="000621E4">
      <w:pPr>
        <w:spacing w:after="0" w:line="276" w:lineRule="auto"/>
        <w:jc w:val="both"/>
        <w:rPr>
          <w:rFonts w:cstheme="minorHAnsi"/>
        </w:rPr>
      </w:pPr>
    </w:p>
    <w:p w:rsidR="000229F5" w:rsidRDefault="000229F5" w:rsidP="000621E4">
      <w:pPr>
        <w:spacing w:after="0" w:line="276" w:lineRule="auto"/>
        <w:jc w:val="both"/>
        <w:rPr>
          <w:rFonts w:cstheme="minorHAnsi"/>
        </w:rPr>
      </w:pPr>
    </w:p>
    <w:p w:rsidR="006E4483" w:rsidRPr="006E4483" w:rsidRDefault="006E4483" w:rsidP="006E4483">
      <w:pPr>
        <w:pStyle w:val="Prrafodelista"/>
        <w:numPr>
          <w:ilvl w:val="0"/>
          <w:numId w:val="17"/>
        </w:numPr>
        <w:spacing w:after="0" w:line="276" w:lineRule="auto"/>
        <w:jc w:val="both"/>
        <w:rPr>
          <w:rFonts w:cstheme="minorHAnsi"/>
        </w:rPr>
      </w:pPr>
      <w:r>
        <w:rPr>
          <w:rFonts w:cstheme="minorHAnsi"/>
          <w:b/>
          <w:bCs/>
          <w:i/>
          <w:iCs/>
        </w:rPr>
        <w:t>Contenido de la propuesta: aclarar la tipificación de la negativa injustificada de pago por productos o servicios y sancionar la misma</w:t>
      </w:r>
    </w:p>
    <w:p w:rsidR="006E4483" w:rsidRDefault="006E4483" w:rsidP="006E4483">
      <w:pPr>
        <w:spacing w:after="0" w:line="276" w:lineRule="auto"/>
        <w:jc w:val="both"/>
        <w:rPr>
          <w:rFonts w:cstheme="minorHAnsi"/>
        </w:rPr>
      </w:pPr>
    </w:p>
    <w:p w:rsidR="000229F5" w:rsidRDefault="000229F5" w:rsidP="006E4483">
      <w:pPr>
        <w:spacing w:after="0" w:line="276" w:lineRule="auto"/>
        <w:jc w:val="both"/>
        <w:rPr>
          <w:rFonts w:cstheme="minorHAnsi"/>
        </w:rPr>
      </w:pPr>
    </w:p>
    <w:p w:rsidR="006E4483" w:rsidRDefault="006E4483" w:rsidP="006E4483">
      <w:pPr>
        <w:spacing w:after="0" w:line="276" w:lineRule="auto"/>
        <w:ind w:firstLine="708"/>
        <w:jc w:val="both"/>
        <w:rPr>
          <w:rFonts w:cstheme="minorHAnsi"/>
        </w:rPr>
      </w:pPr>
      <w:r>
        <w:rPr>
          <w:rFonts w:cstheme="minorHAnsi"/>
        </w:rPr>
        <w:t xml:space="preserve">Atendido a lo que se concluyó en el punto anterior, se propone aclarar la tipificación de la conducta constituida por una negativa injustificada de pago por productos o servicios que son requeridos y provistos en alimentación, hotelería o pernoctación y abastecimiento de combustible.  </w:t>
      </w:r>
    </w:p>
    <w:p w:rsidR="00674D35" w:rsidRDefault="00674D35" w:rsidP="006E4483">
      <w:pPr>
        <w:spacing w:after="0" w:line="276" w:lineRule="auto"/>
        <w:ind w:firstLine="708"/>
        <w:jc w:val="both"/>
        <w:rPr>
          <w:rFonts w:cstheme="minorHAnsi"/>
        </w:rPr>
      </w:pPr>
    </w:p>
    <w:p w:rsidR="00674D35" w:rsidRDefault="00674D35" w:rsidP="006E4483">
      <w:pPr>
        <w:spacing w:after="0" w:line="276" w:lineRule="auto"/>
        <w:ind w:firstLine="708"/>
        <w:jc w:val="both"/>
        <w:rPr>
          <w:rFonts w:cstheme="minorHAnsi"/>
        </w:rPr>
      </w:pPr>
      <w:r>
        <w:rPr>
          <w:rFonts w:cstheme="minorHAnsi"/>
        </w:rPr>
        <w:t>Así, se propone sancionarlo como hurto, de conformidad a las mismas reglas que distinguen la pena según la cuantía de lo sustraído</w:t>
      </w:r>
      <w:r w:rsidR="005A2C43">
        <w:rPr>
          <w:rFonts w:cstheme="minorHAnsi"/>
        </w:rPr>
        <w:t xml:space="preserve">, en cuanto dicha distinción parecer ser la más apropiada para distinguir a la vez el quantum de la pena a imponer, salvando eso sí el hecho de que la descripción típica de la negativa injustificada de pago no requiere los mismos elementos que el tipo penal de hurto. </w:t>
      </w:r>
    </w:p>
    <w:p w:rsidR="005A2C43" w:rsidRDefault="005A2C43" w:rsidP="006E4483">
      <w:pPr>
        <w:spacing w:after="0" w:line="276" w:lineRule="auto"/>
        <w:ind w:firstLine="708"/>
        <w:jc w:val="both"/>
        <w:rPr>
          <w:rFonts w:cstheme="minorHAnsi"/>
        </w:rPr>
      </w:pPr>
    </w:p>
    <w:p w:rsidR="005A2C43" w:rsidRPr="006E4483" w:rsidRDefault="005A2C43" w:rsidP="006E4483">
      <w:pPr>
        <w:spacing w:after="0" w:line="276" w:lineRule="auto"/>
        <w:ind w:firstLine="708"/>
        <w:jc w:val="both"/>
        <w:rPr>
          <w:rFonts w:cstheme="minorHAnsi"/>
        </w:rPr>
      </w:pPr>
      <w:r>
        <w:rPr>
          <w:rFonts w:cstheme="minorHAnsi"/>
        </w:rPr>
        <w:t xml:space="preserve">Finalmente, se incluye idéntica sanción en el caso de que la conducta se asemeje al hurto falta del artículo 494 </w:t>
      </w:r>
      <w:r>
        <w:rPr>
          <w:rFonts w:cstheme="minorHAnsi"/>
          <w:i/>
          <w:iCs/>
        </w:rPr>
        <w:t xml:space="preserve">bis </w:t>
      </w:r>
      <w:r>
        <w:rPr>
          <w:rFonts w:cstheme="minorHAnsi"/>
        </w:rPr>
        <w:t>del Código Penal.</w:t>
      </w:r>
    </w:p>
    <w:p w:rsidR="00D16BD9" w:rsidRDefault="00D16BD9" w:rsidP="009A6297">
      <w:pPr>
        <w:spacing w:after="0" w:line="276" w:lineRule="auto"/>
        <w:jc w:val="both"/>
        <w:rPr>
          <w:rFonts w:cstheme="minorHAnsi"/>
        </w:rPr>
      </w:pPr>
    </w:p>
    <w:p w:rsidR="000229F5" w:rsidRPr="00D7143A" w:rsidRDefault="000229F5" w:rsidP="009A6297">
      <w:pPr>
        <w:spacing w:after="0" w:line="276" w:lineRule="auto"/>
        <w:jc w:val="both"/>
        <w:rPr>
          <w:rFonts w:cstheme="minorHAnsi"/>
        </w:rPr>
      </w:pPr>
    </w:p>
    <w:p w:rsidR="00EE1EB4" w:rsidRDefault="00C73B48" w:rsidP="00753A07">
      <w:pPr>
        <w:spacing w:after="0" w:line="276" w:lineRule="auto"/>
        <w:jc w:val="center"/>
        <w:rPr>
          <w:rFonts w:cstheme="minorHAnsi"/>
          <w:b/>
          <w:bCs/>
          <w:smallCaps/>
          <w:u w:val="single"/>
        </w:rPr>
      </w:pPr>
      <w:r w:rsidRPr="003A5F22">
        <w:rPr>
          <w:rFonts w:cstheme="minorHAnsi"/>
          <w:b/>
          <w:bCs/>
          <w:smallCaps/>
          <w:u w:val="single"/>
        </w:rPr>
        <w:t>Idea Matriz</w:t>
      </w:r>
    </w:p>
    <w:p w:rsidR="005F1CA2" w:rsidRDefault="005F1CA2" w:rsidP="005F1CA2">
      <w:pPr>
        <w:spacing w:after="0" w:line="276" w:lineRule="auto"/>
        <w:rPr>
          <w:rFonts w:cstheme="minorHAnsi"/>
          <w:b/>
          <w:bCs/>
          <w:smallCaps/>
          <w:u w:val="single"/>
        </w:rPr>
      </w:pPr>
    </w:p>
    <w:p w:rsidR="000229F5" w:rsidRDefault="000229F5" w:rsidP="005F1CA2">
      <w:pPr>
        <w:spacing w:after="0" w:line="276" w:lineRule="auto"/>
        <w:rPr>
          <w:rFonts w:cstheme="minorHAnsi"/>
          <w:b/>
          <w:bCs/>
          <w:smallCaps/>
          <w:u w:val="single"/>
        </w:rPr>
      </w:pPr>
    </w:p>
    <w:p w:rsidR="00165D37" w:rsidRDefault="00EE1EB4" w:rsidP="00165D37">
      <w:pPr>
        <w:spacing w:after="0" w:line="276" w:lineRule="auto"/>
        <w:jc w:val="both"/>
        <w:rPr>
          <w:rFonts w:cstheme="minorHAnsi"/>
        </w:rPr>
      </w:pPr>
      <w:r>
        <w:rPr>
          <w:rFonts w:cstheme="minorHAnsi"/>
          <w:smallCaps/>
        </w:rPr>
        <w:tab/>
      </w:r>
      <w:r w:rsidRPr="00EE1EB4">
        <w:rPr>
          <w:rFonts w:cstheme="minorHAnsi"/>
        </w:rPr>
        <w:t xml:space="preserve">El presente proyecto busca </w:t>
      </w:r>
      <w:r w:rsidR="005F1CA2">
        <w:rPr>
          <w:rFonts w:cstheme="minorHAnsi"/>
        </w:rPr>
        <w:t xml:space="preserve">modificar el Código Penal </w:t>
      </w:r>
      <w:r w:rsidR="00165D37" w:rsidRPr="00165D37">
        <w:rPr>
          <w:rFonts w:cstheme="minorHAnsi"/>
        </w:rPr>
        <w:t xml:space="preserve">con el objeto de tipificar y sancionar la negativa injustificada a pagar el valor de los productos y/o servicios requeridos en cualquier lugar que ofrezca alimentación, </w:t>
      </w:r>
      <w:r w:rsidR="00783552">
        <w:rPr>
          <w:rFonts w:cstheme="minorHAnsi"/>
        </w:rPr>
        <w:t>hotelería u hospedaje</w:t>
      </w:r>
      <w:r w:rsidR="00710E9B">
        <w:rPr>
          <w:rFonts w:cstheme="minorHAnsi"/>
        </w:rPr>
        <w:t>56</w:t>
      </w:r>
      <w:r w:rsidR="00165D37" w:rsidRPr="00165D37">
        <w:rPr>
          <w:rFonts w:cstheme="minorHAnsi"/>
        </w:rPr>
        <w:t>, así como en servicios de abastecimiento de combustible</w:t>
      </w:r>
      <w:r w:rsidR="00165D37">
        <w:rPr>
          <w:rFonts w:cstheme="minorHAnsi"/>
        </w:rPr>
        <w:t>.</w:t>
      </w:r>
    </w:p>
    <w:p w:rsidR="00753A07" w:rsidRDefault="00165D37" w:rsidP="00165D37">
      <w:pPr>
        <w:spacing w:after="0" w:line="276" w:lineRule="auto"/>
        <w:jc w:val="both"/>
        <w:rPr>
          <w:rFonts w:cstheme="minorHAnsi"/>
        </w:rPr>
      </w:pPr>
      <w:r w:rsidRPr="00165D37">
        <w:rPr>
          <w:rFonts w:cstheme="minorHAnsi"/>
        </w:rPr>
        <w:t xml:space="preserve">  </w:t>
      </w:r>
    </w:p>
    <w:p w:rsidR="000229F5" w:rsidRDefault="000229F5" w:rsidP="00165D37">
      <w:pPr>
        <w:spacing w:after="0" w:line="276" w:lineRule="auto"/>
        <w:jc w:val="both"/>
        <w:rPr>
          <w:rFonts w:cstheme="minorHAnsi"/>
        </w:rPr>
      </w:pPr>
    </w:p>
    <w:p w:rsidR="009C1D47" w:rsidRDefault="009C1D47" w:rsidP="00753A07">
      <w:pPr>
        <w:spacing w:after="0" w:line="276" w:lineRule="auto"/>
        <w:jc w:val="center"/>
        <w:rPr>
          <w:rFonts w:cstheme="minorHAnsi"/>
          <w:b/>
          <w:bCs/>
          <w:smallCaps/>
          <w:u w:val="single"/>
        </w:rPr>
      </w:pPr>
      <w:r>
        <w:rPr>
          <w:rFonts w:cstheme="minorHAnsi"/>
          <w:b/>
          <w:bCs/>
          <w:smallCaps/>
          <w:u w:val="single"/>
        </w:rPr>
        <w:lastRenderedPageBreak/>
        <w:t>Ley vigente afectada por la iniciativa</w:t>
      </w:r>
    </w:p>
    <w:p w:rsidR="00777576" w:rsidRDefault="00777576" w:rsidP="00753A07">
      <w:pPr>
        <w:spacing w:after="0" w:line="276" w:lineRule="auto"/>
        <w:rPr>
          <w:rFonts w:cstheme="minorHAnsi"/>
          <w:b/>
          <w:bCs/>
          <w:smallCaps/>
          <w:u w:val="single"/>
        </w:rPr>
      </w:pPr>
    </w:p>
    <w:p w:rsidR="000229F5" w:rsidRDefault="000229F5" w:rsidP="00753A07">
      <w:pPr>
        <w:spacing w:after="0" w:line="276" w:lineRule="auto"/>
        <w:rPr>
          <w:rFonts w:cstheme="minorHAnsi"/>
          <w:b/>
          <w:bCs/>
          <w:smallCaps/>
          <w:u w:val="single"/>
        </w:rPr>
      </w:pPr>
    </w:p>
    <w:p w:rsidR="0042256C" w:rsidRPr="00753A07" w:rsidRDefault="00760266" w:rsidP="00753A07">
      <w:pPr>
        <w:spacing w:after="0" w:line="276" w:lineRule="auto"/>
        <w:jc w:val="center"/>
        <w:rPr>
          <w:rFonts w:cstheme="minorHAnsi"/>
        </w:rPr>
      </w:pPr>
      <w:r>
        <w:rPr>
          <w:rFonts w:cstheme="minorHAnsi"/>
        </w:rPr>
        <w:t xml:space="preserve">Código Penal </w:t>
      </w:r>
    </w:p>
    <w:p w:rsidR="00893809" w:rsidRDefault="00893809" w:rsidP="00893809">
      <w:pPr>
        <w:spacing w:after="0" w:line="276" w:lineRule="auto"/>
        <w:jc w:val="both"/>
        <w:rPr>
          <w:rFonts w:cstheme="minorHAnsi"/>
          <w:bCs/>
        </w:rPr>
      </w:pPr>
    </w:p>
    <w:p w:rsidR="000229F5" w:rsidRPr="00893809" w:rsidRDefault="000229F5" w:rsidP="00893809">
      <w:pPr>
        <w:spacing w:after="0" w:line="276" w:lineRule="auto"/>
        <w:jc w:val="both"/>
        <w:rPr>
          <w:rFonts w:cstheme="minorHAnsi"/>
          <w:bCs/>
        </w:rPr>
      </w:pPr>
    </w:p>
    <w:p w:rsidR="007D4111" w:rsidRDefault="00332504" w:rsidP="00753A07">
      <w:pPr>
        <w:spacing w:after="0" w:line="276" w:lineRule="auto"/>
        <w:jc w:val="center"/>
        <w:rPr>
          <w:rFonts w:cstheme="minorHAnsi"/>
          <w:b/>
          <w:bCs/>
          <w:smallCaps/>
          <w:u w:val="single"/>
        </w:rPr>
      </w:pPr>
      <w:r w:rsidRPr="003A5F22">
        <w:rPr>
          <w:rFonts w:cstheme="minorHAnsi"/>
          <w:b/>
          <w:bCs/>
          <w:smallCaps/>
          <w:u w:val="single"/>
        </w:rPr>
        <w:t>Proyecto de Le</w:t>
      </w:r>
      <w:r w:rsidR="00DE54D3" w:rsidRPr="003A5F22">
        <w:rPr>
          <w:rFonts w:cstheme="minorHAnsi"/>
          <w:b/>
          <w:bCs/>
          <w:smallCaps/>
          <w:u w:val="single"/>
        </w:rPr>
        <w:t>y</w:t>
      </w:r>
    </w:p>
    <w:p w:rsidR="005F1CA2" w:rsidRDefault="005F1CA2" w:rsidP="00753A07">
      <w:pPr>
        <w:spacing w:after="0" w:line="276" w:lineRule="auto"/>
        <w:jc w:val="center"/>
        <w:rPr>
          <w:rFonts w:cstheme="minorHAnsi"/>
          <w:b/>
          <w:bCs/>
          <w:smallCaps/>
          <w:u w:val="single"/>
        </w:rPr>
      </w:pPr>
    </w:p>
    <w:p w:rsidR="000229F5" w:rsidRDefault="000229F5" w:rsidP="00753A07">
      <w:pPr>
        <w:spacing w:after="0" w:line="276" w:lineRule="auto"/>
        <w:jc w:val="center"/>
        <w:rPr>
          <w:rFonts w:cstheme="minorHAnsi"/>
          <w:b/>
          <w:bCs/>
          <w:smallCaps/>
          <w:u w:val="single"/>
        </w:rPr>
      </w:pPr>
    </w:p>
    <w:p w:rsidR="00674D35" w:rsidRDefault="005F1CA2" w:rsidP="005F1CA2">
      <w:pPr>
        <w:spacing w:after="0" w:line="276" w:lineRule="auto"/>
        <w:jc w:val="both"/>
        <w:rPr>
          <w:rFonts w:cstheme="minorHAnsi"/>
        </w:rPr>
      </w:pPr>
      <w:r>
        <w:rPr>
          <w:rFonts w:cstheme="minorHAnsi"/>
          <w:b/>
          <w:bCs/>
          <w:smallCaps/>
        </w:rPr>
        <w:t xml:space="preserve">ARTÍCULO ÚNICO: </w:t>
      </w:r>
      <w:r w:rsidR="000229F5">
        <w:rPr>
          <w:rFonts w:cstheme="minorHAnsi"/>
        </w:rPr>
        <w:t>Efectúese</w:t>
      </w:r>
      <w:r w:rsidR="00674D35">
        <w:rPr>
          <w:rFonts w:cstheme="minorHAnsi"/>
        </w:rPr>
        <w:t xml:space="preserve"> las siguientes modificaciones al Código Penal: </w:t>
      </w:r>
    </w:p>
    <w:p w:rsidR="00674D35" w:rsidRDefault="00674D35" w:rsidP="005F1CA2">
      <w:pPr>
        <w:spacing w:after="0" w:line="276" w:lineRule="auto"/>
        <w:jc w:val="both"/>
        <w:rPr>
          <w:rFonts w:cstheme="minorHAnsi"/>
        </w:rPr>
      </w:pPr>
    </w:p>
    <w:p w:rsidR="00674D35" w:rsidRDefault="005A2C43" w:rsidP="005A2C43">
      <w:pPr>
        <w:spacing w:after="0" w:line="276" w:lineRule="auto"/>
        <w:jc w:val="both"/>
        <w:rPr>
          <w:rFonts w:cstheme="minorHAnsi"/>
        </w:rPr>
      </w:pPr>
      <w:r w:rsidRPr="005A2C43">
        <w:rPr>
          <w:rFonts w:cstheme="minorHAnsi"/>
          <w:b/>
          <w:bCs/>
        </w:rPr>
        <w:t>1.</w:t>
      </w:r>
      <w:r>
        <w:rPr>
          <w:rFonts w:cstheme="minorHAnsi"/>
        </w:rPr>
        <w:t xml:space="preserve"> Introdúzcase un nuevo artículo 447 </w:t>
      </w:r>
      <w:r>
        <w:rPr>
          <w:rFonts w:cstheme="minorHAnsi"/>
          <w:i/>
          <w:iCs/>
        </w:rPr>
        <w:t>ter</w:t>
      </w:r>
      <w:r>
        <w:rPr>
          <w:rFonts w:cstheme="minorHAnsi"/>
        </w:rPr>
        <w:t xml:space="preserve">, del siguiente tenor: </w:t>
      </w:r>
    </w:p>
    <w:p w:rsidR="005A2C43" w:rsidRDefault="005A2C43" w:rsidP="005A2C43">
      <w:pPr>
        <w:spacing w:after="0" w:line="276" w:lineRule="auto"/>
        <w:jc w:val="both"/>
        <w:rPr>
          <w:rFonts w:cstheme="minorHAnsi"/>
        </w:rPr>
      </w:pPr>
    </w:p>
    <w:p w:rsidR="005A2C43" w:rsidRDefault="005A2C43" w:rsidP="005A2C43">
      <w:pPr>
        <w:spacing w:after="0" w:line="276" w:lineRule="auto"/>
        <w:jc w:val="both"/>
        <w:rPr>
          <w:rFonts w:cstheme="minorHAnsi"/>
          <w:i/>
          <w:iCs/>
        </w:rPr>
      </w:pPr>
      <w:r>
        <w:rPr>
          <w:rFonts w:cstheme="minorHAnsi"/>
        </w:rPr>
        <w:t>“</w:t>
      </w:r>
      <w:r w:rsidR="000229F5">
        <w:rPr>
          <w:rFonts w:cstheme="minorHAnsi"/>
          <w:i/>
          <w:iCs/>
        </w:rPr>
        <w:t xml:space="preserve">Será sancionado con </w:t>
      </w:r>
      <w:r w:rsidR="00CF2944">
        <w:rPr>
          <w:rFonts w:cstheme="minorHAnsi"/>
          <w:i/>
          <w:iCs/>
        </w:rPr>
        <w:t>la pena de presidio menor en su grado mínimo a medio</w:t>
      </w:r>
      <w:r w:rsidR="000229F5">
        <w:rPr>
          <w:rFonts w:cstheme="minorHAnsi"/>
          <w:i/>
          <w:iCs/>
        </w:rPr>
        <w:t xml:space="preserve"> aquel que, habiendo </w:t>
      </w:r>
      <w:r w:rsidR="00CF2944">
        <w:rPr>
          <w:rFonts w:cstheme="minorHAnsi"/>
          <w:i/>
          <w:iCs/>
        </w:rPr>
        <w:t>consumido</w:t>
      </w:r>
      <w:r w:rsidR="000229F5">
        <w:rPr>
          <w:rFonts w:cstheme="minorHAnsi"/>
          <w:i/>
          <w:iCs/>
        </w:rPr>
        <w:t xml:space="preserve"> y/o </w:t>
      </w:r>
      <w:r w:rsidR="00CF2944">
        <w:rPr>
          <w:rFonts w:cstheme="minorHAnsi"/>
          <w:i/>
          <w:iCs/>
        </w:rPr>
        <w:t>solicitado</w:t>
      </w:r>
      <w:r w:rsidR="000229F5">
        <w:rPr>
          <w:rFonts w:cstheme="minorHAnsi"/>
          <w:i/>
          <w:iCs/>
        </w:rPr>
        <w:t xml:space="preserve"> cualquier clase de producto o servicio en un establecimiento destinado a la venta de alimentos, a la hotelería u hospedaje o a la venta de combustibles, se rehusare, sin justificación alguna, a pagar su valor correspondiente.</w:t>
      </w:r>
    </w:p>
    <w:p w:rsidR="000229F5" w:rsidRDefault="000229F5" w:rsidP="005A2C43">
      <w:pPr>
        <w:spacing w:after="0" w:line="276" w:lineRule="auto"/>
        <w:jc w:val="both"/>
        <w:rPr>
          <w:rFonts w:cstheme="minorHAnsi"/>
          <w:i/>
          <w:iCs/>
        </w:rPr>
      </w:pPr>
    </w:p>
    <w:p w:rsidR="00CF2944" w:rsidRDefault="000229F5" w:rsidP="005A2C43">
      <w:pPr>
        <w:spacing w:after="0" w:line="276" w:lineRule="auto"/>
        <w:jc w:val="both"/>
        <w:rPr>
          <w:rFonts w:cstheme="minorHAnsi"/>
          <w:i/>
          <w:iCs/>
        </w:rPr>
      </w:pPr>
      <w:r>
        <w:rPr>
          <w:rFonts w:cstheme="minorHAnsi"/>
          <w:i/>
          <w:iCs/>
        </w:rPr>
        <w:t>Se entenderá de manera especial que el sujeto se rehúsa injustificadamente a pagar por los productos o servicios en aquellos casos en que, tras su consumo o recepción, se diere a la fuga.</w:t>
      </w:r>
    </w:p>
    <w:p w:rsidR="00CF2944" w:rsidRDefault="00CF2944" w:rsidP="005A2C43">
      <w:pPr>
        <w:spacing w:after="0" w:line="276" w:lineRule="auto"/>
        <w:jc w:val="both"/>
        <w:rPr>
          <w:rFonts w:cstheme="minorHAnsi"/>
          <w:i/>
          <w:iCs/>
        </w:rPr>
      </w:pPr>
    </w:p>
    <w:p w:rsidR="000229F5" w:rsidRDefault="00CF2944" w:rsidP="005A2C43">
      <w:pPr>
        <w:spacing w:after="0" w:line="276" w:lineRule="auto"/>
        <w:jc w:val="both"/>
        <w:rPr>
          <w:rFonts w:cstheme="minorHAnsi"/>
        </w:rPr>
      </w:pPr>
      <w:r>
        <w:rPr>
          <w:rFonts w:cstheme="minorHAnsi"/>
          <w:i/>
          <w:iCs/>
        </w:rPr>
        <w:t>Para la imposición de la pena, el juez tendrá especialmente en cuenta el valor del producto o servicio no pagado.</w:t>
      </w:r>
      <w:r w:rsidR="000229F5">
        <w:rPr>
          <w:rFonts w:cstheme="minorHAnsi"/>
        </w:rPr>
        <w:t xml:space="preserve">” </w:t>
      </w:r>
    </w:p>
    <w:p w:rsidR="001341D7" w:rsidRDefault="001341D7" w:rsidP="005A2C43">
      <w:pPr>
        <w:spacing w:after="0" w:line="276" w:lineRule="auto"/>
        <w:jc w:val="both"/>
        <w:rPr>
          <w:rFonts w:cstheme="minorHAnsi"/>
        </w:rPr>
      </w:pPr>
    </w:p>
    <w:p w:rsidR="001341D7" w:rsidRDefault="001341D7" w:rsidP="001341D7">
      <w:pPr>
        <w:spacing w:after="0" w:line="276" w:lineRule="auto"/>
        <w:jc w:val="both"/>
        <w:rPr>
          <w:rFonts w:cstheme="minorHAnsi"/>
        </w:rPr>
      </w:pPr>
      <w:r w:rsidRPr="001341D7">
        <w:rPr>
          <w:rFonts w:cstheme="minorHAnsi"/>
          <w:b/>
          <w:bCs/>
        </w:rPr>
        <w:t>2.</w:t>
      </w:r>
      <w:r>
        <w:rPr>
          <w:rFonts w:cstheme="minorHAnsi"/>
          <w:b/>
          <w:bCs/>
        </w:rPr>
        <w:t xml:space="preserve"> </w:t>
      </w:r>
      <w:r w:rsidRPr="001341D7">
        <w:rPr>
          <w:rFonts w:cstheme="minorHAnsi"/>
        </w:rPr>
        <w:t xml:space="preserve">Introdúzcase un nuevo artículo 494 </w:t>
      </w:r>
      <w:proofErr w:type="gramStart"/>
      <w:r w:rsidR="00CD189D">
        <w:rPr>
          <w:rFonts w:cstheme="minorHAnsi"/>
          <w:i/>
          <w:iCs/>
        </w:rPr>
        <w:t xml:space="preserve">bis </w:t>
      </w:r>
      <w:bookmarkStart w:id="0" w:name="_GoBack"/>
      <w:bookmarkEnd w:id="0"/>
      <w:r w:rsidRPr="001341D7">
        <w:rPr>
          <w:rFonts w:cstheme="minorHAnsi"/>
        </w:rPr>
        <w:t>,</w:t>
      </w:r>
      <w:proofErr w:type="gramEnd"/>
      <w:r w:rsidRPr="001341D7">
        <w:rPr>
          <w:rFonts w:cstheme="minorHAnsi"/>
        </w:rPr>
        <w:t xml:space="preserve"> del siguiente tenor:  </w:t>
      </w:r>
    </w:p>
    <w:p w:rsidR="001341D7" w:rsidRDefault="001341D7" w:rsidP="001341D7">
      <w:pPr>
        <w:spacing w:after="0" w:line="276" w:lineRule="auto"/>
        <w:jc w:val="both"/>
        <w:rPr>
          <w:rFonts w:cstheme="minorHAnsi"/>
        </w:rPr>
      </w:pPr>
    </w:p>
    <w:p w:rsidR="001341D7" w:rsidRDefault="001341D7" w:rsidP="001341D7">
      <w:pPr>
        <w:spacing w:after="0" w:line="276" w:lineRule="auto"/>
        <w:jc w:val="both"/>
        <w:rPr>
          <w:rFonts w:cstheme="minorHAnsi"/>
          <w:i/>
          <w:iCs/>
        </w:rPr>
      </w:pPr>
      <w:r>
        <w:rPr>
          <w:rFonts w:cstheme="minorHAnsi"/>
        </w:rPr>
        <w:t>“</w:t>
      </w:r>
      <w:r w:rsidR="00CF2944">
        <w:rPr>
          <w:rFonts w:cstheme="minorHAnsi"/>
          <w:i/>
          <w:iCs/>
        </w:rPr>
        <w:t>C</w:t>
      </w:r>
      <w:r>
        <w:rPr>
          <w:rFonts w:cstheme="minorHAnsi"/>
          <w:i/>
          <w:iCs/>
        </w:rPr>
        <w:t xml:space="preserve">on la misma pena del artículo anterior </w:t>
      </w:r>
      <w:r w:rsidR="00CF2944">
        <w:rPr>
          <w:rFonts w:cstheme="minorHAnsi"/>
          <w:i/>
          <w:iCs/>
        </w:rPr>
        <w:t xml:space="preserve">será sancionado </w:t>
      </w:r>
      <w:r>
        <w:rPr>
          <w:rFonts w:cstheme="minorHAnsi"/>
          <w:i/>
          <w:iCs/>
        </w:rPr>
        <w:t xml:space="preserve">aquel que, habiendo </w:t>
      </w:r>
      <w:r w:rsidR="00CF2944">
        <w:rPr>
          <w:rFonts w:cstheme="minorHAnsi"/>
          <w:i/>
          <w:iCs/>
        </w:rPr>
        <w:t>consumido</w:t>
      </w:r>
      <w:r>
        <w:rPr>
          <w:rFonts w:cstheme="minorHAnsi"/>
          <w:i/>
          <w:iCs/>
        </w:rPr>
        <w:t xml:space="preserve"> y/o </w:t>
      </w:r>
      <w:r w:rsidR="00CF2944">
        <w:rPr>
          <w:rFonts w:cstheme="minorHAnsi"/>
          <w:i/>
          <w:iCs/>
        </w:rPr>
        <w:t>solicitado</w:t>
      </w:r>
      <w:r>
        <w:rPr>
          <w:rFonts w:cstheme="minorHAnsi"/>
          <w:i/>
          <w:iCs/>
        </w:rPr>
        <w:t xml:space="preserve"> cualquier clase de producto y/o servicio en un establecimiento destinado a la venta de alimentos, a la hotelería u hospedaje o a la venta de combustibles</w:t>
      </w:r>
      <w:r w:rsidR="00CF2944">
        <w:rPr>
          <w:rFonts w:cstheme="minorHAnsi"/>
          <w:i/>
          <w:iCs/>
        </w:rPr>
        <w:t xml:space="preserve"> y</w:t>
      </w:r>
      <w:r>
        <w:rPr>
          <w:rFonts w:cstheme="minorHAnsi"/>
          <w:i/>
          <w:iCs/>
        </w:rPr>
        <w:t xml:space="preserve"> cuya cuantía no supere la de media unidad tributaria mensual, se rehusare, sin justificación alguna, a pagar su valor correspondiente.</w:t>
      </w:r>
    </w:p>
    <w:p w:rsidR="001341D7" w:rsidRDefault="001341D7" w:rsidP="001341D7">
      <w:pPr>
        <w:spacing w:after="0" w:line="276" w:lineRule="auto"/>
        <w:jc w:val="both"/>
        <w:rPr>
          <w:rFonts w:cstheme="minorHAnsi"/>
          <w:i/>
          <w:iCs/>
        </w:rPr>
      </w:pPr>
    </w:p>
    <w:p w:rsidR="001341D7" w:rsidRDefault="001341D7" w:rsidP="001341D7">
      <w:pPr>
        <w:spacing w:after="0" w:line="276" w:lineRule="auto"/>
        <w:jc w:val="both"/>
        <w:rPr>
          <w:rFonts w:cstheme="minorHAnsi"/>
        </w:rPr>
      </w:pPr>
      <w:r>
        <w:rPr>
          <w:rFonts w:cstheme="minorHAnsi"/>
          <w:i/>
          <w:iCs/>
        </w:rPr>
        <w:t>Se entenderá de manera especial que el sujeto se rehúsa injustificadamente a pagar por los productos o servicios en aquellos casos en que, tras su consumo o recepción, se diere a la fuga.</w:t>
      </w:r>
      <w:r>
        <w:rPr>
          <w:rFonts w:cstheme="minorHAnsi"/>
        </w:rPr>
        <w:t xml:space="preserve">” </w:t>
      </w:r>
    </w:p>
    <w:p w:rsidR="001341D7" w:rsidRPr="001341D7" w:rsidRDefault="001341D7" w:rsidP="001341D7">
      <w:pPr>
        <w:spacing w:after="0" w:line="276" w:lineRule="auto"/>
        <w:jc w:val="both"/>
        <w:rPr>
          <w:rFonts w:cstheme="minorHAnsi"/>
          <w:b/>
          <w:bCs/>
        </w:rPr>
      </w:pPr>
    </w:p>
    <w:p w:rsidR="00674D35" w:rsidRDefault="00674D35" w:rsidP="005F1CA2">
      <w:pPr>
        <w:spacing w:after="0" w:line="276" w:lineRule="auto"/>
        <w:jc w:val="both"/>
        <w:rPr>
          <w:rFonts w:cstheme="minorHAnsi"/>
        </w:rPr>
      </w:pPr>
    </w:p>
    <w:p w:rsidR="007D4111" w:rsidRDefault="007D4111" w:rsidP="009A6297">
      <w:pPr>
        <w:spacing w:after="0" w:line="276" w:lineRule="auto"/>
        <w:jc w:val="center"/>
        <w:rPr>
          <w:rFonts w:cstheme="minorHAnsi"/>
          <w:b/>
          <w:bCs/>
          <w:smallCaps/>
          <w:u w:val="single"/>
        </w:rPr>
      </w:pPr>
    </w:p>
    <w:p w:rsidR="00570E4E" w:rsidRDefault="00570E4E" w:rsidP="007B35A6">
      <w:pPr>
        <w:spacing w:after="0" w:line="276" w:lineRule="auto"/>
        <w:rPr>
          <w:rFonts w:cstheme="minorHAnsi"/>
        </w:rPr>
      </w:pPr>
    </w:p>
    <w:p w:rsidR="00CF2944" w:rsidRDefault="00CF2944" w:rsidP="007B35A6">
      <w:pPr>
        <w:spacing w:after="0" w:line="276" w:lineRule="auto"/>
        <w:rPr>
          <w:rFonts w:cstheme="minorHAnsi"/>
        </w:rPr>
      </w:pPr>
    </w:p>
    <w:p w:rsidR="00CF2944" w:rsidRDefault="00CF2944" w:rsidP="007B35A6">
      <w:pPr>
        <w:spacing w:after="0" w:line="276" w:lineRule="auto"/>
        <w:rPr>
          <w:rFonts w:cstheme="minorHAnsi"/>
        </w:rPr>
      </w:pPr>
    </w:p>
    <w:p w:rsidR="00570E4E" w:rsidRDefault="00570E4E" w:rsidP="00570E4E">
      <w:pPr>
        <w:spacing w:after="0" w:line="276" w:lineRule="auto"/>
        <w:jc w:val="center"/>
        <w:rPr>
          <w:rFonts w:cstheme="minorHAnsi"/>
        </w:rPr>
      </w:pPr>
      <w:r>
        <w:rPr>
          <w:rFonts w:cstheme="minorHAnsi"/>
        </w:rPr>
        <w:t>______________________________</w:t>
      </w:r>
    </w:p>
    <w:p w:rsidR="00570E4E" w:rsidRDefault="005F1CA2" w:rsidP="00570E4E">
      <w:pPr>
        <w:spacing w:after="0" w:line="276" w:lineRule="auto"/>
        <w:jc w:val="center"/>
        <w:rPr>
          <w:rFonts w:cstheme="minorHAnsi"/>
          <w:b/>
          <w:bCs/>
        </w:rPr>
      </w:pPr>
      <w:r>
        <w:rPr>
          <w:rFonts w:cstheme="minorHAnsi"/>
          <w:b/>
          <w:bCs/>
        </w:rPr>
        <w:t>JORGE DURÁN ESPINOZA</w:t>
      </w:r>
    </w:p>
    <w:p w:rsidR="00570E4E" w:rsidRPr="00570E4E" w:rsidRDefault="00570E4E" w:rsidP="001341D7">
      <w:pPr>
        <w:spacing w:after="0" w:line="276" w:lineRule="auto"/>
        <w:jc w:val="center"/>
        <w:rPr>
          <w:rFonts w:cstheme="minorHAnsi"/>
        </w:rPr>
      </w:pPr>
      <w:r>
        <w:rPr>
          <w:rFonts w:cstheme="minorHAnsi"/>
        </w:rPr>
        <w:t>DIPUTADO</w:t>
      </w:r>
    </w:p>
    <w:sectPr w:rsidR="00570E4E" w:rsidRPr="00570E4E" w:rsidSect="00FE6E0F">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D3" w:rsidRDefault="000C44D3" w:rsidP="00A82A1A">
      <w:pPr>
        <w:spacing w:after="0" w:line="240" w:lineRule="auto"/>
      </w:pPr>
      <w:r>
        <w:separator/>
      </w:r>
    </w:p>
  </w:endnote>
  <w:endnote w:type="continuationSeparator" w:id="0">
    <w:p w:rsidR="000C44D3" w:rsidRDefault="000C44D3"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D3" w:rsidRDefault="000C44D3" w:rsidP="00A82A1A">
      <w:pPr>
        <w:spacing w:after="0" w:line="240" w:lineRule="auto"/>
      </w:pPr>
      <w:r>
        <w:separator/>
      </w:r>
    </w:p>
  </w:footnote>
  <w:footnote w:type="continuationSeparator" w:id="0">
    <w:p w:rsidR="000C44D3" w:rsidRDefault="000C44D3" w:rsidP="00A82A1A">
      <w:pPr>
        <w:spacing w:after="0" w:line="240" w:lineRule="auto"/>
      </w:pPr>
      <w:r>
        <w:continuationSeparator/>
      </w:r>
    </w:p>
  </w:footnote>
  <w:footnote w:id="1">
    <w:p w:rsidR="005A3437" w:rsidRPr="006E4483" w:rsidRDefault="005A3437" w:rsidP="00AE7926">
      <w:pPr>
        <w:pStyle w:val="Textonotapie"/>
        <w:jc w:val="both"/>
        <w:rPr>
          <w:rFonts w:asciiTheme="majorHAnsi" w:hAnsiTheme="majorHAnsi" w:cstheme="majorHAnsi"/>
        </w:rPr>
      </w:pPr>
      <w:r w:rsidRPr="006E4483">
        <w:rPr>
          <w:rStyle w:val="Refdenotaalpie"/>
          <w:rFonts w:asciiTheme="majorHAnsi" w:hAnsiTheme="majorHAnsi" w:cstheme="majorHAnsi"/>
        </w:rPr>
        <w:footnoteRef/>
      </w:r>
      <w:r w:rsidRPr="006E4483">
        <w:rPr>
          <w:rFonts w:asciiTheme="majorHAnsi" w:hAnsiTheme="majorHAnsi" w:cstheme="majorHAnsi"/>
        </w:rPr>
        <w:t xml:space="preserve"> Nota de prensa disponible en: </w:t>
      </w:r>
      <w:hyperlink r:id="rId1" w:history="1">
        <w:r w:rsidRPr="006E4483">
          <w:rPr>
            <w:rStyle w:val="Hipervnculo"/>
            <w:rFonts w:asciiTheme="majorHAnsi" w:hAnsiTheme="majorHAnsi" w:cstheme="majorHAnsi"/>
          </w:rPr>
          <w:t>https://www.24horas.cl/regiones/araucania/nueva-detencion-aleman-acusado-de-realizar-perro-muerto-debera-someterse-a-examenes-psicologicos-3532956</w:t>
        </w:r>
      </w:hyperlink>
      <w:r w:rsidRPr="006E4483">
        <w:rPr>
          <w:rFonts w:asciiTheme="majorHAnsi" w:hAnsiTheme="majorHAnsi" w:cstheme="majorHAnsi"/>
        </w:rPr>
        <w:t xml:space="preserve"> </w:t>
      </w:r>
    </w:p>
  </w:footnote>
  <w:footnote w:id="2">
    <w:p w:rsidR="00AE7926" w:rsidRPr="006E4483" w:rsidRDefault="00AE7926" w:rsidP="00AE7926">
      <w:pPr>
        <w:pStyle w:val="Textonotapie"/>
        <w:rPr>
          <w:rFonts w:asciiTheme="majorHAnsi" w:hAnsiTheme="majorHAnsi" w:cstheme="majorHAnsi"/>
        </w:rPr>
      </w:pPr>
      <w:r w:rsidRPr="006E4483">
        <w:rPr>
          <w:rStyle w:val="Refdenotaalpie"/>
          <w:rFonts w:asciiTheme="majorHAnsi" w:hAnsiTheme="majorHAnsi" w:cstheme="majorHAnsi"/>
        </w:rPr>
        <w:footnoteRef/>
      </w:r>
      <w:r w:rsidRPr="006E4483">
        <w:rPr>
          <w:rFonts w:asciiTheme="majorHAnsi" w:hAnsiTheme="majorHAnsi" w:cstheme="majorHAnsi"/>
        </w:rPr>
        <w:t xml:space="preserve"> Valor al mes de agosto de 2019, según Servicio de Impuestos Internos: </w:t>
      </w:r>
      <w:hyperlink r:id="rId2" w:history="1">
        <w:r w:rsidRPr="006E4483">
          <w:rPr>
            <w:rStyle w:val="Hipervnculo"/>
            <w:rFonts w:asciiTheme="majorHAnsi" w:hAnsiTheme="majorHAnsi" w:cstheme="majorHAnsi"/>
          </w:rPr>
          <w:t>http://www.sii.cl/valores_y_fechas/utm/utm2019.htm</w:t>
        </w:r>
      </w:hyperlink>
    </w:p>
  </w:footnote>
  <w:footnote w:id="3">
    <w:p w:rsidR="006B3372" w:rsidRPr="006E4483" w:rsidRDefault="006B3372" w:rsidP="00B56678">
      <w:pPr>
        <w:pStyle w:val="Textonotapie"/>
        <w:jc w:val="both"/>
        <w:rPr>
          <w:rFonts w:asciiTheme="majorHAnsi" w:hAnsiTheme="majorHAnsi" w:cstheme="majorHAnsi"/>
        </w:rPr>
      </w:pPr>
      <w:r w:rsidRPr="006E4483">
        <w:rPr>
          <w:rStyle w:val="Refdenotaalpie"/>
          <w:rFonts w:asciiTheme="majorHAnsi" w:hAnsiTheme="majorHAnsi" w:cstheme="majorHAnsi"/>
        </w:rPr>
        <w:footnoteRef/>
      </w:r>
      <w:r w:rsidRPr="006E4483">
        <w:rPr>
          <w:rFonts w:asciiTheme="majorHAnsi" w:hAnsiTheme="majorHAnsi" w:cstheme="majorHAnsi"/>
        </w:rPr>
        <w:t xml:space="preserve"> Matus, Jean Pierre y Ramírez, María Cecilia (2017) “</w:t>
      </w:r>
      <w:r w:rsidRPr="006E4483">
        <w:rPr>
          <w:rFonts w:asciiTheme="majorHAnsi" w:hAnsiTheme="majorHAnsi" w:cstheme="majorHAnsi"/>
          <w:i/>
          <w:iCs/>
        </w:rPr>
        <w:t>Lecciones de Derecho Penal Chileno, Parte Especial</w:t>
      </w:r>
      <w:r w:rsidRPr="006E4483">
        <w:rPr>
          <w:rFonts w:asciiTheme="majorHAnsi" w:hAnsiTheme="majorHAnsi" w:cstheme="majorHAnsi"/>
        </w:rPr>
        <w:t xml:space="preserve">”, Editorial Tirant Lo Blanch, p. 421-422. </w:t>
      </w:r>
    </w:p>
  </w:footnote>
  <w:footnote w:id="4">
    <w:p w:rsidR="001A6117" w:rsidRPr="006E4483" w:rsidRDefault="001A6117" w:rsidP="001A6117">
      <w:pPr>
        <w:pStyle w:val="Textonotapie"/>
        <w:jc w:val="both"/>
        <w:rPr>
          <w:rFonts w:asciiTheme="majorHAnsi" w:hAnsiTheme="majorHAnsi" w:cstheme="majorHAnsi"/>
        </w:rPr>
      </w:pPr>
      <w:r w:rsidRPr="006E4483">
        <w:rPr>
          <w:rStyle w:val="Refdenotaalpie"/>
          <w:rFonts w:asciiTheme="majorHAnsi" w:hAnsiTheme="majorHAnsi" w:cstheme="majorHAnsi"/>
        </w:rPr>
        <w:footnoteRef/>
      </w:r>
      <w:r w:rsidRPr="006E4483">
        <w:rPr>
          <w:rFonts w:asciiTheme="majorHAnsi" w:hAnsiTheme="majorHAnsi" w:cstheme="majorHAnsi"/>
        </w:rPr>
        <w:t xml:space="preserve"> Matus, Jean Pierre y Ramírez, María Cecilia (2017) “</w:t>
      </w:r>
      <w:r w:rsidRPr="006E4483">
        <w:rPr>
          <w:rFonts w:asciiTheme="majorHAnsi" w:hAnsiTheme="majorHAnsi" w:cstheme="majorHAnsi"/>
          <w:i/>
          <w:iCs/>
        </w:rPr>
        <w:t>Lecciones de Derecho Penal Chileno, Parte Especial</w:t>
      </w:r>
      <w:r w:rsidRPr="006E4483">
        <w:rPr>
          <w:rFonts w:asciiTheme="majorHAnsi" w:hAnsiTheme="majorHAnsi" w:cstheme="majorHAnsi"/>
        </w:rPr>
        <w:t>”, Editorial Tirant Lo Blanch, p. 436.</w:t>
      </w:r>
    </w:p>
  </w:footnote>
  <w:footnote w:id="5">
    <w:p w:rsidR="008575EE" w:rsidRPr="006E4483" w:rsidRDefault="008575EE" w:rsidP="001E0992">
      <w:pPr>
        <w:pStyle w:val="Textonotapie"/>
        <w:jc w:val="both"/>
        <w:rPr>
          <w:rFonts w:asciiTheme="majorHAnsi" w:hAnsiTheme="majorHAnsi" w:cstheme="majorHAnsi"/>
        </w:rPr>
      </w:pPr>
      <w:r w:rsidRPr="006E4483">
        <w:rPr>
          <w:rStyle w:val="Refdenotaalpie"/>
          <w:rFonts w:asciiTheme="majorHAnsi" w:hAnsiTheme="majorHAnsi" w:cstheme="majorHAnsi"/>
        </w:rPr>
        <w:footnoteRef/>
      </w:r>
      <w:r w:rsidRPr="006E4483">
        <w:rPr>
          <w:rFonts w:asciiTheme="majorHAnsi" w:hAnsiTheme="majorHAnsi" w:cstheme="majorHAnsi"/>
        </w:rPr>
        <w:t xml:space="preserve"> La letra c) del artículo 3 </w:t>
      </w:r>
      <w:r w:rsidR="001E0992" w:rsidRPr="006E4483">
        <w:rPr>
          <w:rFonts w:asciiTheme="majorHAnsi" w:hAnsiTheme="majorHAnsi" w:cstheme="majorHAnsi"/>
        </w:rPr>
        <w:t>y el artículo 13 de la Ley N° 19.496 consagran el derecho y la obligación, respectivamente, de no discriminación en materia de consumo.</w:t>
      </w:r>
    </w:p>
  </w:footnote>
  <w:footnote w:id="6">
    <w:p w:rsidR="006E4483" w:rsidRDefault="006E4483" w:rsidP="006E4483">
      <w:pPr>
        <w:pStyle w:val="Textonotapie"/>
        <w:jc w:val="both"/>
      </w:pPr>
      <w:r w:rsidRPr="006E4483">
        <w:rPr>
          <w:rStyle w:val="Refdenotaalpie"/>
          <w:rFonts w:asciiTheme="majorHAnsi" w:hAnsiTheme="majorHAnsi" w:cstheme="majorHAnsi"/>
        </w:rPr>
        <w:footnoteRef/>
      </w:r>
      <w:r w:rsidRPr="006E4483">
        <w:rPr>
          <w:rFonts w:asciiTheme="majorHAnsi" w:hAnsiTheme="majorHAnsi" w:cstheme="majorHAnsi"/>
        </w:rPr>
        <w:t xml:space="preserve"> Matus, Jean Pierre y Ramírez, María Cecilia (2017) “</w:t>
      </w:r>
      <w:r w:rsidRPr="006E4483">
        <w:rPr>
          <w:rFonts w:asciiTheme="majorHAnsi" w:hAnsiTheme="majorHAnsi" w:cstheme="majorHAnsi"/>
          <w:i/>
          <w:iCs/>
        </w:rPr>
        <w:t>Lecciones de Derecho Penal Chileno, Parte Especial</w:t>
      </w:r>
      <w:r w:rsidRPr="006E4483">
        <w:rPr>
          <w:rFonts w:asciiTheme="majorHAnsi" w:hAnsiTheme="majorHAnsi" w:cstheme="majorHAnsi"/>
        </w:rPr>
        <w:t>”, Editorial Tirant Lo Blanch, p. 539.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A35"/>
    <w:multiLevelType w:val="hybridMultilevel"/>
    <w:tmpl w:val="7A767208"/>
    <w:lvl w:ilvl="0" w:tplc="17AEE3A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7D3658"/>
    <w:multiLevelType w:val="hybridMultilevel"/>
    <w:tmpl w:val="72662B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F85573"/>
    <w:multiLevelType w:val="hybridMultilevel"/>
    <w:tmpl w:val="112C1820"/>
    <w:lvl w:ilvl="0" w:tplc="8202FF7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8E2BBC"/>
    <w:multiLevelType w:val="hybridMultilevel"/>
    <w:tmpl w:val="86A601BA"/>
    <w:lvl w:ilvl="0" w:tplc="0D6657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DEE50A2"/>
    <w:multiLevelType w:val="hybridMultilevel"/>
    <w:tmpl w:val="2A2C616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F61A09"/>
    <w:multiLevelType w:val="hybridMultilevel"/>
    <w:tmpl w:val="0E4260C0"/>
    <w:lvl w:ilvl="0" w:tplc="02608C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901E78"/>
    <w:multiLevelType w:val="hybridMultilevel"/>
    <w:tmpl w:val="23189288"/>
    <w:lvl w:ilvl="0" w:tplc="FAE4924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0B47EB"/>
    <w:multiLevelType w:val="hybridMultilevel"/>
    <w:tmpl w:val="72C427BA"/>
    <w:lvl w:ilvl="0" w:tplc="801E6F5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7117D20"/>
    <w:multiLevelType w:val="hybridMultilevel"/>
    <w:tmpl w:val="1BC26A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FAB3275"/>
    <w:multiLevelType w:val="hybridMultilevel"/>
    <w:tmpl w:val="50787FCC"/>
    <w:lvl w:ilvl="0" w:tplc="B13CCA1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21C6D25"/>
    <w:multiLevelType w:val="hybridMultilevel"/>
    <w:tmpl w:val="863412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2BA2A53"/>
    <w:multiLevelType w:val="hybridMultilevel"/>
    <w:tmpl w:val="2AC66BBA"/>
    <w:lvl w:ilvl="0" w:tplc="A4F621D4">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F320663"/>
    <w:multiLevelType w:val="hybridMultilevel"/>
    <w:tmpl w:val="41AA7796"/>
    <w:lvl w:ilvl="0" w:tplc="3ADA460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7"/>
  </w:num>
  <w:num w:numId="5">
    <w:abstractNumId w:val="12"/>
  </w:num>
  <w:num w:numId="6">
    <w:abstractNumId w:val="3"/>
  </w:num>
  <w:num w:numId="7">
    <w:abstractNumId w:val="4"/>
  </w:num>
  <w:num w:numId="8">
    <w:abstractNumId w:val="7"/>
  </w:num>
  <w:num w:numId="9">
    <w:abstractNumId w:val="9"/>
  </w:num>
  <w:num w:numId="10">
    <w:abstractNumId w:val="8"/>
  </w:num>
  <w:num w:numId="11">
    <w:abstractNumId w:val="14"/>
  </w:num>
  <w:num w:numId="12">
    <w:abstractNumId w:val="2"/>
  </w:num>
  <w:num w:numId="13">
    <w:abstractNumId w:val="11"/>
  </w:num>
  <w:num w:numId="14">
    <w:abstractNumId w:val="1"/>
  </w:num>
  <w:num w:numId="15">
    <w:abstractNumId w:val="6"/>
  </w:num>
  <w:num w:numId="16">
    <w:abstractNumId w:val="0"/>
  </w:num>
  <w:num w:numId="17">
    <w:abstractNumId w:val="15"/>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13A05"/>
    <w:rsid w:val="00015E6C"/>
    <w:rsid w:val="000229F5"/>
    <w:rsid w:val="000237BE"/>
    <w:rsid w:val="00025A39"/>
    <w:rsid w:val="00041C62"/>
    <w:rsid w:val="000450FC"/>
    <w:rsid w:val="0005541C"/>
    <w:rsid w:val="000559FA"/>
    <w:rsid w:val="000563DD"/>
    <w:rsid w:val="000621E4"/>
    <w:rsid w:val="00067257"/>
    <w:rsid w:val="00073DFD"/>
    <w:rsid w:val="00074890"/>
    <w:rsid w:val="00082369"/>
    <w:rsid w:val="00082D9F"/>
    <w:rsid w:val="00087B2D"/>
    <w:rsid w:val="000A7418"/>
    <w:rsid w:val="000C44D3"/>
    <w:rsid w:val="000E6786"/>
    <w:rsid w:val="00101DCB"/>
    <w:rsid w:val="00102A2A"/>
    <w:rsid w:val="00107F74"/>
    <w:rsid w:val="001102A3"/>
    <w:rsid w:val="00124F74"/>
    <w:rsid w:val="001341D7"/>
    <w:rsid w:val="00136AA1"/>
    <w:rsid w:val="00136AB6"/>
    <w:rsid w:val="001378A7"/>
    <w:rsid w:val="00140910"/>
    <w:rsid w:val="00154D54"/>
    <w:rsid w:val="00160085"/>
    <w:rsid w:val="00165D37"/>
    <w:rsid w:val="00171952"/>
    <w:rsid w:val="0017765A"/>
    <w:rsid w:val="0018082F"/>
    <w:rsid w:val="001922AF"/>
    <w:rsid w:val="00193715"/>
    <w:rsid w:val="00194EFB"/>
    <w:rsid w:val="001A32B4"/>
    <w:rsid w:val="001A6117"/>
    <w:rsid w:val="001B0CDF"/>
    <w:rsid w:val="001B32FC"/>
    <w:rsid w:val="001B5041"/>
    <w:rsid w:val="001C26BB"/>
    <w:rsid w:val="001C71D1"/>
    <w:rsid w:val="001E0992"/>
    <w:rsid w:val="001E186A"/>
    <w:rsid w:val="001F561C"/>
    <w:rsid w:val="001F7EF4"/>
    <w:rsid w:val="00216686"/>
    <w:rsid w:val="0022112F"/>
    <w:rsid w:val="00223E0C"/>
    <w:rsid w:val="00243FFA"/>
    <w:rsid w:val="00246A56"/>
    <w:rsid w:val="0025487B"/>
    <w:rsid w:val="00254C15"/>
    <w:rsid w:val="00254E32"/>
    <w:rsid w:val="00262313"/>
    <w:rsid w:val="0026385F"/>
    <w:rsid w:val="002674A7"/>
    <w:rsid w:val="00273A6D"/>
    <w:rsid w:val="00276CA4"/>
    <w:rsid w:val="002919A8"/>
    <w:rsid w:val="002926D9"/>
    <w:rsid w:val="002A60CA"/>
    <w:rsid w:val="002C11CE"/>
    <w:rsid w:val="002C44DE"/>
    <w:rsid w:val="002D14EA"/>
    <w:rsid w:val="002D512A"/>
    <w:rsid w:val="002D7C8D"/>
    <w:rsid w:val="002F169C"/>
    <w:rsid w:val="00305208"/>
    <w:rsid w:val="00316756"/>
    <w:rsid w:val="00321ADC"/>
    <w:rsid w:val="00332504"/>
    <w:rsid w:val="0033537F"/>
    <w:rsid w:val="003410DD"/>
    <w:rsid w:val="003447CD"/>
    <w:rsid w:val="00352503"/>
    <w:rsid w:val="00356E78"/>
    <w:rsid w:val="00386FC3"/>
    <w:rsid w:val="003A5F22"/>
    <w:rsid w:val="003A6B60"/>
    <w:rsid w:val="003A6E0D"/>
    <w:rsid w:val="003B4944"/>
    <w:rsid w:val="003D070E"/>
    <w:rsid w:val="003D628D"/>
    <w:rsid w:val="003E0B37"/>
    <w:rsid w:val="003E4DB2"/>
    <w:rsid w:val="00405D74"/>
    <w:rsid w:val="00406828"/>
    <w:rsid w:val="00415CEC"/>
    <w:rsid w:val="0042256C"/>
    <w:rsid w:val="004235D4"/>
    <w:rsid w:val="00440874"/>
    <w:rsid w:val="00445B21"/>
    <w:rsid w:val="00445B7E"/>
    <w:rsid w:val="00455009"/>
    <w:rsid w:val="00461D93"/>
    <w:rsid w:val="004765A9"/>
    <w:rsid w:val="00482B36"/>
    <w:rsid w:val="0048335F"/>
    <w:rsid w:val="00483471"/>
    <w:rsid w:val="004862CF"/>
    <w:rsid w:val="0048757A"/>
    <w:rsid w:val="004B6188"/>
    <w:rsid w:val="004C2430"/>
    <w:rsid w:val="004D6AC1"/>
    <w:rsid w:val="004E28E0"/>
    <w:rsid w:val="004E3921"/>
    <w:rsid w:val="004F032C"/>
    <w:rsid w:val="004F2644"/>
    <w:rsid w:val="005005BF"/>
    <w:rsid w:val="005026FE"/>
    <w:rsid w:val="005030CD"/>
    <w:rsid w:val="00511E52"/>
    <w:rsid w:val="005468A8"/>
    <w:rsid w:val="005515D7"/>
    <w:rsid w:val="005667E0"/>
    <w:rsid w:val="00570E4E"/>
    <w:rsid w:val="005805C2"/>
    <w:rsid w:val="005A2C43"/>
    <w:rsid w:val="005A3437"/>
    <w:rsid w:val="005A69ED"/>
    <w:rsid w:val="005B2BBE"/>
    <w:rsid w:val="005B4841"/>
    <w:rsid w:val="005C675F"/>
    <w:rsid w:val="005D4AD1"/>
    <w:rsid w:val="005E6827"/>
    <w:rsid w:val="005F1CA2"/>
    <w:rsid w:val="0060348D"/>
    <w:rsid w:val="00605790"/>
    <w:rsid w:val="006139BF"/>
    <w:rsid w:val="006224F6"/>
    <w:rsid w:val="006324AE"/>
    <w:rsid w:val="006352DC"/>
    <w:rsid w:val="00644E70"/>
    <w:rsid w:val="00646186"/>
    <w:rsid w:val="00650EA9"/>
    <w:rsid w:val="00661F76"/>
    <w:rsid w:val="00674D35"/>
    <w:rsid w:val="006876C8"/>
    <w:rsid w:val="0069002A"/>
    <w:rsid w:val="006B3372"/>
    <w:rsid w:val="006B7483"/>
    <w:rsid w:val="006C1C75"/>
    <w:rsid w:val="006C7A52"/>
    <w:rsid w:val="006D54FB"/>
    <w:rsid w:val="006E4483"/>
    <w:rsid w:val="006F1C51"/>
    <w:rsid w:val="00700FA3"/>
    <w:rsid w:val="00710330"/>
    <w:rsid w:val="00710E9B"/>
    <w:rsid w:val="00740E7B"/>
    <w:rsid w:val="00750478"/>
    <w:rsid w:val="00753A07"/>
    <w:rsid w:val="00760266"/>
    <w:rsid w:val="00761A13"/>
    <w:rsid w:val="00766D63"/>
    <w:rsid w:val="00771680"/>
    <w:rsid w:val="00777576"/>
    <w:rsid w:val="00783552"/>
    <w:rsid w:val="007908C3"/>
    <w:rsid w:val="00794497"/>
    <w:rsid w:val="007A256F"/>
    <w:rsid w:val="007A4A53"/>
    <w:rsid w:val="007B35A6"/>
    <w:rsid w:val="007D3F95"/>
    <w:rsid w:val="007D4111"/>
    <w:rsid w:val="007F21AA"/>
    <w:rsid w:val="0080015A"/>
    <w:rsid w:val="00814CA0"/>
    <w:rsid w:val="00834A2C"/>
    <w:rsid w:val="00835ABE"/>
    <w:rsid w:val="00837716"/>
    <w:rsid w:val="00841DE1"/>
    <w:rsid w:val="008575EE"/>
    <w:rsid w:val="00863DA9"/>
    <w:rsid w:val="0088444A"/>
    <w:rsid w:val="00893809"/>
    <w:rsid w:val="00896502"/>
    <w:rsid w:val="008A094F"/>
    <w:rsid w:val="008C318A"/>
    <w:rsid w:val="008C46DD"/>
    <w:rsid w:val="008D19C5"/>
    <w:rsid w:val="008D1AE0"/>
    <w:rsid w:val="008D5A32"/>
    <w:rsid w:val="008D5E79"/>
    <w:rsid w:val="008F1745"/>
    <w:rsid w:val="008F188C"/>
    <w:rsid w:val="008F4BA6"/>
    <w:rsid w:val="00901A9D"/>
    <w:rsid w:val="00902ABB"/>
    <w:rsid w:val="00903A79"/>
    <w:rsid w:val="00903E83"/>
    <w:rsid w:val="0091061D"/>
    <w:rsid w:val="009162F3"/>
    <w:rsid w:val="00920B10"/>
    <w:rsid w:val="0092594A"/>
    <w:rsid w:val="009263F3"/>
    <w:rsid w:val="00931916"/>
    <w:rsid w:val="00934889"/>
    <w:rsid w:val="00951830"/>
    <w:rsid w:val="009555C2"/>
    <w:rsid w:val="00957A3F"/>
    <w:rsid w:val="00960BFD"/>
    <w:rsid w:val="009642B1"/>
    <w:rsid w:val="00971560"/>
    <w:rsid w:val="00971E82"/>
    <w:rsid w:val="00976362"/>
    <w:rsid w:val="00991614"/>
    <w:rsid w:val="00994338"/>
    <w:rsid w:val="009A6297"/>
    <w:rsid w:val="009C1D47"/>
    <w:rsid w:val="009C21CD"/>
    <w:rsid w:val="009C7AEE"/>
    <w:rsid w:val="009D1A7C"/>
    <w:rsid w:val="009E1CA9"/>
    <w:rsid w:val="009E3A0D"/>
    <w:rsid w:val="009F62E7"/>
    <w:rsid w:val="00A00337"/>
    <w:rsid w:val="00A1204F"/>
    <w:rsid w:val="00A16DC6"/>
    <w:rsid w:val="00A176FF"/>
    <w:rsid w:val="00A21DDA"/>
    <w:rsid w:val="00A2386E"/>
    <w:rsid w:val="00A33EEA"/>
    <w:rsid w:val="00A37A85"/>
    <w:rsid w:val="00A412AE"/>
    <w:rsid w:val="00A722AD"/>
    <w:rsid w:val="00A82A1A"/>
    <w:rsid w:val="00AB7C63"/>
    <w:rsid w:val="00AD0169"/>
    <w:rsid w:val="00AD2AC8"/>
    <w:rsid w:val="00AE129F"/>
    <w:rsid w:val="00AE32CC"/>
    <w:rsid w:val="00AE7926"/>
    <w:rsid w:val="00AF7BCE"/>
    <w:rsid w:val="00B21CCB"/>
    <w:rsid w:val="00B274D1"/>
    <w:rsid w:val="00B370A0"/>
    <w:rsid w:val="00B377A0"/>
    <w:rsid w:val="00B531B6"/>
    <w:rsid w:val="00B56678"/>
    <w:rsid w:val="00B624AE"/>
    <w:rsid w:val="00B63664"/>
    <w:rsid w:val="00B71F4F"/>
    <w:rsid w:val="00B8251F"/>
    <w:rsid w:val="00B92754"/>
    <w:rsid w:val="00BA34AE"/>
    <w:rsid w:val="00BA3B20"/>
    <w:rsid w:val="00BB04A9"/>
    <w:rsid w:val="00BB5DD9"/>
    <w:rsid w:val="00BB647D"/>
    <w:rsid w:val="00BB6E23"/>
    <w:rsid w:val="00BB73FE"/>
    <w:rsid w:val="00BC37CD"/>
    <w:rsid w:val="00BD1BDD"/>
    <w:rsid w:val="00BD3605"/>
    <w:rsid w:val="00BD7FA3"/>
    <w:rsid w:val="00C068E8"/>
    <w:rsid w:val="00C314F0"/>
    <w:rsid w:val="00C358EE"/>
    <w:rsid w:val="00C6234B"/>
    <w:rsid w:val="00C73B48"/>
    <w:rsid w:val="00C7462C"/>
    <w:rsid w:val="00C807B4"/>
    <w:rsid w:val="00C80A02"/>
    <w:rsid w:val="00C81A0E"/>
    <w:rsid w:val="00C92331"/>
    <w:rsid w:val="00CA10D9"/>
    <w:rsid w:val="00CA3DBE"/>
    <w:rsid w:val="00CD189D"/>
    <w:rsid w:val="00CD5DE6"/>
    <w:rsid w:val="00CE4449"/>
    <w:rsid w:val="00CF0717"/>
    <w:rsid w:val="00CF2944"/>
    <w:rsid w:val="00D10210"/>
    <w:rsid w:val="00D16BD9"/>
    <w:rsid w:val="00D36633"/>
    <w:rsid w:val="00D40570"/>
    <w:rsid w:val="00D41616"/>
    <w:rsid w:val="00D53103"/>
    <w:rsid w:val="00D56906"/>
    <w:rsid w:val="00D6621F"/>
    <w:rsid w:val="00D7143A"/>
    <w:rsid w:val="00D80D13"/>
    <w:rsid w:val="00D9118E"/>
    <w:rsid w:val="00DD4C44"/>
    <w:rsid w:val="00DE54D3"/>
    <w:rsid w:val="00DE5C2A"/>
    <w:rsid w:val="00E015AC"/>
    <w:rsid w:val="00E04A1D"/>
    <w:rsid w:val="00E21380"/>
    <w:rsid w:val="00E2598B"/>
    <w:rsid w:val="00E26F5E"/>
    <w:rsid w:val="00E277F7"/>
    <w:rsid w:val="00E34CAB"/>
    <w:rsid w:val="00E36B03"/>
    <w:rsid w:val="00E524A0"/>
    <w:rsid w:val="00E662C8"/>
    <w:rsid w:val="00E84A2F"/>
    <w:rsid w:val="00E9726E"/>
    <w:rsid w:val="00E974D2"/>
    <w:rsid w:val="00EB133E"/>
    <w:rsid w:val="00EB547D"/>
    <w:rsid w:val="00EC0E81"/>
    <w:rsid w:val="00EC58C0"/>
    <w:rsid w:val="00EE1EB4"/>
    <w:rsid w:val="00EF07D9"/>
    <w:rsid w:val="00EF121A"/>
    <w:rsid w:val="00EF4FFD"/>
    <w:rsid w:val="00F24B25"/>
    <w:rsid w:val="00F2692B"/>
    <w:rsid w:val="00F51C27"/>
    <w:rsid w:val="00F52B0C"/>
    <w:rsid w:val="00F62487"/>
    <w:rsid w:val="00F724DA"/>
    <w:rsid w:val="00F812F1"/>
    <w:rsid w:val="00F940E7"/>
    <w:rsid w:val="00FB2C64"/>
    <w:rsid w:val="00FB5622"/>
    <w:rsid w:val="00FD40E2"/>
    <w:rsid w:val="00FE6E0F"/>
    <w:rsid w:val="00FF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ii.cl/valores_y_fechas/utm/utm2019.htm" TargetMode="External"/><Relationship Id="rId1" Type="http://schemas.openxmlformats.org/officeDocument/2006/relationships/hyperlink" Target="https://www.24horas.cl/regiones/araucania/nueva-detencion-aleman-acusado-de-realizar-perro-muerto-debera-someterse-a-examenes-psicologicos-35329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3A9E-3ECB-4B3E-B647-D2F359B0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Guillermo Diaz Vallejos</cp:lastModifiedBy>
  <cp:revision>2</cp:revision>
  <dcterms:created xsi:type="dcterms:W3CDTF">2019-09-10T20:42:00Z</dcterms:created>
  <dcterms:modified xsi:type="dcterms:W3CDTF">2019-09-10T20:42:00Z</dcterms:modified>
</cp:coreProperties>
</file>