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36" w:rsidRDefault="004D597F" w:rsidP="004D597F">
      <w:pPr>
        <w:pStyle w:val="normal0"/>
        <w:shd w:val="clear" w:color="auto" w:fill="FFFFFF"/>
        <w:spacing w:before="220" w:after="220"/>
        <w:ind w:right="-327"/>
        <w:jc w:val="both"/>
        <w:rPr>
          <w:rFonts w:ascii="Courier New" w:eastAsia="Courier New" w:hAnsi="Courier New" w:cs="Courier New"/>
          <w:b/>
          <w:color w:val="333333"/>
        </w:rPr>
      </w:pPr>
      <w:r w:rsidRPr="004D597F">
        <w:rPr>
          <w:rFonts w:ascii="Courier New" w:eastAsia="Courier New" w:hAnsi="Courier New" w:cs="Courier New"/>
          <w:b/>
          <w:color w:val="333333"/>
        </w:rPr>
        <w:t>Modifica la Ley General de Bancos en materia de terminación de contratos de servicios bancarios</w:t>
      </w:r>
    </w:p>
    <w:p w:rsidR="004D597F" w:rsidRDefault="004D597F" w:rsidP="004D597F">
      <w:pPr>
        <w:pStyle w:val="normal0"/>
        <w:shd w:val="clear" w:color="auto" w:fill="FFFFFF"/>
        <w:spacing w:before="220" w:after="220"/>
        <w:ind w:right="-327"/>
        <w:jc w:val="center"/>
        <w:rPr>
          <w:rFonts w:ascii="Courier New" w:eastAsia="Courier New" w:hAnsi="Courier New" w:cs="Courier New"/>
          <w:b/>
          <w:color w:val="333333"/>
        </w:rPr>
      </w:pPr>
      <w:r>
        <w:rPr>
          <w:rFonts w:ascii="Courier New" w:eastAsia="Courier New" w:hAnsi="Courier New" w:cs="Courier New"/>
          <w:b/>
          <w:color w:val="333333"/>
        </w:rPr>
        <w:t>Boletín N° 12975-03</w:t>
      </w:r>
    </w:p>
    <w:p w:rsidR="00AA5536" w:rsidRDefault="00051032" w:rsidP="004D597F">
      <w:pPr>
        <w:pStyle w:val="normal0"/>
        <w:ind w:right="-327" w:firstLine="720"/>
        <w:jc w:val="both"/>
        <w:rPr>
          <w:rFonts w:ascii="Courier New" w:eastAsia="Courier New" w:hAnsi="Courier New" w:cs="Courier New"/>
          <w:b/>
        </w:rPr>
      </w:pPr>
      <w:r>
        <w:rPr>
          <w:rFonts w:ascii="Courier New" w:eastAsia="Courier New" w:hAnsi="Courier New" w:cs="Courier New"/>
          <w:b/>
        </w:rPr>
        <w:t>Visto.-</w:t>
      </w:r>
    </w:p>
    <w:p w:rsidR="00AA5536" w:rsidRDefault="00051032" w:rsidP="004D597F">
      <w:pPr>
        <w:pStyle w:val="normal0"/>
        <w:ind w:right="-327"/>
        <w:jc w:val="both"/>
        <w:rPr>
          <w:rFonts w:ascii="Courier New" w:eastAsia="Courier New" w:hAnsi="Courier New" w:cs="Courier New"/>
          <w:color w:val="333333"/>
        </w:rPr>
      </w:pPr>
      <w:r>
        <w:rPr>
          <w:rFonts w:ascii="Courier New" w:eastAsia="Courier New" w:hAnsi="Courier New" w:cs="Courier New"/>
          <w:b/>
        </w:rPr>
        <w:t xml:space="preserve">                                                                                                                                                                                                                                            </w:t>
      </w:r>
      <w:r>
        <w:rPr>
          <w:rFonts w:ascii="Courier New" w:eastAsia="Courier New" w:hAnsi="Courier New" w:cs="Courier New"/>
          <w:b/>
        </w:rPr>
        <w:tab/>
      </w:r>
      <w:r>
        <w:rPr>
          <w:rFonts w:ascii="Courier New" w:eastAsia="Courier New" w:hAnsi="Courier New" w:cs="Courier New"/>
        </w:rPr>
        <w:t>Según dispone el ar</w:t>
      </w:r>
      <w:r>
        <w:rPr>
          <w:rFonts w:ascii="Courier New" w:eastAsia="Courier New" w:hAnsi="Courier New" w:cs="Courier New"/>
        </w:rPr>
        <w:t xml:space="preserve">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w:t>
      </w:r>
    </w:p>
    <w:p w:rsidR="00AA5536" w:rsidRDefault="00AA5536" w:rsidP="004D597F">
      <w:pPr>
        <w:pStyle w:val="normal0"/>
        <w:shd w:val="clear" w:color="auto" w:fill="FFFFFF"/>
        <w:spacing w:before="220" w:after="220"/>
        <w:ind w:right="-327" w:firstLine="720"/>
        <w:jc w:val="both"/>
        <w:rPr>
          <w:rFonts w:ascii="Courier New" w:eastAsia="Courier New" w:hAnsi="Courier New" w:cs="Courier New"/>
          <w:color w:val="333333"/>
        </w:rPr>
      </w:pPr>
    </w:p>
    <w:p w:rsidR="00AA5536" w:rsidRDefault="00051032" w:rsidP="004D597F">
      <w:pPr>
        <w:pStyle w:val="normal0"/>
        <w:shd w:val="clear" w:color="auto" w:fill="FFFFFF"/>
        <w:spacing w:before="220" w:after="220"/>
        <w:ind w:left="720" w:right="-327"/>
        <w:jc w:val="both"/>
        <w:rPr>
          <w:rFonts w:ascii="Courier New" w:eastAsia="Courier New" w:hAnsi="Courier New" w:cs="Courier New"/>
          <w:b/>
          <w:color w:val="333333"/>
        </w:rPr>
      </w:pPr>
      <w:r>
        <w:rPr>
          <w:rFonts w:ascii="Courier New" w:eastAsia="Courier New" w:hAnsi="Courier New" w:cs="Courier New"/>
          <w:b/>
          <w:color w:val="333333"/>
        </w:rPr>
        <w:t xml:space="preserve">Considerando: </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 xml:space="preserve">El presente proyecto persigue mejorar el </w:t>
      </w:r>
      <w:r>
        <w:rPr>
          <w:rFonts w:ascii="Courier New" w:eastAsia="Courier New" w:hAnsi="Courier New" w:cs="Courier New"/>
          <w:color w:val="333333"/>
        </w:rPr>
        <w:t xml:space="preserve">comportamiento de la Instituciones Bancarias frente al término de contratos de servicios bancarios. Propio del desarrollo financiero, por parte de los usuarios del sistema, con cliente bancarios, más consciente de sus derechos </w:t>
      </w:r>
      <w:r w:rsidR="004D597F">
        <w:rPr>
          <w:rFonts w:ascii="Courier New" w:eastAsia="Courier New" w:hAnsi="Courier New" w:cs="Courier New"/>
          <w:color w:val="333333"/>
        </w:rPr>
        <w:t xml:space="preserve"> </w:t>
      </w:r>
      <w:r>
        <w:rPr>
          <w:rFonts w:ascii="Courier New" w:eastAsia="Courier New" w:hAnsi="Courier New" w:cs="Courier New"/>
          <w:color w:val="333333"/>
        </w:rPr>
        <w:t>que tienen como consumidores.</w:t>
      </w:r>
      <w:r>
        <w:rPr>
          <w:rFonts w:ascii="Courier New" w:eastAsia="Courier New" w:hAnsi="Courier New" w:cs="Courier New"/>
          <w:color w:val="333333"/>
        </w:rPr>
        <w:t xml:space="preserve"> Para esto, los trámites de cierre de cuenta corriente y otros productos bancarios son más habituales.</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 xml:space="preserve">Dicha situación fue detectada por la Superintendencia de Bancos </w:t>
      </w:r>
      <w:r w:rsidR="004D597F">
        <w:rPr>
          <w:rFonts w:ascii="Courier New" w:eastAsia="Courier New" w:hAnsi="Courier New" w:cs="Courier New"/>
          <w:color w:val="333333"/>
        </w:rPr>
        <w:t xml:space="preserve"> </w:t>
      </w:r>
      <w:r>
        <w:rPr>
          <w:rFonts w:ascii="Courier New" w:eastAsia="Courier New" w:hAnsi="Courier New" w:cs="Courier New"/>
          <w:color w:val="333333"/>
        </w:rPr>
        <w:t>a Instituciones Financieras, hoy Comisión para el Mercado Financiero, en el años 2007 por</w:t>
      </w:r>
      <w:r>
        <w:rPr>
          <w:rFonts w:ascii="Courier New" w:eastAsia="Courier New" w:hAnsi="Courier New" w:cs="Courier New"/>
          <w:color w:val="333333"/>
        </w:rPr>
        <w:t xml:space="preserve"> medio de la circular 3.408., la cual señaló algunas instrucciones a fin de evitar este tipo de situaciones con los clientes bancarios, identificando algunos problemas tales como: </w:t>
      </w:r>
    </w:p>
    <w:p w:rsidR="00AA5536" w:rsidRDefault="00051032" w:rsidP="004D597F">
      <w:pPr>
        <w:pStyle w:val="normal0"/>
        <w:numPr>
          <w:ilvl w:val="0"/>
          <w:numId w:val="1"/>
        </w:numPr>
        <w:shd w:val="clear" w:color="auto" w:fill="FFFFFF"/>
        <w:spacing w:before="220"/>
        <w:ind w:right="-327"/>
        <w:jc w:val="both"/>
        <w:rPr>
          <w:rFonts w:ascii="Courier New" w:eastAsia="Courier New" w:hAnsi="Courier New" w:cs="Courier New"/>
          <w:color w:val="333333"/>
        </w:rPr>
      </w:pPr>
      <w:r>
        <w:rPr>
          <w:rFonts w:ascii="Courier New" w:eastAsia="Courier New" w:hAnsi="Courier New" w:cs="Courier New"/>
          <w:color w:val="333333"/>
        </w:rPr>
        <w:t>Demora por parte del Banco en cumplir con la petición del cliente, para cer</w:t>
      </w:r>
      <w:r>
        <w:rPr>
          <w:rFonts w:ascii="Courier New" w:eastAsia="Courier New" w:hAnsi="Courier New" w:cs="Courier New"/>
          <w:color w:val="333333"/>
        </w:rPr>
        <w:t>rar las cuentas corriente.</w:t>
      </w:r>
    </w:p>
    <w:p w:rsidR="00AA5536" w:rsidRDefault="00051032" w:rsidP="004D597F">
      <w:pPr>
        <w:pStyle w:val="normal0"/>
        <w:numPr>
          <w:ilvl w:val="0"/>
          <w:numId w:val="1"/>
        </w:numPr>
        <w:shd w:val="clear" w:color="auto" w:fill="FFFFFF"/>
        <w:ind w:right="-327"/>
        <w:jc w:val="both"/>
        <w:rPr>
          <w:rFonts w:ascii="Courier New" w:eastAsia="Courier New" w:hAnsi="Courier New" w:cs="Courier New"/>
          <w:color w:val="333333"/>
        </w:rPr>
      </w:pPr>
      <w:r>
        <w:rPr>
          <w:rFonts w:ascii="Courier New" w:eastAsia="Courier New" w:hAnsi="Courier New" w:cs="Courier New"/>
          <w:color w:val="333333"/>
        </w:rPr>
        <w:t>Falta de claridad respecto a los plazos de cierre.</w:t>
      </w:r>
    </w:p>
    <w:p w:rsidR="00AA5536" w:rsidRDefault="00051032" w:rsidP="004D597F">
      <w:pPr>
        <w:pStyle w:val="normal0"/>
        <w:numPr>
          <w:ilvl w:val="0"/>
          <w:numId w:val="1"/>
        </w:numPr>
        <w:shd w:val="clear" w:color="auto" w:fill="FFFFFF"/>
        <w:spacing w:after="220"/>
        <w:ind w:right="-327"/>
        <w:jc w:val="both"/>
        <w:rPr>
          <w:rFonts w:ascii="Courier New" w:eastAsia="Courier New" w:hAnsi="Courier New" w:cs="Courier New"/>
          <w:color w:val="333333"/>
        </w:rPr>
      </w:pPr>
      <w:r>
        <w:rPr>
          <w:rFonts w:ascii="Courier New" w:eastAsia="Courier New" w:hAnsi="Courier New" w:cs="Courier New"/>
          <w:color w:val="333333"/>
        </w:rPr>
        <w:t>Cobros de gastos o comisiones de diversa índole, efectuados con posterioridad a la solicitud de cierre. Esto último es aún más grave, puesto que se efectúa un cobro posterior a q</w:t>
      </w:r>
      <w:r>
        <w:rPr>
          <w:rFonts w:ascii="Courier New" w:eastAsia="Courier New" w:hAnsi="Courier New" w:cs="Courier New"/>
          <w:color w:val="333333"/>
        </w:rPr>
        <w:t xml:space="preserve">ue el cliente haya retirado el dinero de la cuenta. Estos cobros producen sobregiros que pueden terminar con la publicación de la morosidad por parte del cliente, sin aviso previo.  </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 xml:space="preserve">Cabe señalar, que esta situación se presenta en los cierres de productos </w:t>
      </w:r>
      <w:r>
        <w:rPr>
          <w:rFonts w:ascii="Courier New" w:eastAsia="Courier New" w:hAnsi="Courier New" w:cs="Courier New"/>
          <w:color w:val="333333"/>
        </w:rPr>
        <w:t>como tarjetas de crédito, incluso en el evento de que la deuda se encuentre pagada.</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 xml:space="preserve">Por esta razón, el presente proyecto establece la obligación por parte del banco de responder al cierre de cuentas dentro del plazo máximo de 7 días hábiles. </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Por otra part</w:t>
      </w:r>
      <w:r>
        <w:rPr>
          <w:rFonts w:ascii="Courier New" w:eastAsia="Courier New" w:hAnsi="Courier New" w:cs="Courier New"/>
          <w:color w:val="333333"/>
        </w:rPr>
        <w:t xml:space="preserve">e se establece la prohibición de cobro de gastos y comisiones a partir de la fecha de solicitud de cierre del contrato. </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lastRenderedPageBreak/>
        <w:t xml:space="preserve">Dentro de la misma circular ya mencionada, destacan </w:t>
      </w:r>
      <w:r w:rsidR="004D597F">
        <w:rPr>
          <w:rFonts w:ascii="Courier New" w:eastAsia="Courier New" w:hAnsi="Courier New" w:cs="Courier New"/>
          <w:color w:val="333333"/>
        </w:rPr>
        <w:t xml:space="preserve"> </w:t>
      </w:r>
      <w:r>
        <w:rPr>
          <w:rFonts w:ascii="Courier New" w:eastAsia="Courier New" w:hAnsi="Courier New" w:cs="Courier New"/>
          <w:color w:val="333333"/>
        </w:rPr>
        <w:t>instrucciones por parte de la Superintendencia, hoy Comisión para el Mercado Financiero, tales como</w:t>
      </w:r>
      <w:r>
        <w:rPr>
          <w:rFonts w:ascii="Courier New" w:eastAsia="Courier New" w:hAnsi="Courier New" w:cs="Courier New"/>
          <w:color w:val="333333"/>
          <w:vertAlign w:val="superscript"/>
        </w:rPr>
        <w:footnoteReference w:id="1"/>
      </w:r>
      <w:r>
        <w:rPr>
          <w:rFonts w:ascii="Courier New" w:eastAsia="Courier New" w:hAnsi="Courier New" w:cs="Courier New"/>
          <w:color w:val="333333"/>
        </w:rPr>
        <w:t xml:space="preserve">: </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a) “Ejecutar con celeridad las solicitudes de cierre presentadas por los clientes y entregarles infor</w:t>
      </w:r>
      <w:r>
        <w:rPr>
          <w:rFonts w:ascii="Courier New" w:eastAsia="Courier New" w:hAnsi="Courier New" w:cs="Courier New"/>
          <w:color w:val="333333"/>
        </w:rPr>
        <w:t xml:space="preserve">mación oportuna y suficiente por escrito acerca del plazo y condiciones para proceder al cierre voluntariamente solicitado, así como de los efectos que producirá y </w:t>
      </w:r>
      <w:r w:rsidR="004D597F">
        <w:rPr>
          <w:rFonts w:ascii="Courier New" w:eastAsia="Courier New" w:hAnsi="Courier New" w:cs="Courier New"/>
          <w:color w:val="333333"/>
        </w:rPr>
        <w:t xml:space="preserve"> </w:t>
      </w:r>
      <w:r>
        <w:rPr>
          <w:rFonts w:ascii="Courier New" w:eastAsia="Courier New" w:hAnsi="Courier New" w:cs="Courier New"/>
          <w:color w:val="333333"/>
        </w:rPr>
        <w:t>de las obligaciones o compromisos que pueden derivarse de esa acción para el solicitante.”</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b</w:t>
      </w:r>
      <w:r>
        <w:rPr>
          <w:rFonts w:ascii="Courier New" w:eastAsia="Courier New" w:hAnsi="Courier New" w:cs="Courier New"/>
          <w:color w:val="333333"/>
        </w:rPr>
        <w:t xml:space="preserve">) “Suprimir el cobro de comisiones o gastos a contar de la fecha en que se solicite el cierre e informar al cliente de los cobros que </w:t>
      </w:r>
      <w:r w:rsidR="004D597F">
        <w:rPr>
          <w:rFonts w:ascii="Courier New" w:eastAsia="Courier New" w:hAnsi="Courier New" w:cs="Courier New"/>
          <w:color w:val="333333"/>
        </w:rPr>
        <w:t xml:space="preserve"> </w:t>
      </w:r>
      <w:r>
        <w:rPr>
          <w:rFonts w:ascii="Courier New" w:eastAsia="Courier New" w:hAnsi="Courier New" w:cs="Courier New"/>
          <w:color w:val="333333"/>
        </w:rPr>
        <w:t>a esa fecha y por esos conceptos pudieran estar pendientes.”</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c) “Abstenerse de informar como deuda vencida, los importes q</w:t>
      </w:r>
      <w:r>
        <w:rPr>
          <w:rFonts w:ascii="Courier New" w:eastAsia="Courier New" w:hAnsi="Courier New" w:cs="Courier New"/>
          <w:color w:val="333333"/>
        </w:rPr>
        <w:t>ue habitualmente se cargan a la correspondiente cuenta y que, como consecuencia de su cierre hubieren quedado impagos, sin antes haber enviado una comunicación al cliente, notificándole esa deuda.”</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d) Además, la institución bancaria debe informar al client</w:t>
      </w:r>
      <w:r>
        <w:rPr>
          <w:rFonts w:ascii="Courier New" w:eastAsia="Courier New" w:hAnsi="Courier New" w:cs="Courier New"/>
          <w:color w:val="333333"/>
        </w:rPr>
        <w:t>e sobre la conveniencia del pago de las cuotas no vencidas, así como de la cancelación de los pagos automáticos de cuentas salvo que se dejen fondos suficientes para cubrirlos.</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 xml:space="preserve">e.) Proceder al bloqueo inmediato de las tarjetas asociadas a </w:t>
      </w:r>
      <w:r w:rsidR="004D597F">
        <w:rPr>
          <w:rFonts w:ascii="Courier New" w:eastAsia="Courier New" w:hAnsi="Courier New" w:cs="Courier New"/>
          <w:color w:val="333333"/>
        </w:rPr>
        <w:t xml:space="preserve"> </w:t>
      </w:r>
      <w:r>
        <w:rPr>
          <w:rFonts w:ascii="Courier New" w:eastAsia="Courier New" w:hAnsi="Courier New" w:cs="Courier New"/>
          <w:color w:val="333333"/>
        </w:rPr>
        <w:t>los productos cuy</w:t>
      </w:r>
      <w:r>
        <w:rPr>
          <w:rFonts w:ascii="Courier New" w:eastAsia="Courier New" w:hAnsi="Courier New" w:cs="Courier New"/>
          <w:color w:val="333333"/>
        </w:rPr>
        <w:t xml:space="preserve">o cierre se solicita (tarjetas de crédito y débito) </w:t>
      </w:r>
      <w:r w:rsidR="004D597F">
        <w:rPr>
          <w:rFonts w:ascii="Courier New" w:eastAsia="Courier New" w:hAnsi="Courier New" w:cs="Courier New"/>
          <w:color w:val="333333"/>
        </w:rPr>
        <w:t xml:space="preserve"> </w:t>
      </w:r>
      <w:r>
        <w:rPr>
          <w:rFonts w:ascii="Courier New" w:eastAsia="Courier New" w:hAnsi="Courier New" w:cs="Courier New"/>
          <w:color w:val="333333"/>
        </w:rPr>
        <w:t>e inutilizarlas en presencia del cliente, dejando constancia de ello.</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b/>
          <w:color w:val="333333"/>
        </w:rPr>
        <w:t>Por tanto,</w:t>
      </w:r>
      <w:r>
        <w:rPr>
          <w:rFonts w:ascii="Courier New" w:eastAsia="Courier New" w:hAnsi="Courier New" w:cs="Courier New"/>
          <w:color w:val="333333"/>
        </w:rPr>
        <w:t xml:space="preserve"> </w:t>
      </w:r>
      <w:proofErr w:type="gramStart"/>
      <w:r>
        <w:rPr>
          <w:rFonts w:ascii="Courier New" w:eastAsia="Courier New" w:hAnsi="Courier New" w:cs="Courier New"/>
          <w:color w:val="333333"/>
        </w:rPr>
        <w:t>los siguiente diputados</w:t>
      </w:r>
      <w:proofErr w:type="gramEnd"/>
      <w:r>
        <w:rPr>
          <w:rFonts w:ascii="Courier New" w:eastAsia="Courier New" w:hAnsi="Courier New" w:cs="Courier New"/>
          <w:color w:val="333333"/>
        </w:rPr>
        <w:t xml:space="preserve"> y diputadas de la República, vienen en suscribir el presente proyecto de ley.</w:t>
      </w:r>
    </w:p>
    <w:p w:rsidR="00AA5536" w:rsidRDefault="00AA5536" w:rsidP="004D597F">
      <w:pPr>
        <w:pStyle w:val="normal0"/>
        <w:shd w:val="clear" w:color="auto" w:fill="FFFFFF"/>
        <w:spacing w:before="220" w:after="220"/>
        <w:ind w:right="-327" w:firstLine="720"/>
        <w:jc w:val="both"/>
        <w:rPr>
          <w:rFonts w:ascii="Courier New" w:eastAsia="Courier New" w:hAnsi="Courier New" w:cs="Courier New"/>
          <w:b/>
          <w:color w:val="333333"/>
        </w:rPr>
      </w:pPr>
    </w:p>
    <w:p w:rsidR="00AA5536" w:rsidRDefault="00AA5536" w:rsidP="004D597F">
      <w:pPr>
        <w:pStyle w:val="normal0"/>
        <w:shd w:val="clear" w:color="auto" w:fill="FFFFFF"/>
        <w:spacing w:before="220" w:after="220"/>
        <w:ind w:right="-327" w:firstLine="720"/>
        <w:jc w:val="both"/>
        <w:rPr>
          <w:rFonts w:ascii="Courier New" w:eastAsia="Courier New" w:hAnsi="Courier New" w:cs="Courier New"/>
          <w:b/>
          <w:color w:val="333333"/>
        </w:rPr>
      </w:pP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b/>
          <w:color w:val="333333"/>
        </w:rPr>
      </w:pPr>
      <w:r>
        <w:rPr>
          <w:rFonts w:ascii="Courier New" w:eastAsia="Courier New" w:hAnsi="Courier New" w:cs="Courier New"/>
          <w:b/>
          <w:color w:val="333333"/>
        </w:rPr>
        <w:t>PROYECTO DE LEY</w:t>
      </w:r>
    </w:p>
    <w:p w:rsidR="00AA5536" w:rsidRDefault="00AA5536" w:rsidP="004D597F">
      <w:pPr>
        <w:pStyle w:val="normal0"/>
        <w:shd w:val="clear" w:color="auto" w:fill="FFFFFF"/>
        <w:spacing w:before="220" w:after="220"/>
        <w:ind w:right="-327"/>
        <w:jc w:val="both"/>
        <w:rPr>
          <w:rFonts w:ascii="Courier New" w:eastAsia="Courier New" w:hAnsi="Courier New" w:cs="Courier New"/>
          <w:color w:val="333333"/>
        </w:rPr>
      </w:pP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b/>
          <w:color w:val="333333"/>
        </w:rPr>
        <w:t>AR</w:t>
      </w:r>
      <w:r>
        <w:rPr>
          <w:rFonts w:ascii="Courier New" w:eastAsia="Courier New" w:hAnsi="Courier New" w:cs="Courier New"/>
          <w:b/>
          <w:color w:val="333333"/>
        </w:rPr>
        <w:t>TÍCULO ÚNICO:</w:t>
      </w:r>
      <w:r>
        <w:rPr>
          <w:rFonts w:ascii="Courier New" w:eastAsia="Courier New" w:hAnsi="Courier New" w:cs="Courier New"/>
          <w:color w:val="333333"/>
        </w:rPr>
        <w:t xml:space="preserve"> Para agregar un nuevo artículo al DFL N° 3 del año 1997 del Ministerio de Hacienda, que fija el texto refundido, sistematizado y coordinado de la Ley General de Bancos y de otros Cuerpos Legales que señala lo siguiente:</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b/>
          <w:i/>
          <w:color w:val="333333"/>
        </w:rPr>
        <w:t>“Artículo 69 bis:</w:t>
      </w:r>
      <w:r>
        <w:rPr>
          <w:rFonts w:ascii="Courier New" w:eastAsia="Courier New" w:hAnsi="Courier New" w:cs="Courier New"/>
          <w:color w:val="333333"/>
        </w:rPr>
        <w:t xml:space="preserve"> Respecto de la terminación de contratos de servicios bancarios, las entidades reguladas por la presente ley deberán proceder a entregar por escrito, o en su defecto por la vía </w:t>
      </w:r>
      <w:r>
        <w:rPr>
          <w:rFonts w:ascii="Courier New" w:eastAsia="Courier New" w:hAnsi="Courier New" w:cs="Courier New"/>
          <w:color w:val="333333"/>
        </w:rPr>
        <w:lastRenderedPageBreak/>
        <w:t>más expedita, al cliente toda la información pertinente para asistirlo en ese p</w:t>
      </w:r>
      <w:r>
        <w:rPr>
          <w:rFonts w:ascii="Courier New" w:eastAsia="Courier New" w:hAnsi="Courier New" w:cs="Courier New"/>
          <w:color w:val="333333"/>
        </w:rPr>
        <w:t>rocedimiento y resolver las dudas que se presenten.</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b/>
          <w:color w:val="FF0000"/>
        </w:rPr>
      </w:pPr>
      <w:r>
        <w:rPr>
          <w:rFonts w:ascii="Courier New" w:eastAsia="Courier New" w:hAnsi="Courier New" w:cs="Courier New"/>
          <w:color w:val="333333"/>
        </w:rPr>
        <w:t xml:space="preserve">El término del contrato de servicios bancarios deberá </w:t>
      </w:r>
      <w:r w:rsidR="004D597F">
        <w:rPr>
          <w:rFonts w:ascii="Courier New" w:eastAsia="Courier New" w:hAnsi="Courier New" w:cs="Courier New"/>
          <w:color w:val="333333"/>
        </w:rPr>
        <w:t xml:space="preserve"> </w:t>
      </w:r>
      <w:r>
        <w:rPr>
          <w:rFonts w:ascii="Courier New" w:eastAsia="Courier New" w:hAnsi="Courier New" w:cs="Courier New"/>
          <w:color w:val="333333"/>
        </w:rPr>
        <w:t xml:space="preserve">completarse dentro del plazo de siete días hábiles contados desde la solicitud por parte del cliente </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Queda prohibido el cobro de gastos y de comision</w:t>
      </w:r>
      <w:r>
        <w:rPr>
          <w:rFonts w:ascii="Courier New" w:eastAsia="Courier New" w:hAnsi="Courier New" w:cs="Courier New"/>
          <w:color w:val="333333"/>
        </w:rPr>
        <w:t xml:space="preserve">es de cualquier naturaleza, contado desde la terminación del contrato. </w:t>
      </w:r>
    </w:p>
    <w:p w:rsidR="00AA5536" w:rsidRDefault="00051032" w:rsidP="004D597F">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 xml:space="preserve">Terminado el proceso de los servicio bancarios y pagadas todas las obligaciones que se adeuden, la Institución bancaria o Financiera deberá entregar al cliente  todos los instrumentos </w:t>
      </w:r>
      <w:r>
        <w:rPr>
          <w:rFonts w:ascii="Courier New" w:eastAsia="Courier New" w:hAnsi="Courier New" w:cs="Courier New"/>
          <w:color w:val="333333"/>
        </w:rPr>
        <w:t xml:space="preserve">de garantía que hubiere suscrito, como también los documentos que contengan los antecedentes personales y comerciales del cliente” </w:t>
      </w:r>
    </w:p>
    <w:p w:rsidR="00AA5536" w:rsidRDefault="00AA5536" w:rsidP="004D597F">
      <w:pPr>
        <w:pStyle w:val="normal0"/>
        <w:shd w:val="clear" w:color="auto" w:fill="FFFFFF"/>
        <w:spacing w:before="220" w:after="220"/>
        <w:ind w:right="-327" w:firstLine="720"/>
        <w:jc w:val="both"/>
        <w:rPr>
          <w:rFonts w:ascii="Courier New" w:eastAsia="Courier New" w:hAnsi="Courier New" w:cs="Courier New"/>
          <w:color w:val="333333"/>
        </w:rPr>
      </w:pPr>
    </w:p>
    <w:p w:rsidR="00AA5536" w:rsidRDefault="00AA5536" w:rsidP="004D597F">
      <w:pPr>
        <w:pStyle w:val="normal0"/>
        <w:shd w:val="clear" w:color="auto" w:fill="FFFFFF"/>
        <w:spacing w:before="220" w:after="220"/>
        <w:ind w:right="-327" w:firstLine="720"/>
        <w:jc w:val="both"/>
        <w:rPr>
          <w:rFonts w:ascii="Courier New" w:eastAsia="Courier New" w:hAnsi="Courier New" w:cs="Courier New"/>
          <w:color w:val="333333"/>
        </w:rPr>
      </w:pPr>
    </w:p>
    <w:p w:rsidR="00AA5536" w:rsidRDefault="00AA5536" w:rsidP="004D597F">
      <w:pPr>
        <w:pStyle w:val="normal0"/>
        <w:shd w:val="clear" w:color="auto" w:fill="FFFFFF"/>
        <w:spacing w:before="220" w:after="220"/>
        <w:ind w:right="-327" w:firstLine="720"/>
        <w:jc w:val="both"/>
        <w:rPr>
          <w:rFonts w:ascii="Courier New" w:eastAsia="Courier New" w:hAnsi="Courier New" w:cs="Courier New"/>
          <w:color w:val="333333"/>
        </w:rPr>
      </w:pPr>
    </w:p>
    <w:p w:rsidR="00AA5536" w:rsidRDefault="00AA5536" w:rsidP="004D597F">
      <w:pPr>
        <w:pStyle w:val="normal0"/>
        <w:shd w:val="clear" w:color="auto" w:fill="FFFFFF"/>
        <w:spacing w:before="220" w:after="220"/>
        <w:ind w:right="-327" w:firstLine="720"/>
        <w:jc w:val="both"/>
        <w:rPr>
          <w:rFonts w:ascii="Courier New" w:eastAsia="Courier New" w:hAnsi="Courier New" w:cs="Courier New"/>
          <w:color w:val="333333"/>
        </w:rPr>
      </w:pPr>
    </w:p>
    <w:p w:rsidR="00AA5536" w:rsidRDefault="00AA5536" w:rsidP="004D597F">
      <w:pPr>
        <w:pStyle w:val="normal0"/>
        <w:shd w:val="clear" w:color="auto" w:fill="FFFFFF"/>
        <w:spacing w:before="220" w:after="220"/>
        <w:ind w:right="-327" w:firstLine="720"/>
        <w:jc w:val="center"/>
        <w:rPr>
          <w:rFonts w:ascii="Courier New" w:eastAsia="Courier New" w:hAnsi="Courier New" w:cs="Courier New"/>
          <w:color w:val="333333"/>
        </w:rPr>
      </w:pPr>
    </w:p>
    <w:p w:rsidR="00AA5536" w:rsidRDefault="00051032" w:rsidP="004D597F">
      <w:pPr>
        <w:pStyle w:val="normal0"/>
        <w:shd w:val="clear" w:color="auto" w:fill="FFFFFF"/>
        <w:spacing w:before="220" w:after="220"/>
        <w:ind w:right="-327" w:firstLine="720"/>
        <w:jc w:val="center"/>
        <w:rPr>
          <w:rFonts w:ascii="Courier New" w:eastAsia="Courier New" w:hAnsi="Courier New" w:cs="Courier New"/>
          <w:b/>
          <w:color w:val="333333"/>
        </w:rPr>
      </w:pPr>
      <w:r>
        <w:rPr>
          <w:rFonts w:ascii="Courier New" w:eastAsia="Courier New" w:hAnsi="Courier New" w:cs="Courier New"/>
          <w:b/>
          <w:color w:val="333333"/>
        </w:rPr>
        <w:t>Renato Garín González.</w:t>
      </w:r>
    </w:p>
    <w:p w:rsidR="00AA5536" w:rsidRDefault="00051032" w:rsidP="004D597F">
      <w:pPr>
        <w:pStyle w:val="normal0"/>
        <w:shd w:val="clear" w:color="auto" w:fill="FFFFFF"/>
        <w:spacing w:before="220" w:after="220"/>
        <w:ind w:right="-327"/>
        <w:jc w:val="center"/>
        <w:rPr>
          <w:rFonts w:ascii="Courier New" w:eastAsia="Courier New" w:hAnsi="Courier New" w:cs="Courier New"/>
          <w:b/>
          <w:color w:val="333333"/>
        </w:rPr>
      </w:pPr>
      <w:r>
        <w:rPr>
          <w:rFonts w:ascii="Courier New" w:eastAsia="Courier New" w:hAnsi="Courier New" w:cs="Courier New"/>
          <w:b/>
          <w:color w:val="333333"/>
        </w:rPr>
        <w:tab/>
        <w:t>H. D. de la República</w:t>
      </w:r>
    </w:p>
    <w:sectPr w:rsidR="00AA5536" w:rsidSect="00AA553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32" w:rsidRDefault="00051032" w:rsidP="00AA5536">
      <w:pPr>
        <w:spacing w:line="240" w:lineRule="auto"/>
      </w:pPr>
      <w:r>
        <w:separator/>
      </w:r>
    </w:p>
  </w:endnote>
  <w:endnote w:type="continuationSeparator" w:id="0">
    <w:p w:rsidR="00051032" w:rsidRDefault="00051032" w:rsidP="00AA55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32" w:rsidRDefault="00051032" w:rsidP="00AA5536">
      <w:pPr>
        <w:spacing w:line="240" w:lineRule="auto"/>
      </w:pPr>
      <w:r>
        <w:separator/>
      </w:r>
    </w:p>
  </w:footnote>
  <w:footnote w:type="continuationSeparator" w:id="0">
    <w:p w:rsidR="00051032" w:rsidRDefault="00051032" w:rsidP="00AA5536">
      <w:pPr>
        <w:spacing w:line="240" w:lineRule="auto"/>
      </w:pPr>
      <w:r>
        <w:continuationSeparator/>
      </w:r>
    </w:p>
  </w:footnote>
  <w:footnote w:id="1">
    <w:p w:rsidR="00AA5536" w:rsidRDefault="00051032">
      <w:pPr>
        <w:pStyle w:val="normal0"/>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https://www.sbif.cl/sbifweb/internet/archivos/norma_6432_1.pdf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B4105"/>
    <w:multiLevelType w:val="multilevel"/>
    <w:tmpl w:val="3CF60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A5536"/>
    <w:rsid w:val="00051032"/>
    <w:rsid w:val="004D597F"/>
    <w:rsid w:val="00AA55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A5536"/>
    <w:pPr>
      <w:keepNext/>
      <w:keepLines/>
      <w:spacing w:before="400" w:after="120"/>
      <w:outlineLvl w:val="0"/>
    </w:pPr>
    <w:rPr>
      <w:sz w:val="40"/>
      <w:szCs w:val="40"/>
    </w:rPr>
  </w:style>
  <w:style w:type="paragraph" w:styleId="Ttulo2">
    <w:name w:val="heading 2"/>
    <w:basedOn w:val="normal0"/>
    <w:next w:val="normal0"/>
    <w:rsid w:val="00AA5536"/>
    <w:pPr>
      <w:keepNext/>
      <w:keepLines/>
      <w:spacing w:before="360" w:after="120"/>
      <w:outlineLvl w:val="1"/>
    </w:pPr>
    <w:rPr>
      <w:sz w:val="32"/>
      <w:szCs w:val="32"/>
    </w:rPr>
  </w:style>
  <w:style w:type="paragraph" w:styleId="Ttulo3">
    <w:name w:val="heading 3"/>
    <w:basedOn w:val="normal0"/>
    <w:next w:val="normal0"/>
    <w:rsid w:val="00AA5536"/>
    <w:pPr>
      <w:keepNext/>
      <w:keepLines/>
      <w:spacing w:before="320" w:after="80"/>
      <w:outlineLvl w:val="2"/>
    </w:pPr>
    <w:rPr>
      <w:color w:val="434343"/>
      <w:sz w:val="28"/>
      <w:szCs w:val="28"/>
    </w:rPr>
  </w:style>
  <w:style w:type="paragraph" w:styleId="Ttulo4">
    <w:name w:val="heading 4"/>
    <w:basedOn w:val="normal0"/>
    <w:next w:val="normal0"/>
    <w:rsid w:val="00AA5536"/>
    <w:pPr>
      <w:keepNext/>
      <w:keepLines/>
      <w:spacing w:before="280" w:after="80"/>
      <w:outlineLvl w:val="3"/>
    </w:pPr>
    <w:rPr>
      <w:color w:val="666666"/>
      <w:sz w:val="24"/>
      <w:szCs w:val="24"/>
    </w:rPr>
  </w:style>
  <w:style w:type="paragraph" w:styleId="Ttulo5">
    <w:name w:val="heading 5"/>
    <w:basedOn w:val="normal0"/>
    <w:next w:val="normal0"/>
    <w:rsid w:val="00AA5536"/>
    <w:pPr>
      <w:keepNext/>
      <w:keepLines/>
      <w:spacing w:before="240" w:after="80"/>
      <w:outlineLvl w:val="4"/>
    </w:pPr>
    <w:rPr>
      <w:color w:val="666666"/>
    </w:rPr>
  </w:style>
  <w:style w:type="paragraph" w:styleId="Ttulo6">
    <w:name w:val="heading 6"/>
    <w:basedOn w:val="normal0"/>
    <w:next w:val="normal0"/>
    <w:rsid w:val="00AA553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A5536"/>
  </w:style>
  <w:style w:type="table" w:customStyle="1" w:styleId="TableNormal">
    <w:name w:val="Table Normal"/>
    <w:rsid w:val="00AA5536"/>
    <w:tblPr>
      <w:tblCellMar>
        <w:top w:w="0" w:type="dxa"/>
        <w:left w:w="0" w:type="dxa"/>
        <w:bottom w:w="0" w:type="dxa"/>
        <w:right w:w="0" w:type="dxa"/>
      </w:tblCellMar>
    </w:tblPr>
  </w:style>
  <w:style w:type="paragraph" w:styleId="Ttulo">
    <w:name w:val="Title"/>
    <w:basedOn w:val="normal0"/>
    <w:next w:val="normal0"/>
    <w:rsid w:val="00AA5536"/>
    <w:pPr>
      <w:keepNext/>
      <w:keepLines/>
      <w:spacing w:after="60"/>
    </w:pPr>
    <w:rPr>
      <w:sz w:val="52"/>
      <w:szCs w:val="52"/>
    </w:rPr>
  </w:style>
  <w:style w:type="paragraph" w:styleId="Subttulo">
    <w:name w:val="Subtitle"/>
    <w:basedOn w:val="normal0"/>
    <w:next w:val="normal0"/>
    <w:rsid w:val="00AA553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bif.cl/sbifweb/internet/archivos/norma_643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4264</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2019-10-08T16:28:00Z</dcterms:created>
  <dcterms:modified xsi:type="dcterms:W3CDTF">2019-10-08T16:31:00Z</dcterms:modified>
</cp:coreProperties>
</file>