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A4" w:rsidRDefault="00C67CA4" w:rsidP="00045D45">
      <w:pPr>
        <w:ind w:right="-234"/>
      </w:pPr>
      <w:r w:rsidRPr="00ED3908">
        <w:rPr>
          <w:b/>
          <w:noProof/>
          <w:sz w:val="24"/>
          <w:szCs w:val="24"/>
          <w:lang w:val="es-ES" w:eastAsia="es-ES"/>
        </w:rPr>
        <w:drawing>
          <wp:anchor distT="0" distB="0" distL="114300" distR="114300" simplePos="0" relativeHeight="251658240" behindDoc="0" locked="0" layoutInCell="1" allowOverlap="1">
            <wp:simplePos x="0" y="0"/>
            <wp:positionH relativeFrom="column">
              <wp:posOffset>-81280</wp:posOffset>
            </wp:positionH>
            <wp:positionV relativeFrom="paragraph">
              <wp:posOffset>-442595</wp:posOffset>
            </wp:positionV>
            <wp:extent cx="1020445" cy="1009650"/>
            <wp:effectExtent l="0" t="0" r="0" b="0"/>
            <wp:wrapThrough wrapText="bothSides">
              <wp:wrapPolygon edited="0">
                <wp:start x="7258" y="408"/>
                <wp:lineTo x="3226" y="3260"/>
                <wp:lineTo x="403" y="7743"/>
                <wp:lineTo x="403" y="9374"/>
                <wp:lineTo x="3226" y="13449"/>
                <wp:lineTo x="1613" y="15079"/>
                <wp:lineTo x="2016" y="15894"/>
                <wp:lineTo x="8468" y="19970"/>
                <wp:lineTo x="13710" y="19970"/>
                <wp:lineTo x="13710" y="19970"/>
                <wp:lineTo x="17742" y="18340"/>
                <wp:lineTo x="20162" y="15487"/>
                <wp:lineTo x="18952" y="13449"/>
                <wp:lineTo x="21371" y="10189"/>
                <wp:lineTo x="21371" y="8558"/>
                <wp:lineTo x="20968" y="5706"/>
                <wp:lineTo x="16936" y="1630"/>
                <wp:lineTo x="14113" y="408"/>
                <wp:lineTo x="7258" y="408"/>
              </wp:wrapPolygon>
            </wp:wrapThrough>
            <wp:docPr id="2" name="Imagen 2"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0445" cy="1009650"/>
                    </a:xfrm>
                    <a:prstGeom prst="rect">
                      <a:avLst/>
                    </a:prstGeom>
                    <a:noFill/>
                    <a:ln>
                      <a:noFill/>
                    </a:ln>
                  </pic:spPr>
                </pic:pic>
              </a:graphicData>
            </a:graphic>
          </wp:anchor>
        </w:drawing>
      </w:r>
      <w:bookmarkStart w:id="0" w:name="_GoBack"/>
      <w:bookmarkEnd w:id="0"/>
    </w:p>
    <w:p w:rsidR="00045D45" w:rsidRDefault="00045D45" w:rsidP="00045D45">
      <w:pPr>
        <w:pStyle w:val="Prrafodelista"/>
        <w:ind w:left="0" w:right="-234"/>
        <w:jc w:val="both"/>
        <w:rPr>
          <w:b/>
          <w:sz w:val="28"/>
          <w:szCs w:val="28"/>
        </w:rPr>
      </w:pPr>
    </w:p>
    <w:p w:rsidR="00045D45" w:rsidRDefault="00045D45" w:rsidP="00045D45">
      <w:pPr>
        <w:pStyle w:val="Prrafodelista"/>
        <w:ind w:left="0" w:right="-234"/>
        <w:jc w:val="both"/>
        <w:rPr>
          <w:b/>
          <w:sz w:val="28"/>
          <w:szCs w:val="28"/>
        </w:rPr>
      </w:pPr>
      <w:r w:rsidRPr="00045D45">
        <w:rPr>
          <w:b/>
          <w:sz w:val="28"/>
          <w:szCs w:val="28"/>
        </w:rPr>
        <w:t>Modifica la Ley General de Servicios Eléctricos en materia de ajuste del precio promedio de generación de energía por parte de los concesionarios de servicio público de distribución, para efectos de su traspaso a los clientes finales sometidos a regulación de precios</w:t>
      </w:r>
    </w:p>
    <w:p w:rsidR="00045D45" w:rsidRDefault="00045D45" w:rsidP="00045D45">
      <w:pPr>
        <w:pStyle w:val="Prrafodelista"/>
        <w:ind w:left="0" w:right="-234"/>
        <w:rPr>
          <w:b/>
          <w:sz w:val="28"/>
          <w:szCs w:val="28"/>
        </w:rPr>
      </w:pPr>
    </w:p>
    <w:p w:rsidR="00045D45" w:rsidRDefault="00045D45" w:rsidP="00045D45">
      <w:pPr>
        <w:pStyle w:val="Prrafodelista"/>
        <w:ind w:left="0" w:right="-234"/>
        <w:jc w:val="center"/>
        <w:rPr>
          <w:b/>
          <w:sz w:val="28"/>
          <w:szCs w:val="28"/>
        </w:rPr>
      </w:pPr>
      <w:r>
        <w:rPr>
          <w:b/>
          <w:sz w:val="28"/>
          <w:szCs w:val="28"/>
        </w:rPr>
        <w:t>Boletín N° 13055-08</w:t>
      </w:r>
    </w:p>
    <w:p w:rsidR="00045D45" w:rsidRDefault="00045D45" w:rsidP="00045D45">
      <w:pPr>
        <w:pStyle w:val="Prrafodelista"/>
        <w:ind w:left="0" w:right="-234"/>
        <w:rPr>
          <w:b/>
          <w:sz w:val="28"/>
          <w:szCs w:val="28"/>
        </w:rPr>
      </w:pPr>
    </w:p>
    <w:p w:rsidR="00154AD3" w:rsidRDefault="00154AD3" w:rsidP="00045D45">
      <w:pPr>
        <w:pStyle w:val="Prrafodelista"/>
        <w:numPr>
          <w:ilvl w:val="0"/>
          <w:numId w:val="1"/>
        </w:numPr>
        <w:ind w:right="-234"/>
        <w:rPr>
          <w:b/>
          <w:sz w:val="28"/>
          <w:szCs w:val="28"/>
        </w:rPr>
      </w:pPr>
      <w:r>
        <w:rPr>
          <w:b/>
          <w:sz w:val="28"/>
          <w:szCs w:val="28"/>
        </w:rPr>
        <w:t>CONSIDERANDO</w:t>
      </w:r>
    </w:p>
    <w:p w:rsidR="00C867B3" w:rsidRDefault="00C867B3" w:rsidP="00045D45">
      <w:pPr>
        <w:pStyle w:val="Prrafodelista"/>
        <w:ind w:left="1080" w:right="-234"/>
        <w:rPr>
          <w:b/>
          <w:sz w:val="28"/>
          <w:szCs w:val="28"/>
        </w:rPr>
      </w:pPr>
    </w:p>
    <w:p w:rsidR="005610F0" w:rsidRDefault="00404DB1" w:rsidP="00045D45">
      <w:pPr>
        <w:pStyle w:val="Prrafodelista"/>
        <w:numPr>
          <w:ilvl w:val="0"/>
          <w:numId w:val="2"/>
        </w:numPr>
        <w:ind w:right="-234"/>
        <w:jc w:val="both"/>
        <w:rPr>
          <w:sz w:val="28"/>
          <w:szCs w:val="28"/>
        </w:rPr>
      </w:pPr>
      <w:r>
        <w:rPr>
          <w:sz w:val="28"/>
          <w:szCs w:val="28"/>
        </w:rPr>
        <w:t>Resulta</w:t>
      </w:r>
      <w:r w:rsidR="00A77D32">
        <w:rPr>
          <w:sz w:val="28"/>
          <w:szCs w:val="28"/>
        </w:rPr>
        <w:t xml:space="preserve"> sorprendente </w:t>
      </w:r>
      <w:r w:rsidR="00E6217A">
        <w:rPr>
          <w:sz w:val="28"/>
          <w:szCs w:val="28"/>
        </w:rPr>
        <w:t>que e</w:t>
      </w:r>
      <w:r w:rsidR="00295E8B">
        <w:rPr>
          <w:sz w:val="28"/>
          <w:szCs w:val="28"/>
        </w:rPr>
        <w:t>l</w:t>
      </w:r>
      <w:r w:rsidR="00E6217A">
        <w:rPr>
          <w:sz w:val="28"/>
          <w:szCs w:val="28"/>
        </w:rPr>
        <w:t xml:space="preserve"> actual mecanismo </w:t>
      </w:r>
      <w:r w:rsidR="00867C6F">
        <w:rPr>
          <w:sz w:val="28"/>
          <w:szCs w:val="28"/>
        </w:rPr>
        <w:t>que establece el</w:t>
      </w:r>
      <w:r w:rsidR="00E6217A">
        <w:rPr>
          <w:sz w:val="28"/>
          <w:szCs w:val="28"/>
        </w:rPr>
        <w:t xml:space="preserve"> ajuste del precio promedio de compra de energía que rige en nuestro país, </w:t>
      </w:r>
      <w:r w:rsidR="001961D8">
        <w:rPr>
          <w:sz w:val="28"/>
          <w:szCs w:val="28"/>
        </w:rPr>
        <w:t>establezca una discriminación injustificada para aquellas localidades extremas de nuestro país</w:t>
      </w:r>
      <w:r w:rsidR="004A1817">
        <w:rPr>
          <w:sz w:val="28"/>
          <w:szCs w:val="28"/>
        </w:rPr>
        <w:t xml:space="preserve">, a saber: </w:t>
      </w:r>
      <w:r w:rsidR="00472B5B">
        <w:rPr>
          <w:sz w:val="28"/>
          <w:szCs w:val="28"/>
        </w:rPr>
        <w:t>Para la Región Metropolitana el valor Kilowatts/Hora es de $110</w:t>
      </w:r>
      <w:r w:rsidR="0071422D">
        <w:rPr>
          <w:sz w:val="28"/>
          <w:szCs w:val="28"/>
        </w:rPr>
        <w:t>, mientras que para las comunas de  Coyhaique, Aysén, Chile Chico o Cochrane</w:t>
      </w:r>
      <w:r w:rsidR="00D35783">
        <w:rPr>
          <w:sz w:val="28"/>
          <w:szCs w:val="28"/>
        </w:rPr>
        <w:t xml:space="preserve"> el valor asciende a los $163, </w:t>
      </w:r>
      <w:r w:rsidR="00045D45">
        <w:rPr>
          <w:sz w:val="28"/>
          <w:szCs w:val="28"/>
        </w:rPr>
        <w:t xml:space="preserve">   </w:t>
      </w:r>
      <w:r w:rsidR="00D35783">
        <w:rPr>
          <w:sz w:val="28"/>
          <w:szCs w:val="28"/>
        </w:rPr>
        <w:t xml:space="preserve">y en el caso de </w:t>
      </w:r>
      <w:r w:rsidR="00B90A50">
        <w:rPr>
          <w:sz w:val="28"/>
          <w:szCs w:val="28"/>
        </w:rPr>
        <w:t xml:space="preserve">Islas </w:t>
      </w:r>
      <w:proofErr w:type="spellStart"/>
      <w:r w:rsidR="00B90A50">
        <w:rPr>
          <w:sz w:val="28"/>
          <w:szCs w:val="28"/>
        </w:rPr>
        <w:t>Huichas</w:t>
      </w:r>
      <w:proofErr w:type="spellEnd"/>
      <w:r w:rsidR="00D35783">
        <w:rPr>
          <w:sz w:val="28"/>
          <w:szCs w:val="28"/>
        </w:rPr>
        <w:t xml:space="preserve"> el precio de Kilowatts/Hora se eleva a los $221</w:t>
      </w:r>
      <w:r w:rsidR="00B90A50">
        <w:rPr>
          <w:sz w:val="28"/>
          <w:szCs w:val="28"/>
        </w:rPr>
        <w:t>, pagando más del doble que en la capital de nuestro país.</w:t>
      </w:r>
    </w:p>
    <w:p w:rsidR="009969DC" w:rsidRDefault="009969DC" w:rsidP="00045D45">
      <w:pPr>
        <w:pStyle w:val="Prrafodelista"/>
        <w:ind w:right="-234"/>
        <w:jc w:val="both"/>
        <w:rPr>
          <w:sz w:val="28"/>
          <w:szCs w:val="28"/>
        </w:rPr>
      </w:pPr>
    </w:p>
    <w:p w:rsidR="00B90A50" w:rsidRDefault="00471477" w:rsidP="00045D45">
      <w:pPr>
        <w:pStyle w:val="Prrafodelista"/>
        <w:numPr>
          <w:ilvl w:val="0"/>
          <w:numId w:val="2"/>
        </w:numPr>
        <w:ind w:right="-234"/>
        <w:jc w:val="both"/>
        <w:rPr>
          <w:sz w:val="28"/>
          <w:szCs w:val="28"/>
        </w:rPr>
      </w:pPr>
      <w:r>
        <w:rPr>
          <w:sz w:val="28"/>
          <w:szCs w:val="28"/>
        </w:rPr>
        <w:t xml:space="preserve">La situación descrita, no solo </w:t>
      </w:r>
      <w:r w:rsidR="00526EB2">
        <w:rPr>
          <w:sz w:val="28"/>
          <w:szCs w:val="28"/>
        </w:rPr>
        <w:t>evidencia el goce de privilegios que solo gozan los ciudadanos pertenecientes a las regiones de la zona central de nuestro país, sino que también</w:t>
      </w:r>
      <w:r w:rsidR="009969DC">
        <w:rPr>
          <w:sz w:val="28"/>
          <w:szCs w:val="28"/>
        </w:rPr>
        <w:t xml:space="preserve"> visibiliza </w:t>
      </w:r>
      <w:r w:rsidR="00416D1B">
        <w:rPr>
          <w:sz w:val="28"/>
          <w:szCs w:val="28"/>
        </w:rPr>
        <w:t xml:space="preserve">la injusticia </w:t>
      </w:r>
      <w:r w:rsidR="009969DC">
        <w:rPr>
          <w:sz w:val="28"/>
          <w:szCs w:val="28"/>
        </w:rPr>
        <w:t>que viven nuestros compatriotas que viven en zonas extremas y que como parlamentario</w:t>
      </w:r>
      <w:r w:rsidR="00441726">
        <w:rPr>
          <w:sz w:val="28"/>
          <w:szCs w:val="28"/>
        </w:rPr>
        <w:t>s</w:t>
      </w:r>
      <w:r w:rsidR="009969DC">
        <w:rPr>
          <w:sz w:val="28"/>
          <w:szCs w:val="28"/>
        </w:rPr>
        <w:t xml:space="preserve"> no podemos seguir tolerando.</w:t>
      </w:r>
    </w:p>
    <w:p w:rsidR="009969DC" w:rsidRPr="009969DC" w:rsidRDefault="009969DC" w:rsidP="00045D45">
      <w:pPr>
        <w:pStyle w:val="Prrafodelista"/>
        <w:ind w:right="-234"/>
        <w:rPr>
          <w:sz w:val="28"/>
          <w:szCs w:val="28"/>
        </w:rPr>
      </w:pPr>
    </w:p>
    <w:p w:rsidR="009969DC" w:rsidRDefault="00DA7BDF" w:rsidP="00045D45">
      <w:pPr>
        <w:pStyle w:val="Prrafodelista"/>
        <w:numPr>
          <w:ilvl w:val="0"/>
          <w:numId w:val="2"/>
        </w:numPr>
        <w:ind w:right="-234"/>
        <w:jc w:val="both"/>
        <w:rPr>
          <w:sz w:val="28"/>
          <w:szCs w:val="28"/>
        </w:rPr>
      </w:pPr>
      <w:r>
        <w:rPr>
          <w:sz w:val="28"/>
          <w:szCs w:val="28"/>
        </w:rPr>
        <w:t>Asimismo</w:t>
      </w:r>
      <w:r w:rsidR="006253C7">
        <w:rPr>
          <w:sz w:val="28"/>
          <w:szCs w:val="28"/>
        </w:rPr>
        <w:t xml:space="preserve">, hemos tomado el desafío de modificar nuestra legislación para </w:t>
      </w:r>
      <w:r w:rsidR="002933AA">
        <w:rPr>
          <w:sz w:val="28"/>
          <w:szCs w:val="28"/>
        </w:rPr>
        <w:t xml:space="preserve">avanzar hacia una tarifa única nacional </w:t>
      </w:r>
      <w:r w:rsidR="000B783F">
        <w:rPr>
          <w:sz w:val="28"/>
          <w:szCs w:val="28"/>
        </w:rPr>
        <w:t>eléctrica</w:t>
      </w:r>
      <w:r w:rsidR="00E92641">
        <w:rPr>
          <w:sz w:val="28"/>
          <w:szCs w:val="28"/>
        </w:rPr>
        <w:t>, modificando el mecanismo de ajuste del precio promedio de compra de energía, así como también incorporando trasformaciones a la norma que establece el mecanismo de equidad tarifaria residencial.</w:t>
      </w:r>
    </w:p>
    <w:p w:rsidR="00DA7BDF" w:rsidRPr="00DA7BDF" w:rsidRDefault="00DA7BDF" w:rsidP="00045D45">
      <w:pPr>
        <w:pStyle w:val="Prrafodelista"/>
        <w:ind w:right="-234"/>
        <w:rPr>
          <w:sz w:val="28"/>
          <w:szCs w:val="28"/>
        </w:rPr>
      </w:pPr>
    </w:p>
    <w:p w:rsidR="00C67CA4" w:rsidRPr="00FF1F48" w:rsidRDefault="00DA7BDF" w:rsidP="00045D45">
      <w:pPr>
        <w:pStyle w:val="Prrafodelista"/>
        <w:numPr>
          <w:ilvl w:val="0"/>
          <w:numId w:val="2"/>
        </w:numPr>
        <w:ind w:right="-234"/>
        <w:jc w:val="both"/>
      </w:pPr>
      <w:r w:rsidRPr="00FF1F48">
        <w:rPr>
          <w:sz w:val="28"/>
          <w:szCs w:val="28"/>
        </w:rPr>
        <w:t>Por lo anterior, proponemos el siguiente proyecto de ley que sin duda contribuye a la descentralización energética</w:t>
      </w:r>
      <w:r w:rsidR="00FF1F48" w:rsidRPr="00FF1F48">
        <w:rPr>
          <w:sz w:val="28"/>
          <w:szCs w:val="28"/>
        </w:rPr>
        <w:t xml:space="preserve"> de nuestro país, mejorando la calidad de vida de los habitantes en zonas extremas.</w:t>
      </w:r>
    </w:p>
    <w:p w:rsidR="00FF1F48" w:rsidRDefault="00FF1F48" w:rsidP="00045D45">
      <w:pPr>
        <w:pStyle w:val="Prrafodelista"/>
        <w:ind w:right="-234"/>
      </w:pPr>
    </w:p>
    <w:p w:rsidR="00FF1F48" w:rsidRDefault="00FF1F48" w:rsidP="00045D45">
      <w:pPr>
        <w:pStyle w:val="Prrafodelista"/>
        <w:ind w:right="-234"/>
        <w:jc w:val="both"/>
      </w:pPr>
    </w:p>
    <w:p w:rsidR="00154AD3" w:rsidRPr="006E7536" w:rsidRDefault="00154AD3" w:rsidP="00045D45">
      <w:pPr>
        <w:ind w:right="-234"/>
        <w:jc w:val="center"/>
        <w:rPr>
          <w:b/>
          <w:sz w:val="28"/>
          <w:szCs w:val="28"/>
        </w:rPr>
      </w:pPr>
      <w:r>
        <w:rPr>
          <w:b/>
          <w:sz w:val="28"/>
          <w:szCs w:val="28"/>
        </w:rPr>
        <w:t>PROYECTO DE LEY</w:t>
      </w:r>
    </w:p>
    <w:p w:rsidR="002C2F88" w:rsidRDefault="002C2F88" w:rsidP="00045D45">
      <w:pPr>
        <w:ind w:right="-234"/>
        <w:jc w:val="both"/>
        <w:rPr>
          <w:sz w:val="28"/>
          <w:szCs w:val="28"/>
        </w:rPr>
      </w:pPr>
    </w:p>
    <w:p w:rsidR="00344249" w:rsidRDefault="002C2F88" w:rsidP="00045D45">
      <w:pPr>
        <w:ind w:right="-234"/>
        <w:jc w:val="both"/>
        <w:rPr>
          <w:b/>
          <w:bCs/>
          <w:sz w:val="28"/>
          <w:szCs w:val="28"/>
        </w:rPr>
      </w:pPr>
      <w:r w:rsidRPr="004F0B77">
        <w:rPr>
          <w:b/>
          <w:bCs/>
          <w:sz w:val="28"/>
          <w:szCs w:val="28"/>
        </w:rPr>
        <w:t xml:space="preserve">Artículo </w:t>
      </w:r>
      <w:r w:rsidR="006D138A">
        <w:rPr>
          <w:b/>
          <w:bCs/>
          <w:sz w:val="28"/>
          <w:szCs w:val="28"/>
        </w:rPr>
        <w:t>Primero:</w:t>
      </w:r>
    </w:p>
    <w:p w:rsidR="009343DE" w:rsidRPr="009343DE" w:rsidRDefault="009343DE" w:rsidP="00045D45">
      <w:pPr>
        <w:ind w:right="-234"/>
        <w:jc w:val="both"/>
        <w:rPr>
          <w:sz w:val="28"/>
          <w:szCs w:val="28"/>
        </w:rPr>
      </w:pPr>
      <w:r w:rsidRPr="009343DE">
        <w:rPr>
          <w:sz w:val="28"/>
          <w:szCs w:val="28"/>
        </w:rPr>
        <w:t xml:space="preserve">Modifíquese el artículo 157 del DFL 4/2006, Ministerio de Economía, Fomento y Reconstrucción, </w:t>
      </w:r>
      <w:r w:rsidRPr="008756FC">
        <w:rPr>
          <w:sz w:val="28"/>
        </w:rPr>
        <w:t>Ley General de Servicios Eléctricos</w:t>
      </w:r>
      <w:r w:rsidRPr="009343DE">
        <w:rPr>
          <w:sz w:val="28"/>
          <w:szCs w:val="28"/>
        </w:rPr>
        <w:t>, de la siguiente manera:</w:t>
      </w:r>
    </w:p>
    <w:p w:rsidR="009343DE" w:rsidRPr="009343DE" w:rsidRDefault="009343DE" w:rsidP="00045D45">
      <w:pPr>
        <w:ind w:right="-234"/>
        <w:jc w:val="both"/>
        <w:rPr>
          <w:sz w:val="28"/>
          <w:szCs w:val="28"/>
        </w:rPr>
      </w:pPr>
    </w:p>
    <w:p w:rsidR="009343DE" w:rsidRPr="009343DE" w:rsidRDefault="009343DE" w:rsidP="00045D45">
      <w:pPr>
        <w:ind w:right="-234"/>
        <w:jc w:val="both"/>
        <w:rPr>
          <w:sz w:val="28"/>
          <w:szCs w:val="28"/>
        </w:rPr>
      </w:pPr>
      <w:r w:rsidRPr="009343DE">
        <w:rPr>
          <w:sz w:val="28"/>
          <w:szCs w:val="28"/>
        </w:rPr>
        <w:t>a)</w:t>
      </w:r>
      <w:r w:rsidRPr="009343DE">
        <w:rPr>
          <w:sz w:val="28"/>
          <w:szCs w:val="28"/>
        </w:rPr>
        <w:tab/>
        <w:t>En su inciso primero, incorpórese a continuación de la frase “conforme sus respectivos contratos”, la frase “o decretos tarifarios”.</w:t>
      </w:r>
    </w:p>
    <w:p w:rsidR="009343DE" w:rsidRPr="009343DE" w:rsidRDefault="009343DE" w:rsidP="00045D45">
      <w:pPr>
        <w:ind w:right="-234"/>
        <w:jc w:val="both"/>
        <w:rPr>
          <w:sz w:val="28"/>
          <w:szCs w:val="28"/>
        </w:rPr>
      </w:pPr>
    </w:p>
    <w:p w:rsidR="009343DE" w:rsidRPr="009343DE" w:rsidRDefault="009343DE" w:rsidP="00045D45">
      <w:pPr>
        <w:ind w:right="-234"/>
        <w:jc w:val="both"/>
        <w:rPr>
          <w:sz w:val="28"/>
          <w:szCs w:val="28"/>
        </w:rPr>
      </w:pPr>
      <w:r w:rsidRPr="009343DE">
        <w:rPr>
          <w:sz w:val="28"/>
          <w:szCs w:val="28"/>
        </w:rPr>
        <w:t>b)</w:t>
      </w:r>
      <w:r w:rsidRPr="009343DE">
        <w:rPr>
          <w:sz w:val="28"/>
          <w:szCs w:val="28"/>
        </w:rPr>
        <w:tab/>
        <w:t>Reemplácese el inciso segundo por el siguiente:</w:t>
      </w:r>
    </w:p>
    <w:p w:rsidR="009343DE" w:rsidRPr="009343DE" w:rsidRDefault="009343DE" w:rsidP="00045D45">
      <w:pPr>
        <w:ind w:right="-234"/>
        <w:jc w:val="both"/>
        <w:rPr>
          <w:sz w:val="28"/>
          <w:szCs w:val="28"/>
        </w:rPr>
      </w:pPr>
    </w:p>
    <w:p w:rsidR="00EC1D9F" w:rsidRPr="008756FC" w:rsidRDefault="009343DE" w:rsidP="00045D45">
      <w:pPr>
        <w:ind w:right="-234"/>
        <w:jc w:val="both"/>
        <w:rPr>
          <w:sz w:val="28"/>
        </w:rPr>
      </w:pPr>
      <w:r w:rsidRPr="009343DE">
        <w:rPr>
          <w:sz w:val="28"/>
          <w:szCs w:val="28"/>
        </w:rPr>
        <w:t xml:space="preserve">“En caso de que el precio promedio de energía de una concesionaria, determinado para la totalidad de su zona de concesión, sobrepase en más del 5% el promedio ponderado del precio de energía calculado para todas las concesionarias de los sistemas eléctricos cuya capacidad instalada de generación sea superior a </w:t>
      </w:r>
      <w:r w:rsidRPr="008756FC">
        <w:rPr>
          <w:sz w:val="28"/>
        </w:rPr>
        <w:t>1.500 kilowatts</w:t>
      </w:r>
      <w:r w:rsidRPr="009343DE">
        <w:rPr>
          <w:sz w:val="28"/>
          <w:szCs w:val="28"/>
        </w:rPr>
        <w:t xml:space="preserve"> el precio promedio de tal concesionaria deberá ajustarse de modo de suprimir dicho exceso, el que será absorbido en los precios promedio de los demás concesionarios </w:t>
      </w:r>
      <w:r w:rsidRPr="008756FC">
        <w:rPr>
          <w:sz w:val="28"/>
        </w:rPr>
        <w:t xml:space="preserve">que </w:t>
      </w:r>
      <w:r w:rsidRPr="009343DE">
        <w:rPr>
          <w:sz w:val="28"/>
          <w:szCs w:val="28"/>
        </w:rPr>
        <w:t>estén</w:t>
      </w:r>
      <w:r w:rsidRPr="008756FC">
        <w:rPr>
          <w:sz w:val="28"/>
        </w:rPr>
        <w:t xml:space="preserve"> bajo el promedio señalado</w:t>
      </w:r>
      <w:r w:rsidRPr="009343DE">
        <w:rPr>
          <w:sz w:val="28"/>
          <w:szCs w:val="28"/>
        </w:rPr>
        <w:t>, a prorrata de las respectivas energías suministradas</w:t>
      </w:r>
      <w:r w:rsidR="00045D45">
        <w:rPr>
          <w:sz w:val="28"/>
          <w:szCs w:val="28"/>
        </w:rPr>
        <w:t xml:space="preserve"> </w:t>
      </w:r>
      <w:r w:rsidRPr="009343DE">
        <w:rPr>
          <w:sz w:val="28"/>
          <w:szCs w:val="28"/>
        </w:rPr>
        <w:t xml:space="preserve"> para clientes regulados. Para efectos de la comparación señalada, los precios promedio </w:t>
      </w:r>
      <w:r w:rsidRPr="008756FC">
        <w:rPr>
          <w:sz w:val="28"/>
        </w:rPr>
        <w:t xml:space="preserve">deberán considerarse en el punto de compra de cada </w:t>
      </w:r>
      <w:r w:rsidR="00045D45">
        <w:rPr>
          <w:sz w:val="28"/>
        </w:rPr>
        <w:t xml:space="preserve"> </w:t>
      </w:r>
      <w:r w:rsidRPr="008756FC">
        <w:rPr>
          <w:sz w:val="28"/>
        </w:rPr>
        <w:t>concesionaria.”</w:t>
      </w:r>
    </w:p>
    <w:p w:rsidR="009343DE" w:rsidRDefault="009343DE" w:rsidP="00045D45">
      <w:pPr>
        <w:ind w:right="-234"/>
        <w:jc w:val="both"/>
        <w:rPr>
          <w:sz w:val="28"/>
          <w:szCs w:val="28"/>
        </w:rPr>
      </w:pPr>
    </w:p>
    <w:p w:rsidR="009343DE" w:rsidRDefault="009343DE" w:rsidP="00045D45">
      <w:pPr>
        <w:ind w:right="-234"/>
        <w:jc w:val="both"/>
        <w:rPr>
          <w:b/>
          <w:bCs/>
          <w:sz w:val="28"/>
          <w:szCs w:val="28"/>
        </w:rPr>
      </w:pPr>
      <w:r w:rsidRPr="004F0B77">
        <w:rPr>
          <w:b/>
          <w:bCs/>
          <w:sz w:val="28"/>
          <w:szCs w:val="28"/>
        </w:rPr>
        <w:t>Artículo</w:t>
      </w:r>
      <w:r>
        <w:rPr>
          <w:b/>
          <w:bCs/>
          <w:sz w:val="28"/>
          <w:szCs w:val="28"/>
        </w:rPr>
        <w:t xml:space="preserve"> Segundo:</w:t>
      </w:r>
    </w:p>
    <w:p w:rsidR="009343DE" w:rsidRDefault="009343DE" w:rsidP="00045D45">
      <w:pPr>
        <w:ind w:right="-234"/>
        <w:jc w:val="both"/>
        <w:rPr>
          <w:sz w:val="28"/>
          <w:szCs w:val="28"/>
        </w:rPr>
      </w:pPr>
    </w:p>
    <w:p w:rsidR="009343DE" w:rsidRPr="009343DE" w:rsidRDefault="009343DE" w:rsidP="00045D45">
      <w:pPr>
        <w:ind w:right="-234"/>
        <w:jc w:val="both"/>
        <w:rPr>
          <w:sz w:val="28"/>
          <w:szCs w:val="28"/>
        </w:rPr>
      </w:pPr>
      <w:r w:rsidRPr="009343DE">
        <w:rPr>
          <w:sz w:val="28"/>
          <w:szCs w:val="28"/>
        </w:rPr>
        <w:t>Modifíquese el artículo 191 del DFL 4/2006, Ministerio de Economía, Fomento y Reconstrucción, Ley General de Servicios Eléctricos, de la siguiente manera:</w:t>
      </w:r>
    </w:p>
    <w:p w:rsidR="009343DE" w:rsidRPr="009343DE" w:rsidRDefault="009343DE" w:rsidP="00045D45">
      <w:pPr>
        <w:ind w:right="-234"/>
        <w:jc w:val="both"/>
        <w:rPr>
          <w:sz w:val="28"/>
          <w:szCs w:val="28"/>
        </w:rPr>
      </w:pPr>
    </w:p>
    <w:p w:rsidR="009343DE" w:rsidRPr="009343DE" w:rsidRDefault="009343DE" w:rsidP="00045D45">
      <w:pPr>
        <w:ind w:right="-234"/>
        <w:jc w:val="both"/>
        <w:rPr>
          <w:sz w:val="28"/>
          <w:szCs w:val="28"/>
        </w:rPr>
      </w:pPr>
      <w:r w:rsidRPr="009343DE">
        <w:rPr>
          <w:sz w:val="28"/>
          <w:szCs w:val="28"/>
        </w:rPr>
        <w:t>En su inciso segundo:</w:t>
      </w:r>
    </w:p>
    <w:p w:rsidR="009343DE" w:rsidRPr="009343DE" w:rsidRDefault="009343DE" w:rsidP="00045D45">
      <w:pPr>
        <w:ind w:right="-234"/>
        <w:jc w:val="both"/>
        <w:rPr>
          <w:sz w:val="28"/>
          <w:szCs w:val="28"/>
        </w:rPr>
      </w:pPr>
      <w:r w:rsidRPr="009343DE">
        <w:rPr>
          <w:sz w:val="28"/>
          <w:szCs w:val="28"/>
        </w:rPr>
        <w:t>a)</w:t>
      </w:r>
      <w:r w:rsidRPr="009343DE">
        <w:rPr>
          <w:sz w:val="28"/>
          <w:szCs w:val="28"/>
        </w:rPr>
        <w:tab/>
        <w:t>Reemplácese el guarismo 10% por 1%</w:t>
      </w:r>
    </w:p>
    <w:p w:rsidR="00517BC1" w:rsidRDefault="009343DE" w:rsidP="00045D45">
      <w:pPr>
        <w:ind w:right="-234"/>
        <w:jc w:val="both"/>
        <w:rPr>
          <w:b/>
          <w:bCs/>
          <w:i/>
          <w:iCs/>
          <w:sz w:val="28"/>
          <w:szCs w:val="28"/>
        </w:rPr>
      </w:pPr>
      <w:r w:rsidRPr="009343DE">
        <w:rPr>
          <w:sz w:val="28"/>
          <w:szCs w:val="28"/>
        </w:rPr>
        <w:t>b)</w:t>
      </w:r>
      <w:r w:rsidRPr="009343DE">
        <w:rPr>
          <w:sz w:val="28"/>
          <w:szCs w:val="28"/>
        </w:rPr>
        <w:tab/>
        <w:t xml:space="preserve">Reemplácese la oración “Las diferencias serán absorbidas progresivamente por todos los demás suministros sometidos a regulación de precios que estén bajo el promedio señalado” por la oración “Las diferencias serán absorbidas progresivamente por todos los clientes sometidos a regulación de precios que se encuentren en el par comuna-concesionaria </w:t>
      </w:r>
      <w:r w:rsidR="00045D45">
        <w:rPr>
          <w:sz w:val="28"/>
          <w:szCs w:val="28"/>
        </w:rPr>
        <w:t xml:space="preserve"> </w:t>
      </w:r>
      <w:r w:rsidRPr="009343DE">
        <w:rPr>
          <w:sz w:val="28"/>
          <w:szCs w:val="28"/>
        </w:rPr>
        <w:t xml:space="preserve">cuyos usuarios residenciales no reciban el beneficio señalado”  </w:t>
      </w:r>
    </w:p>
    <w:p w:rsidR="005A01E5" w:rsidRPr="00045D45" w:rsidRDefault="005A01E5" w:rsidP="00045D45">
      <w:pPr>
        <w:ind w:right="-234"/>
        <w:jc w:val="both"/>
        <w:rPr>
          <w:sz w:val="28"/>
          <w:szCs w:val="28"/>
        </w:rPr>
      </w:pPr>
    </w:p>
    <w:p w:rsidR="009343DE" w:rsidRDefault="009343DE" w:rsidP="00045D45">
      <w:pPr>
        <w:ind w:right="-234"/>
        <w:jc w:val="both"/>
        <w:rPr>
          <w:b/>
          <w:bCs/>
          <w:sz w:val="28"/>
          <w:szCs w:val="28"/>
        </w:rPr>
      </w:pPr>
      <w:r w:rsidRPr="004F0B77">
        <w:rPr>
          <w:b/>
          <w:bCs/>
          <w:sz w:val="28"/>
          <w:szCs w:val="28"/>
        </w:rPr>
        <w:t xml:space="preserve">Artículo </w:t>
      </w:r>
      <w:r>
        <w:rPr>
          <w:b/>
          <w:bCs/>
          <w:sz w:val="28"/>
          <w:szCs w:val="28"/>
        </w:rPr>
        <w:t>Tercero:</w:t>
      </w:r>
    </w:p>
    <w:p w:rsidR="005A01E5" w:rsidRPr="00934ECC" w:rsidRDefault="005A01E5" w:rsidP="00045D45">
      <w:pPr>
        <w:ind w:right="-234"/>
        <w:jc w:val="both"/>
        <w:rPr>
          <w:sz w:val="28"/>
          <w:szCs w:val="28"/>
        </w:rPr>
      </w:pPr>
    </w:p>
    <w:p w:rsidR="009343DE" w:rsidRPr="009343DE" w:rsidRDefault="009343DE" w:rsidP="00045D45">
      <w:pPr>
        <w:ind w:right="-234"/>
        <w:jc w:val="both"/>
        <w:rPr>
          <w:sz w:val="28"/>
          <w:szCs w:val="28"/>
        </w:rPr>
      </w:pPr>
      <w:r w:rsidRPr="009343DE">
        <w:rPr>
          <w:sz w:val="28"/>
          <w:szCs w:val="28"/>
        </w:rPr>
        <w:t xml:space="preserve">1)Reemplácese el artículo 200 del DFL 4/2006, Ministerio de Economía, Fomento y Reconstrucción, Ley General de Servicios Eléctricos, por un nuevo artículo 200 del siguiente tenor: </w:t>
      </w:r>
    </w:p>
    <w:p w:rsidR="009343DE" w:rsidRPr="009343DE" w:rsidRDefault="009343DE" w:rsidP="00045D45">
      <w:pPr>
        <w:ind w:right="-234"/>
        <w:jc w:val="both"/>
        <w:rPr>
          <w:sz w:val="28"/>
          <w:szCs w:val="28"/>
        </w:rPr>
      </w:pPr>
      <w:r w:rsidRPr="009343DE">
        <w:rPr>
          <w:sz w:val="28"/>
          <w:szCs w:val="28"/>
        </w:rPr>
        <w:t>"Artículo 200.- Los precios máximos para los suministros indicados en el número 1 del artículo 147º, corresponderán al valor que resulte de aplicar, para estos sistemas, la metodología señalada en el artículo 157, de acuerdo al valor real de producción de electricidad del respectivo sistema. Las diferencias que resulten, serán traspasadas conforme lo establece el inciso primero del artículo 157.</w:t>
      </w:r>
      <w:r w:rsidR="007C3755">
        <w:rPr>
          <w:sz w:val="28"/>
          <w:szCs w:val="28"/>
        </w:rPr>
        <w:t xml:space="preserve"> </w:t>
      </w:r>
      <w:r w:rsidR="007C3755" w:rsidRPr="007C3755">
        <w:rPr>
          <w:sz w:val="28"/>
          <w:szCs w:val="28"/>
        </w:rPr>
        <w:t>La Superintendencia, podrá realizar auditorías a los valores reales de producción presentados por las empresas, con el objeto de verificar la exactitud de la información y antecedentes presentados por éstas</w:t>
      </w:r>
      <w:r>
        <w:rPr>
          <w:sz w:val="28"/>
          <w:szCs w:val="28"/>
        </w:rPr>
        <w:t>”</w:t>
      </w:r>
      <w:r w:rsidR="007C3755">
        <w:rPr>
          <w:sz w:val="28"/>
          <w:szCs w:val="28"/>
        </w:rPr>
        <w:t>.</w:t>
      </w:r>
    </w:p>
    <w:p w:rsidR="004D0193" w:rsidRDefault="009343DE" w:rsidP="00045D45">
      <w:pPr>
        <w:ind w:right="-234"/>
        <w:jc w:val="both"/>
        <w:rPr>
          <w:sz w:val="28"/>
          <w:szCs w:val="28"/>
        </w:rPr>
      </w:pPr>
      <w:r w:rsidRPr="009343DE">
        <w:rPr>
          <w:sz w:val="28"/>
          <w:szCs w:val="28"/>
        </w:rPr>
        <w:t>2) Deróguense los artículos 201 y siguientes.</w:t>
      </w:r>
    </w:p>
    <w:p w:rsidR="004A2F5F" w:rsidRDefault="004A2F5F" w:rsidP="00045D45">
      <w:pPr>
        <w:ind w:right="-234"/>
        <w:jc w:val="both"/>
        <w:rPr>
          <w:sz w:val="28"/>
          <w:szCs w:val="28"/>
        </w:rPr>
      </w:pPr>
    </w:p>
    <w:p w:rsidR="004A2F5F" w:rsidRDefault="004A2F5F" w:rsidP="00045D45">
      <w:pPr>
        <w:ind w:right="-234"/>
        <w:jc w:val="both"/>
        <w:rPr>
          <w:sz w:val="28"/>
          <w:szCs w:val="28"/>
        </w:rPr>
      </w:pPr>
    </w:p>
    <w:p w:rsidR="004A2F5F" w:rsidRDefault="004A2F5F" w:rsidP="00045D45">
      <w:pPr>
        <w:ind w:right="-234"/>
        <w:rPr>
          <w:b/>
          <w:sz w:val="28"/>
          <w:szCs w:val="28"/>
        </w:rPr>
      </w:pPr>
    </w:p>
    <w:p w:rsidR="004A2F5F" w:rsidRDefault="004A2F5F" w:rsidP="00045D45">
      <w:pPr>
        <w:ind w:right="-234"/>
        <w:jc w:val="center"/>
        <w:rPr>
          <w:b/>
          <w:sz w:val="28"/>
          <w:szCs w:val="28"/>
        </w:rPr>
      </w:pPr>
      <w:r>
        <w:rPr>
          <w:b/>
          <w:sz w:val="28"/>
          <w:szCs w:val="28"/>
        </w:rPr>
        <w:t>Miguel Ángel Calisto Águila</w:t>
      </w:r>
    </w:p>
    <w:p w:rsidR="004A2F5F" w:rsidRPr="00154AD3" w:rsidRDefault="004A2F5F" w:rsidP="00045D45">
      <w:pPr>
        <w:ind w:right="-234"/>
        <w:jc w:val="center"/>
        <w:rPr>
          <w:sz w:val="28"/>
          <w:szCs w:val="28"/>
        </w:rPr>
      </w:pPr>
      <w:r>
        <w:rPr>
          <w:b/>
          <w:sz w:val="28"/>
          <w:szCs w:val="28"/>
        </w:rPr>
        <w:t>H. Diputado de la República</w:t>
      </w:r>
    </w:p>
    <w:sectPr w:rsidR="004A2F5F" w:rsidRPr="00154AD3" w:rsidSect="00F6373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9AA"/>
    <w:multiLevelType w:val="hybridMultilevel"/>
    <w:tmpl w:val="F52C64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0E6EF3"/>
    <w:multiLevelType w:val="hybridMultilevel"/>
    <w:tmpl w:val="CBA072FC"/>
    <w:lvl w:ilvl="0" w:tplc="61B4AE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C07ECC"/>
    <w:multiLevelType w:val="hybridMultilevel"/>
    <w:tmpl w:val="7B0C0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BDC1BD3"/>
    <w:multiLevelType w:val="hybridMultilevel"/>
    <w:tmpl w:val="6A245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854E9"/>
    <w:rsid w:val="00045D45"/>
    <w:rsid w:val="0004682B"/>
    <w:rsid w:val="000509F9"/>
    <w:rsid w:val="00063EDB"/>
    <w:rsid w:val="00093A31"/>
    <w:rsid w:val="000B783F"/>
    <w:rsid w:val="000C5412"/>
    <w:rsid w:val="000D4743"/>
    <w:rsid w:val="000E2B0F"/>
    <w:rsid w:val="000F5206"/>
    <w:rsid w:val="00101993"/>
    <w:rsid w:val="00103209"/>
    <w:rsid w:val="00117A06"/>
    <w:rsid w:val="00121E6B"/>
    <w:rsid w:val="001500BA"/>
    <w:rsid w:val="00154AD3"/>
    <w:rsid w:val="001643AD"/>
    <w:rsid w:val="001842A2"/>
    <w:rsid w:val="001961D8"/>
    <w:rsid w:val="001B4BD9"/>
    <w:rsid w:val="001E1B6C"/>
    <w:rsid w:val="001E6412"/>
    <w:rsid w:val="00205E5B"/>
    <w:rsid w:val="00240B09"/>
    <w:rsid w:val="0024397C"/>
    <w:rsid w:val="00253008"/>
    <w:rsid w:val="0025694C"/>
    <w:rsid w:val="0025702D"/>
    <w:rsid w:val="0028240C"/>
    <w:rsid w:val="002933AA"/>
    <w:rsid w:val="00294530"/>
    <w:rsid w:val="00295E8B"/>
    <w:rsid w:val="002B4FC5"/>
    <w:rsid w:val="002B5FA1"/>
    <w:rsid w:val="002C2F88"/>
    <w:rsid w:val="002D04DA"/>
    <w:rsid w:val="002D4378"/>
    <w:rsid w:val="003072BF"/>
    <w:rsid w:val="00320D2E"/>
    <w:rsid w:val="00327861"/>
    <w:rsid w:val="00344249"/>
    <w:rsid w:val="00345D1E"/>
    <w:rsid w:val="00387619"/>
    <w:rsid w:val="003A4D9C"/>
    <w:rsid w:val="003C23D8"/>
    <w:rsid w:val="003C781F"/>
    <w:rsid w:val="004013E4"/>
    <w:rsid w:val="00404DB1"/>
    <w:rsid w:val="00407F7E"/>
    <w:rsid w:val="00416D1B"/>
    <w:rsid w:val="00441726"/>
    <w:rsid w:val="00463877"/>
    <w:rsid w:val="00471477"/>
    <w:rsid w:val="00472B5B"/>
    <w:rsid w:val="004A1817"/>
    <w:rsid w:val="004A2F5F"/>
    <w:rsid w:val="004B2DAE"/>
    <w:rsid w:val="004B5FBD"/>
    <w:rsid w:val="004B712C"/>
    <w:rsid w:val="004C3E45"/>
    <w:rsid w:val="004D0193"/>
    <w:rsid w:val="004F0B77"/>
    <w:rsid w:val="00500A16"/>
    <w:rsid w:val="0051280C"/>
    <w:rsid w:val="00517BC1"/>
    <w:rsid w:val="00525664"/>
    <w:rsid w:val="00526EB2"/>
    <w:rsid w:val="005351CD"/>
    <w:rsid w:val="00545896"/>
    <w:rsid w:val="00552DC1"/>
    <w:rsid w:val="00555666"/>
    <w:rsid w:val="005610F0"/>
    <w:rsid w:val="00572F10"/>
    <w:rsid w:val="005936FA"/>
    <w:rsid w:val="00593B24"/>
    <w:rsid w:val="005A01E5"/>
    <w:rsid w:val="005A7A81"/>
    <w:rsid w:val="005D0741"/>
    <w:rsid w:val="005D1C4B"/>
    <w:rsid w:val="006253C7"/>
    <w:rsid w:val="00664D74"/>
    <w:rsid w:val="006703B7"/>
    <w:rsid w:val="00697F5E"/>
    <w:rsid w:val="006D138A"/>
    <w:rsid w:val="006F134A"/>
    <w:rsid w:val="006F1482"/>
    <w:rsid w:val="0071422D"/>
    <w:rsid w:val="007229FE"/>
    <w:rsid w:val="00725F08"/>
    <w:rsid w:val="00763B61"/>
    <w:rsid w:val="007817F0"/>
    <w:rsid w:val="007837CF"/>
    <w:rsid w:val="00796044"/>
    <w:rsid w:val="007A263A"/>
    <w:rsid w:val="007B7B33"/>
    <w:rsid w:val="007C3755"/>
    <w:rsid w:val="007E41BD"/>
    <w:rsid w:val="007F0419"/>
    <w:rsid w:val="007F54E2"/>
    <w:rsid w:val="008040A7"/>
    <w:rsid w:val="00807987"/>
    <w:rsid w:val="00830B06"/>
    <w:rsid w:val="00847FBF"/>
    <w:rsid w:val="00864656"/>
    <w:rsid w:val="00867C6F"/>
    <w:rsid w:val="008721DA"/>
    <w:rsid w:val="008756FC"/>
    <w:rsid w:val="008B76A6"/>
    <w:rsid w:val="008D6FF4"/>
    <w:rsid w:val="008E0557"/>
    <w:rsid w:val="008F5796"/>
    <w:rsid w:val="00933DEC"/>
    <w:rsid w:val="009343DE"/>
    <w:rsid w:val="00934ECC"/>
    <w:rsid w:val="009969DC"/>
    <w:rsid w:val="009B0EBB"/>
    <w:rsid w:val="009F1C3F"/>
    <w:rsid w:val="00A16FEE"/>
    <w:rsid w:val="00A21E05"/>
    <w:rsid w:val="00A23605"/>
    <w:rsid w:val="00A3411A"/>
    <w:rsid w:val="00A35F47"/>
    <w:rsid w:val="00A56338"/>
    <w:rsid w:val="00A77D32"/>
    <w:rsid w:val="00AE1041"/>
    <w:rsid w:val="00B130A8"/>
    <w:rsid w:val="00B304AE"/>
    <w:rsid w:val="00B34F7B"/>
    <w:rsid w:val="00B53735"/>
    <w:rsid w:val="00B77F8D"/>
    <w:rsid w:val="00B90A50"/>
    <w:rsid w:val="00BB5B6F"/>
    <w:rsid w:val="00BC7EE6"/>
    <w:rsid w:val="00BD0C24"/>
    <w:rsid w:val="00C125E0"/>
    <w:rsid w:val="00C162A5"/>
    <w:rsid w:val="00C24D64"/>
    <w:rsid w:val="00C57B89"/>
    <w:rsid w:val="00C67CA4"/>
    <w:rsid w:val="00C85603"/>
    <w:rsid w:val="00C867B3"/>
    <w:rsid w:val="00CC53A0"/>
    <w:rsid w:val="00CE14A3"/>
    <w:rsid w:val="00CE3EA1"/>
    <w:rsid w:val="00D03328"/>
    <w:rsid w:val="00D171CB"/>
    <w:rsid w:val="00D35783"/>
    <w:rsid w:val="00D362D4"/>
    <w:rsid w:val="00D45D68"/>
    <w:rsid w:val="00D70EF7"/>
    <w:rsid w:val="00D74DA7"/>
    <w:rsid w:val="00D82CB2"/>
    <w:rsid w:val="00D83535"/>
    <w:rsid w:val="00DA7BDF"/>
    <w:rsid w:val="00DE6197"/>
    <w:rsid w:val="00E146E1"/>
    <w:rsid w:val="00E22420"/>
    <w:rsid w:val="00E36376"/>
    <w:rsid w:val="00E53C39"/>
    <w:rsid w:val="00E6217A"/>
    <w:rsid w:val="00E867CF"/>
    <w:rsid w:val="00E92641"/>
    <w:rsid w:val="00EB5393"/>
    <w:rsid w:val="00EC1D9F"/>
    <w:rsid w:val="00F21B5D"/>
    <w:rsid w:val="00F3456C"/>
    <w:rsid w:val="00F60934"/>
    <w:rsid w:val="00F63733"/>
    <w:rsid w:val="00F8116A"/>
    <w:rsid w:val="00F83B78"/>
    <w:rsid w:val="00F854E9"/>
    <w:rsid w:val="00F94491"/>
    <w:rsid w:val="00FA08AE"/>
    <w:rsid w:val="00FD18DF"/>
    <w:rsid w:val="00FF1F48"/>
    <w:rsid w:val="00FF7F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AD3"/>
    <w:pPr>
      <w:ind w:left="720"/>
      <w:contextualSpacing/>
    </w:pPr>
  </w:style>
  <w:style w:type="paragraph" w:styleId="Textodeglobo">
    <w:name w:val="Balloon Text"/>
    <w:basedOn w:val="Normal"/>
    <w:link w:val="TextodegloboCar"/>
    <w:uiPriority w:val="99"/>
    <w:semiHidden/>
    <w:unhideWhenUsed/>
    <w:rsid w:val="009F1C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C3F"/>
    <w:rPr>
      <w:rFonts w:ascii="Segoe UI" w:hAnsi="Segoe UI" w:cs="Segoe UI"/>
      <w:sz w:val="18"/>
      <w:szCs w:val="18"/>
    </w:rPr>
  </w:style>
  <w:style w:type="paragraph" w:styleId="Revisin">
    <w:name w:val="Revision"/>
    <w:hidden/>
    <w:uiPriority w:val="99"/>
    <w:semiHidden/>
    <w:rsid w:val="007F54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Guillermo Diaz Vallejos</cp:lastModifiedBy>
  <cp:revision>4</cp:revision>
  <cp:lastPrinted>2019-09-25T01:01:00Z</cp:lastPrinted>
  <dcterms:created xsi:type="dcterms:W3CDTF">2019-09-25T01:03:00Z</dcterms:created>
  <dcterms:modified xsi:type="dcterms:W3CDTF">2019-11-13T21:21:00Z</dcterms:modified>
</cp:coreProperties>
</file>