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75" w:rsidRDefault="00EA6D75" w:rsidP="00082ED8">
      <w:pPr>
        <w:jc w:val="both"/>
      </w:pPr>
      <w:r w:rsidRPr="00ED3908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019175" cy="1009650"/>
            <wp:effectExtent l="0" t="0" r="9525" b="0"/>
            <wp:docPr id="2" name="Imagen 2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D8" w:rsidRDefault="00982C2A" w:rsidP="000B0A57">
      <w:pPr>
        <w:jc w:val="center"/>
        <w:rPr>
          <w:b/>
          <w:sz w:val="28"/>
          <w:szCs w:val="28"/>
        </w:rPr>
      </w:pPr>
      <w:r w:rsidRPr="00982C2A">
        <w:rPr>
          <w:b/>
          <w:sz w:val="28"/>
          <w:szCs w:val="28"/>
        </w:rPr>
        <w:t>Modifica la Ley General de Servicios Eléctricos para extender el mecanismo de ajuste del precio promedio de energía que indica, a los sistemas eléctricos medianos que señala</w:t>
      </w:r>
    </w:p>
    <w:p w:rsidR="00982C2A" w:rsidRDefault="00982C2A" w:rsidP="000B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 13095-08</w:t>
      </w:r>
    </w:p>
    <w:p w:rsidR="00982C2A" w:rsidRDefault="00982C2A" w:rsidP="000B0A57">
      <w:pPr>
        <w:jc w:val="center"/>
        <w:rPr>
          <w:b/>
          <w:sz w:val="28"/>
          <w:szCs w:val="28"/>
        </w:rPr>
      </w:pPr>
    </w:p>
    <w:p w:rsidR="00645C81" w:rsidRDefault="00A641D1" w:rsidP="00645C81">
      <w:pPr>
        <w:pStyle w:val="Prrafodelist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Las zonas extremas en nuestro país, históricamente </w:t>
      </w:r>
      <w:r w:rsidR="004F6F8D">
        <w:rPr>
          <w:bCs/>
          <w:sz w:val="28"/>
          <w:szCs w:val="28"/>
        </w:rPr>
        <w:t>se han configurado como sinónimo</w:t>
      </w:r>
      <w:r w:rsidR="004723AF">
        <w:rPr>
          <w:bCs/>
          <w:sz w:val="28"/>
          <w:szCs w:val="28"/>
        </w:rPr>
        <w:t xml:space="preserve"> de ser</w:t>
      </w:r>
      <w:r w:rsidR="004F6F8D">
        <w:rPr>
          <w:bCs/>
          <w:sz w:val="28"/>
          <w:szCs w:val="28"/>
        </w:rPr>
        <w:t xml:space="preserve"> zonas rezagadas</w:t>
      </w:r>
      <w:r w:rsidR="00BB30FF">
        <w:rPr>
          <w:bCs/>
          <w:sz w:val="28"/>
          <w:szCs w:val="28"/>
        </w:rPr>
        <w:t xml:space="preserve"> a raíz de las inequidades amparadas incluso por nuestra propia legislación, cuya arista que hoy </w:t>
      </w:r>
      <w:r w:rsidR="004723AF">
        <w:rPr>
          <w:bCs/>
          <w:sz w:val="28"/>
          <w:szCs w:val="28"/>
        </w:rPr>
        <w:t>pretendemos</w:t>
      </w:r>
      <w:r w:rsidR="00BB30FF">
        <w:rPr>
          <w:bCs/>
          <w:sz w:val="28"/>
          <w:szCs w:val="28"/>
        </w:rPr>
        <w:t xml:space="preserve"> subsanar es en el mecanismo </w:t>
      </w:r>
      <w:r w:rsidR="0009708A">
        <w:rPr>
          <w:bCs/>
          <w:sz w:val="28"/>
          <w:szCs w:val="28"/>
        </w:rPr>
        <w:t xml:space="preserve">que establece los precios para el consumo de energía y que se manifiesta </w:t>
      </w:r>
      <w:r w:rsidR="00645C81">
        <w:rPr>
          <w:bCs/>
          <w:sz w:val="28"/>
          <w:szCs w:val="28"/>
        </w:rPr>
        <w:t>con injusticia</w:t>
      </w:r>
      <w:r w:rsidR="00B0314E">
        <w:rPr>
          <w:bCs/>
          <w:sz w:val="28"/>
          <w:szCs w:val="28"/>
        </w:rPr>
        <w:t xml:space="preserve"> en el valor del Kil</w:t>
      </w:r>
      <w:r w:rsidR="00645C81">
        <w:rPr>
          <w:bCs/>
          <w:sz w:val="28"/>
          <w:szCs w:val="28"/>
        </w:rPr>
        <w:t>owatts/Hora</w:t>
      </w:r>
      <w:r w:rsidR="00BE3FE4">
        <w:rPr>
          <w:bCs/>
          <w:sz w:val="28"/>
          <w:szCs w:val="28"/>
        </w:rPr>
        <w:t xml:space="preserve"> según el territorio del que se trate.</w:t>
      </w:r>
    </w:p>
    <w:p w:rsidR="005112AB" w:rsidRDefault="005112AB" w:rsidP="005112AB">
      <w:pPr>
        <w:pStyle w:val="Prrafodelista"/>
        <w:jc w:val="both"/>
        <w:rPr>
          <w:bCs/>
          <w:sz w:val="28"/>
          <w:szCs w:val="28"/>
        </w:rPr>
      </w:pPr>
    </w:p>
    <w:p w:rsidR="00BE3FE4" w:rsidRDefault="00BE3FE4" w:rsidP="00645C81">
      <w:pPr>
        <w:pStyle w:val="Prrafodelist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modo de ilustración, </w:t>
      </w:r>
      <w:r w:rsidR="00E8372E">
        <w:rPr>
          <w:bCs/>
          <w:sz w:val="28"/>
          <w:szCs w:val="28"/>
        </w:rPr>
        <w:t>es necesario</w:t>
      </w:r>
      <w:r>
        <w:rPr>
          <w:bCs/>
          <w:sz w:val="28"/>
          <w:szCs w:val="28"/>
        </w:rPr>
        <w:t xml:space="preserve"> tener presente que el valor</w:t>
      </w:r>
      <w:r w:rsidR="002F7D6E">
        <w:rPr>
          <w:bCs/>
          <w:sz w:val="28"/>
          <w:szCs w:val="28"/>
        </w:rPr>
        <w:t xml:space="preserve"> en </w:t>
      </w:r>
      <w:r>
        <w:rPr>
          <w:bCs/>
          <w:sz w:val="28"/>
          <w:szCs w:val="28"/>
        </w:rPr>
        <w:t xml:space="preserve"> Kilowatts hora </w:t>
      </w:r>
      <w:r w:rsidR="002F7D6E">
        <w:rPr>
          <w:bCs/>
          <w:sz w:val="28"/>
          <w:szCs w:val="28"/>
        </w:rPr>
        <w:t xml:space="preserve">según los siguientes territorios: </w:t>
      </w:r>
      <w:r>
        <w:rPr>
          <w:bCs/>
          <w:sz w:val="28"/>
          <w:szCs w:val="28"/>
        </w:rPr>
        <w:t>en la Capital de nuestro país es de $110,</w:t>
      </w:r>
      <w:r w:rsidR="00E8372E">
        <w:rPr>
          <w:bCs/>
          <w:sz w:val="28"/>
          <w:szCs w:val="28"/>
        </w:rPr>
        <w:t xml:space="preserve"> mientras que en Hornopirén</w:t>
      </w:r>
      <w:r w:rsidR="00922A5D">
        <w:rPr>
          <w:bCs/>
          <w:sz w:val="28"/>
          <w:szCs w:val="28"/>
        </w:rPr>
        <w:t xml:space="preserve"> </w:t>
      </w:r>
      <w:r w:rsidR="008D4BDA">
        <w:rPr>
          <w:bCs/>
          <w:sz w:val="28"/>
          <w:szCs w:val="28"/>
        </w:rPr>
        <w:t xml:space="preserve">el valor asciende a $177 </w:t>
      </w:r>
      <w:r w:rsidR="006E231D">
        <w:rPr>
          <w:bCs/>
          <w:sz w:val="28"/>
          <w:szCs w:val="28"/>
        </w:rPr>
        <w:t xml:space="preserve">KWH, </w:t>
      </w:r>
      <w:r w:rsidR="002F7D6E">
        <w:rPr>
          <w:bCs/>
          <w:sz w:val="28"/>
          <w:szCs w:val="28"/>
        </w:rPr>
        <w:t>en</w:t>
      </w:r>
      <w:r w:rsidR="006E231D">
        <w:rPr>
          <w:bCs/>
          <w:sz w:val="28"/>
          <w:szCs w:val="28"/>
        </w:rPr>
        <w:t xml:space="preserve"> </w:t>
      </w:r>
      <w:proofErr w:type="spellStart"/>
      <w:r w:rsidR="006E231D">
        <w:rPr>
          <w:bCs/>
          <w:sz w:val="28"/>
          <w:szCs w:val="28"/>
        </w:rPr>
        <w:t>Cochamó</w:t>
      </w:r>
      <w:proofErr w:type="spellEnd"/>
      <w:r w:rsidR="006E231D">
        <w:rPr>
          <w:bCs/>
          <w:sz w:val="28"/>
          <w:szCs w:val="28"/>
        </w:rPr>
        <w:t xml:space="preserve"> cuyo</w:t>
      </w:r>
      <w:r w:rsidR="002F7D6E">
        <w:rPr>
          <w:bCs/>
          <w:sz w:val="28"/>
          <w:szCs w:val="28"/>
        </w:rPr>
        <w:t xml:space="preserve"> el</w:t>
      </w:r>
      <w:r w:rsidR="006E231D">
        <w:rPr>
          <w:bCs/>
          <w:sz w:val="28"/>
          <w:szCs w:val="28"/>
        </w:rPr>
        <w:t xml:space="preserve"> precio es de</w:t>
      </w:r>
      <w:r w:rsidR="002F7D6E">
        <w:rPr>
          <w:bCs/>
          <w:sz w:val="28"/>
          <w:szCs w:val="28"/>
        </w:rPr>
        <w:t>$</w:t>
      </w:r>
      <w:r w:rsidR="006E231D">
        <w:rPr>
          <w:bCs/>
          <w:sz w:val="28"/>
          <w:szCs w:val="28"/>
        </w:rPr>
        <w:t xml:space="preserve"> 200 KWH, </w:t>
      </w:r>
      <w:r w:rsidR="002F7D6E">
        <w:rPr>
          <w:bCs/>
          <w:sz w:val="28"/>
          <w:szCs w:val="28"/>
        </w:rPr>
        <w:t xml:space="preserve">en </w:t>
      </w:r>
      <w:r w:rsidR="00337C77">
        <w:rPr>
          <w:bCs/>
          <w:sz w:val="28"/>
          <w:szCs w:val="28"/>
        </w:rPr>
        <w:t xml:space="preserve">Islas </w:t>
      </w:r>
      <w:proofErr w:type="spellStart"/>
      <w:r w:rsidR="00337C77">
        <w:rPr>
          <w:bCs/>
          <w:sz w:val="28"/>
          <w:szCs w:val="28"/>
        </w:rPr>
        <w:t>Huichas</w:t>
      </w:r>
      <w:proofErr w:type="spellEnd"/>
      <w:r w:rsidR="00337C77">
        <w:rPr>
          <w:bCs/>
          <w:sz w:val="28"/>
          <w:szCs w:val="28"/>
        </w:rPr>
        <w:t xml:space="preserve"> $220 KWH</w:t>
      </w:r>
      <w:r w:rsidR="005112AB">
        <w:rPr>
          <w:bCs/>
          <w:sz w:val="28"/>
          <w:szCs w:val="28"/>
        </w:rPr>
        <w:t>.</w:t>
      </w:r>
    </w:p>
    <w:p w:rsidR="005112AB" w:rsidRDefault="005112AB" w:rsidP="005112AB">
      <w:pPr>
        <w:pStyle w:val="Prrafodelista"/>
        <w:jc w:val="both"/>
        <w:rPr>
          <w:bCs/>
          <w:sz w:val="28"/>
          <w:szCs w:val="28"/>
        </w:rPr>
      </w:pPr>
    </w:p>
    <w:p w:rsidR="00B4398D" w:rsidRDefault="00DF1FC9" w:rsidP="00B4398D">
      <w:pPr>
        <w:pStyle w:val="Prrafodelist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su vez, </w:t>
      </w:r>
      <w:r w:rsidR="00B02577">
        <w:rPr>
          <w:bCs/>
          <w:sz w:val="28"/>
          <w:szCs w:val="28"/>
        </w:rPr>
        <w:t>existen sistemas eléctricos</w:t>
      </w:r>
      <w:r w:rsidR="00F15B6F">
        <w:rPr>
          <w:bCs/>
          <w:sz w:val="28"/>
          <w:szCs w:val="28"/>
        </w:rPr>
        <w:t xml:space="preserve"> diferenciados que </w:t>
      </w:r>
      <w:r w:rsidR="00CF3717">
        <w:rPr>
          <w:bCs/>
          <w:sz w:val="28"/>
          <w:szCs w:val="28"/>
        </w:rPr>
        <w:t>consideran territorios pertenecientes a</w:t>
      </w:r>
      <w:r w:rsidR="00F15B6F">
        <w:rPr>
          <w:bCs/>
          <w:sz w:val="28"/>
          <w:szCs w:val="28"/>
        </w:rPr>
        <w:t xml:space="preserve"> las Regiones de Aysén, Los lagos, y Magallanes, sin embargo, la distinción no es un</w:t>
      </w:r>
      <w:r w:rsidR="000A70D1">
        <w:rPr>
          <w:bCs/>
          <w:sz w:val="28"/>
          <w:szCs w:val="28"/>
        </w:rPr>
        <w:t xml:space="preserve">a consideración positiva sino por el contrario, significan tarifas elevadas </w:t>
      </w:r>
      <w:r w:rsidR="008442EF">
        <w:rPr>
          <w:bCs/>
          <w:sz w:val="28"/>
          <w:szCs w:val="28"/>
        </w:rPr>
        <w:t>y mecanismos poco equitativos para l</w:t>
      </w:r>
      <w:r w:rsidR="00CF3717">
        <w:rPr>
          <w:bCs/>
          <w:sz w:val="28"/>
          <w:szCs w:val="28"/>
        </w:rPr>
        <w:t>a</w:t>
      </w:r>
      <w:r w:rsidR="008442EF">
        <w:rPr>
          <w:bCs/>
          <w:sz w:val="28"/>
          <w:szCs w:val="28"/>
        </w:rPr>
        <w:t xml:space="preserve">s </w:t>
      </w:r>
      <w:r w:rsidR="00CF3717">
        <w:rPr>
          <w:bCs/>
          <w:sz w:val="28"/>
          <w:szCs w:val="28"/>
        </w:rPr>
        <w:t>zonas</w:t>
      </w:r>
      <w:r w:rsidR="008442EF">
        <w:rPr>
          <w:bCs/>
          <w:sz w:val="28"/>
          <w:szCs w:val="28"/>
        </w:rPr>
        <w:t xml:space="preserve"> mencionados</w:t>
      </w:r>
      <w:r w:rsidR="00CF3717">
        <w:rPr>
          <w:bCs/>
          <w:sz w:val="28"/>
          <w:szCs w:val="28"/>
        </w:rPr>
        <w:t>.</w:t>
      </w:r>
    </w:p>
    <w:p w:rsidR="00B4398D" w:rsidRPr="00B4398D" w:rsidRDefault="00B4398D" w:rsidP="00B4398D">
      <w:pPr>
        <w:pStyle w:val="Prrafodelista"/>
        <w:rPr>
          <w:bCs/>
          <w:sz w:val="28"/>
          <w:szCs w:val="28"/>
        </w:rPr>
      </w:pPr>
    </w:p>
    <w:p w:rsidR="00B4398D" w:rsidRDefault="00B4398D" w:rsidP="00B4398D">
      <w:pPr>
        <w:pStyle w:val="Prrafodelist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Como solución al problema tarifario de energía, </w:t>
      </w:r>
      <w:r w:rsidR="000768E5">
        <w:rPr>
          <w:bCs/>
          <w:sz w:val="28"/>
          <w:szCs w:val="28"/>
        </w:rPr>
        <w:t>pretendemos ocupar nuestras herramientas legislativas como ejercicio de la función parlamentaria, con el objeto de proponer un mecanismo de precios equitativos para las regiones y zonas más discriminadas de nuestro país.</w:t>
      </w:r>
    </w:p>
    <w:p w:rsidR="000768E5" w:rsidRDefault="000768E5" w:rsidP="000768E5">
      <w:pPr>
        <w:jc w:val="both"/>
        <w:rPr>
          <w:bCs/>
          <w:sz w:val="28"/>
          <w:szCs w:val="28"/>
        </w:rPr>
      </w:pPr>
    </w:p>
    <w:p w:rsidR="006C385D" w:rsidRPr="006E7536" w:rsidRDefault="006C385D" w:rsidP="006C3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6C385D" w:rsidRDefault="006C385D" w:rsidP="006C385D">
      <w:pPr>
        <w:jc w:val="both"/>
        <w:rPr>
          <w:sz w:val="28"/>
          <w:szCs w:val="28"/>
        </w:rPr>
      </w:pPr>
    </w:p>
    <w:p w:rsidR="006C385D" w:rsidRDefault="006C385D" w:rsidP="006C385D">
      <w:pPr>
        <w:jc w:val="both"/>
        <w:rPr>
          <w:b/>
          <w:bCs/>
          <w:sz w:val="28"/>
          <w:szCs w:val="28"/>
        </w:rPr>
      </w:pPr>
      <w:r w:rsidRPr="004F0B77">
        <w:rPr>
          <w:b/>
          <w:bCs/>
          <w:sz w:val="28"/>
          <w:szCs w:val="28"/>
        </w:rPr>
        <w:t xml:space="preserve">Artículo </w:t>
      </w:r>
      <w:r>
        <w:rPr>
          <w:b/>
          <w:bCs/>
          <w:sz w:val="28"/>
          <w:szCs w:val="28"/>
        </w:rPr>
        <w:t>Primero:</w:t>
      </w:r>
    </w:p>
    <w:p w:rsidR="006C385D" w:rsidRDefault="005F03D5" w:rsidP="006C385D">
      <w:pPr>
        <w:jc w:val="both"/>
        <w:rPr>
          <w:sz w:val="28"/>
          <w:szCs w:val="28"/>
        </w:rPr>
      </w:pPr>
      <w:r>
        <w:rPr>
          <w:sz w:val="28"/>
          <w:szCs w:val="28"/>
        </w:rPr>
        <w:t>Agréguese</w:t>
      </w:r>
      <w:r w:rsidR="00817454">
        <w:rPr>
          <w:sz w:val="28"/>
          <w:szCs w:val="28"/>
        </w:rPr>
        <w:t xml:space="preserve"> un nuevo inciso tercero en el</w:t>
      </w:r>
      <w:r w:rsidR="006C385D" w:rsidRPr="009343DE">
        <w:rPr>
          <w:sz w:val="28"/>
          <w:szCs w:val="28"/>
        </w:rPr>
        <w:t xml:space="preserve"> artículo 157 del DFL 4/2006, Ministerio de Economía, Fomento y Reconstrucción, </w:t>
      </w:r>
      <w:r w:rsidR="006C385D" w:rsidRPr="008756FC">
        <w:rPr>
          <w:sz w:val="28"/>
        </w:rPr>
        <w:t>Ley General de Servicios Eléctricos</w:t>
      </w:r>
      <w:r w:rsidR="006C385D" w:rsidRPr="009343DE">
        <w:rPr>
          <w:sz w:val="28"/>
          <w:szCs w:val="28"/>
        </w:rPr>
        <w:t>,</w:t>
      </w:r>
      <w:r w:rsidR="00817454">
        <w:rPr>
          <w:sz w:val="28"/>
          <w:szCs w:val="28"/>
        </w:rPr>
        <w:t xml:space="preserve"> quedando el actual inciso tercero en cuarto y este en quinto en orden sucesivo, quedando</w:t>
      </w:r>
      <w:r w:rsidR="006C385D" w:rsidRPr="009343DE">
        <w:rPr>
          <w:sz w:val="28"/>
          <w:szCs w:val="28"/>
        </w:rPr>
        <w:t xml:space="preserve"> de la siguiente manera:</w:t>
      </w:r>
    </w:p>
    <w:p w:rsidR="006C385D" w:rsidRPr="009343DE" w:rsidRDefault="005F03D5" w:rsidP="006C385D">
      <w:pPr>
        <w:jc w:val="both"/>
        <w:rPr>
          <w:sz w:val="28"/>
          <w:szCs w:val="28"/>
        </w:rPr>
      </w:pPr>
      <w:r>
        <w:rPr>
          <w:sz w:val="28"/>
          <w:szCs w:val="28"/>
        </w:rPr>
        <w:t>“El mecanismo señalado en este artículo, comprenderán</w:t>
      </w:r>
      <w:r w:rsidR="00D75608">
        <w:rPr>
          <w:sz w:val="28"/>
          <w:szCs w:val="28"/>
        </w:rPr>
        <w:t xml:space="preserve"> los sistemas medianos de energía que se ejecuten en las</w:t>
      </w:r>
      <w:r w:rsidR="00443E2A">
        <w:rPr>
          <w:sz w:val="28"/>
          <w:szCs w:val="28"/>
        </w:rPr>
        <w:t xml:space="preserve"> siguientes Regiones: </w:t>
      </w:r>
      <w:r w:rsidR="002212C6">
        <w:rPr>
          <w:sz w:val="28"/>
          <w:szCs w:val="28"/>
        </w:rPr>
        <w:t xml:space="preserve">Región de </w:t>
      </w:r>
      <w:r w:rsidR="00443E2A">
        <w:rPr>
          <w:sz w:val="28"/>
          <w:szCs w:val="28"/>
        </w:rPr>
        <w:t>Los Lagos</w:t>
      </w:r>
      <w:r w:rsidR="00D75608">
        <w:rPr>
          <w:sz w:val="28"/>
          <w:szCs w:val="28"/>
        </w:rPr>
        <w:t>,</w:t>
      </w:r>
      <w:r w:rsidR="002212C6">
        <w:rPr>
          <w:sz w:val="28"/>
          <w:szCs w:val="28"/>
        </w:rPr>
        <w:t xml:space="preserve"> Región de Aysén del General Carlos </w:t>
      </w:r>
      <w:r w:rsidR="00CD784E">
        <w:rPr>
          <w:sz w:val="28"/>
          <w:szCs w:val="28"/>
        </w:rPr>
        <w:t>Ibáñez</w:t>
      </w:r>
      <w:r w:rsidR="002212C6">
        <w:rPr>
          <w:sz w:val="28"/>
          <w:szCs w:val="28"/>
        </w:rPr>
        <w:t xml:space="preserve"> del Campo </w:t>
      </w:r>
      <w:r w:rsidR="00D75608">
        <w:rPr>
          <w:sz w:val="28"/>
          <w:szCs w:val="28"/>
        </w:rPr>
        <w:t xml:space="preserve">y </w:t>
      </w:r>
      <w:r w:rsidR="002212C6">
        <w:rPr>
          <w:sz w:val="28"/>
          <w:szCs w:val="28"/>
        </w:rPr>
        <w:t xml:space="preserve">La Región de Magallanes y </w:t>
      </w:r>
      <w:r w:rsidR="00982C2A">
        <w:rPr>
          <w:sz w:val="28"/>
          <w:szCs w:val="28"/>
        </w:rPr>
        <w:t xml:space="preserve">de </w:t>
      </w:r>
      <w:r w:rsidR="002212C6">
        <w:rPr>
          <w:sz w:val="28"/>
          <w:szCs w:val="28"/>
        </w:rPr>
        <w:t>la Antártica Chilena.</w:t>
      </w:r>
      <w:r w:rsidR="00D75608">
        <w:rPr>
          <w:sz w:val="28"/>
          <w:szCs w:val="28"/>
        </w:rPr>
        <w:t>”</w:t>
      </w:r>
    </w:p>
    <w:p w:rsidR="00CD784E" w:rsidRDefault="00CD784E" w:rsidP="006C385D">
      <w:pPr>
        <w:jc w:val="both"/>
        <w:rPr>
          <w:b/>
          <w:bCs/>
          <w:sz w:val="28"/>
          <w:szCs w:val="28"/>
        </w:rPr>
      </w:pPr>
    </w:p>
    <w:p w:rsidR="006C385D" w:rsidRDefault="006C385D" w:rsidP="006C385D">
      <w:pPr>
        <w:jc w:val="both"/>
        <w:rPr>
          <w:b/>
          <w:bCs/>
          <w:sz w:val="28"/>
          <w:szCs w:val="28"/>
        </w:rPr>
      </w:pPr>
      <w:r w:rsidRPr="004F0B77">
        <w:rPr>
          <w:b/>
          <w:bCs/>
          <w:sz w:val="28"/>
          <w:szCs w:val="28"/>
        </w:rPr>
        <w:t xml:space="preserve">Artículo </w:t>
      </w:r>
      <w:r w:rsidR="00CD784E">
        <w:rPr>
          <w:b/>
          <w:bCs/>
          <w:sz w:val="28"/>
          <w:szCs w:val="28"/>
        </w:rPr>
        <w:t>Segundo</w:t>
      </w:r>
      <w:r>
        <w:rPr>
          <w:b/>
          <w:bCs/>
          <w:sz w:val="28"/>
          <w:szCs w:val="28"/>
        </w:rPr>
        <w:t>:</w:t>
      </w:r>
    </w:p>
    <w:p w:rsidR="006C385D" w:rsidRPr="00934ECC" w:rsidRDefault="006C385D" w:rsidP="006C385D">
      <w:pPr>
        <w:jc w:val="both"/>
        <w:rPr>
          <w:sz w:val="28"/>
          <w:szCs w:val="28"/>
        </w:rPr>
      </w:pPr>
    </w:p>
    <w:p w:rsidR="006C385D" w:rsidRPr="009343DE" w:rsidRDefault="006C385D" w:rsidP="006C385D">
      <w:pPr>
        <w:jc w:val="both"/>
        <w:rPr>
          <w:sz w:val="28"/>
          <w:szCs w:val="28"/>
        </w:rPr>
      </w:pPr>
      <w:r w:rsidRPr="009343DE">
        <w:rPr>
          <w:sz w:val="28"/>
          <w:szCs w:val="28"/>
        </w:rPr>
        <w:t>1)</w:t>
      </w:r>
      <w:r w:rsidR="00982C2A">
        <w:rPr>
          <w:sz w:val="28"/>
          <w:szCs w:val="28"/>
        </w:rPr>
        <w:t xml:space="preserve"> </w:t>
      </w:r>
      <w:r w:rsidR="00D51CF8">
        <w:rPr>
          <w:sz w:val="28"/>
          <w:szCs w:val="28"/>
        </w:rPr>
        <w:t>Agréguese un inciso segundo en</w:t>
      </w:r>
      <w:r w:rsidRPr="009343DE">
        <w:rPr>
          <w:sz w:val="28"/>
          <w:szCs w:val="28"/>
        </w:rPr>
        <w:t xml:space="preserve"> el artículo 200 del DFL 4/2006, Ministerio de Economía, Fomento y Reconstrucción, Ley General de Servicios Eléctricos, por un nuevo artículo 200 del siguiente tenor: </w:t>
      </w:r>
    </w:p>
    <w:p w:rsidR="00846A3A" w:rsidRDefault="006C385D" w:rsidP="00C864C8">
      <w:pPr>
        <w:jc w:val="both"/>
        <w:rPr>
          <w:sz w:val="28"/>
          <w:szCs w:val="28"/>
        </w:rPr>
      </w:pPr>
      <w:r w:rsidRPr="009343DE">
        <w:rPr>
          <w:sz w:val="28"/>
          <w:szCs w:val="28"/>
        </w:rPr>
        <w:t>"</w:t>
      </w:r>
      <w:r w:rsidRPr="007C3755">
        <w:rPr>
          <w:sz w:val="28"/>
          <w:szCs w:val="28"/>
        </w:rPr>
        <w:t>La Superintendencia</w:t>
      </w:r>
      <w:r w:rsidR="00D51CF8">
        <w:rPr>
          <w:sz w:val="28"/>
          <w:szCs w:val="28"/>
        </w:rPr>
        <w:t xml:space="preserve"> de </w:t>
      </w:r>
      <w:r w:rsidR="00982C2A">
        <w:rPr>
          <w:sz w:val="28"/>
          <w:szCs w:val="28"/>
        </w:rPr>
        <w:t>Electricidad y Combustibles</w:t>
      </w:r>
      <w:r w:rsidRPr="007C3755">
        <w:rPr>
          <w:sz w:val="28"/>
          <w:szCs w:val="28"/>
        </w:rPr>
        <w:t>, podrá realizar au</w:t>
      </w:r>
      <w:r w:rsidR="004419A9">
        <w:rPr>
          <w:sz w:val="28"/>
          <w:szCs w:val="28"/>
        </w:rPr>
        <w:t>ditorías</w:t>
      </w:r>
      <w:r w:rsidR="003065B9">
        <w:rPr>
          <w:sz w:val="28"/>
          <w:szCs w:val="28"/>
        </w:rPr>
        <w:t xml:space="preserve"> y/o informes </w:t>
      </w:r>
      <w:r w:rsidR="004419A9">
        <w:rPr>
          <w:sz w:val="28"/>
          <w:szCs w:val="28"/>
        </w:rPr>
        <w:t xml:space="preserve">bimensuales </w:t>
      </w:r>
      <w:r w:rsidR="003065B9">
        <w:rPr>
          <w:sz w:val="28"/>
          <w:szCs w:val="28"/>
        </w:rPr>
        <w:t>respecto a los valores reales de producción que presentan las empresas,</w:t>
      </w:r>
      <w:r w:rsidRPr="007C3755">
        <w:rPr>
          <w:sz w:val="28"/>
          <w:szCs w:val="28"/>
        </w:rPr>
        <w:t xml:space="preserve"> con el objeto de verificar la </w:t>
      </w:r>
      <w:r w:rsidR="00C864C8">
        <w:rPr>
          <w:sz w:val="28"/>
          <w:szCs w:val="28"/>
        </w:rPr>
        <w:t xml:space="preserve">idoneidad </w:t>
      </w:r>
      <w:r w:rsidRPr="007C3755">
        <w:rPr>
          <w:sz w:val="28"/>
          <w:szCs w:val="28"/>
        </w:rPr>
        <w:t>de la información y antecedentes presentados por éstas</w:t>
      </w:r>
      <w:r>
        <w:rPr>
          <w:sz w:val="28"/>
          <w:szCs w:val="28"/>
        </w:rPr>
        <w:t>”.</w:t>
      </w:r>
    </w:p>
    <w:p w:rsidR="00C864C8" w:rsidRDefault="00C864C8" w:rsidP="00C864C8">
      <w:pPr>
        <w:jc w:val="both"/>
      </w:pPr>
    </w:p>
    <w:p w:rsidR="00846A3A" w:rsidRDefault="00846A3A"/>
    <w:sectPr w:rsidR="00846A3A" w:rsidSect="00082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741"/>
    <w:multiLevelType w:val="hybridMultilevel"/>
    <w:tmpl w:val="BA3E5C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D75"/>
    <w:rsid w:val="000768E5"/>
    <w:rsid w:val="00082ED8"/>
    <w:rsid w:val="0009708A"/>
    <w:rsid w:val="000A70D1"/>
    <w:rsid w:val="000B0A57"/>
    <w:rsid w:val="001524D4"/>
    <w:rsid w:val="00205A80"/>
    <w:rsid w:val="002212C6"/>
    <w:rsid w:val="002F7D6E"/>
    <w:rsid w:val="003065B9"/>
    <w:rsid w:val="00317488"/>
    <w:rsid w:val="00337C77"/>
    <w:rsid w:val="003A5604"/>
    <w:rsid w:val="00411281"/>
    <w:rsid w:val="004419A9"/>
    <w:rsid w:val="00443E2A"/>
    <w:rsid w:val="00445F44"/>
    <w:rsid w:val="004723AF"/>
    <w:rsid w:val="004A3BE4"/>
    <w:rsid w:val="004A56FD"/>
    <w:rsid w:val="004D7AF4"/>
    <w:rsid w:val="004F6F8D"/>
    <w:rsid w:val="005112AB"/>
    <w:rsid w:val="005F03D5"/>
    <w:rsid w:val="006215D3"/>
    <w:rsid w:val="00645C81"/>
    <w:rsid w:val="006833C3"/>
    <w:rsid w:val="006C385D"/>
    <w:rsid w:val="006E231D"/>
    <w:rsid w:val="006F67D1"/>
    <w:rsid w:val="00742959"/>
    <w:rsid w:val="007B2B83"/>
    <w:rsid w:val="00817454"/>
    <w:rsid w:val="008442EF"/>
    <w:rsid w:val="00846A3A"/>
    <w:rsid w:val="00890CEB"/>
    <w:rsid w:val="008D4BDA"/>
    <w:rsid w:val="008D5A57"/>
    <w:rsid w:val="008E423A"/>
    <w:rsid w:val="00922A5D"/>
    <w:rsid w:val="00927A52"/>
    <w:rsid w:val="00982C2A"/>
    <w:rsid w:val="009E660F"/>
    <w:rsid w:val="009F7AD1"/>
    <w:rsid w:val="00A641D1"/>
    <w:rsid w:val="00B02577"/>
    <w:rsid w:val="00B0314E"/>
    <w:rsid w:val="00B35024"/>
    <w:rsid w:val="00B4398D"/>
    <w:rsid w:val="00BA7663"/>
    <w:rsid w:val="00BB30FF"/>
    <w:rsid w:val="00BE3FE4"/>
    <w:rsid w:val="00C44235"/>
    <w:rsid w:val="00C864C8"/>
    <w:rsid w:val="00C96ECC"/>
    <w:rsid w:val="00CD784E"/>
    <w:rsid w:val="00CF3717"/>
    <w:rsid w:val="00D51CF8"/>
    <w:rsid w:val="00D75608"/>
    <w:rsid w:val="00DF1FC9"/>
    <w:rsid w:val="00DF5FDC"/>
    <w:rsid w:val="00E01D19"/>
    <w:rsid w:val="00E04EA0"/>
    <w:rsid w:val="00E8372E"/>
    <w:rsid w:val="00EA6D75"/>
    <w:rsid w:val="00F15B6F"/>
    <w:rsid w:val="00FA6F7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D29B-C9B7-42DF-9FF2-DD4CFAD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Rivadeneira</dc:creator>
  <cp:keywords/>
  <dc:description/>
  <cp:lastModifiedBy>Guillermo Diaz Vallejos</cp:lastModifiedBy>
  <cp:revision>7</cp:revision>
  <cp:lastPrinted>2019-11-19T15:14:00Z</cp:lastPrinted>
  <dcterms:created xsi:type="dcterms:W3CDTF">2019-11-07T15:09:00Z</dcterms:created>
  <dcterms:modified xsi:type="dcterms:W3CDTF">2019-12-06T16:05:00Z</dcterms:modified>
</cp:coreProperties>
</file>